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40" w:type="dxa"/>
            <w:vAlign w:val="bottom"/>
          </w:tcPr>
          <w:p>
            <w:pPr>
              <w:ind w:left="40"/>
              <w:spacing w:after="0"/>
              <w:rPr>
                <w:sz w:val="20"/>
                <w:szCs w:val="20"/>
                <w:color w:val="auto"/>
              </w:rPr>
            </w:pPr>
            <w:r>
              <w:rPr>
                <w:rFonts w:ascii="Arial" w:cs="Arial" w:eastAsia="Arial" w:hAnsi="Arial"/>
                <w:sz w:val="22"/>
                <w:szCs w:val="22"/>
                <w:color w:val="auto"/>
              </w:rPr>
              <w:t>0001773298</w:t>
            </w:r>
          </w:p>
        </w:tc>
        <w:tc>
          <w:tcPr>
            <w:tcW w:w="38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w w:val="89"/>
              </w:rPr>
              <w:t>Zoom Video Communications,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001-38865</w:t>
            </w:r>
          </w:p>
        </w:tc>
      </w:tr>
      <w:tr>
        <w:trPr>
          <w:trHeight w:val="266"/>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95113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Arial" w:cs="Arial" w:eastAsia="Arial" w:hAnsi="Arial"/>
                <w:sz w:val="22"/>
                <w:szCs w:val="22"/>
                <w:color w:val="auto"/>
              </w:rPr>
              <w:t>Eric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Other: Chief Executive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Goldman Sachs &amp; Co.</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w w:val="98"/>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89415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6015841.2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10/10/2023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ind w:left="54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ind w:left="42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Class A</w:t>
            </w:r>
          </w:p>
        </w:tc>
        <w:tc>
          <w:tcPr>
            <w:tcW w:w="1060" w:type="dxa"/>
            <w:vAlign w:val="bottom"/>
            <w:vMerge w:val="restart"/>
          </w:tcPr>
          <w:p>
            <w:pPr>
              <w:ind w:left="40"/>
              <w:spacing w:after="0"/>
              <w:rPr>
                <w:sz w:val="20"/>
                <w:szCs w:val="20"/>
                <w:color w:val="auto"/>
              </w:rPr>
            </w:pPr>
            <w:r>
              <w:rPr>
                <w:rFonts w:ascii="Arial" w:cs="Arial" w:eastAsia="Arial" w:hAnsi="Arial"/>
                <w:sz w:val="22"/>
                <w:szCs w:val="22"/>
                <w:color w:val="auto"/>
                <w:w w:val="90"/>
              </w:rPr>
              <w:t>10/08/2023</w:t>
            </w:r>
          </w:p>
        </w:tc>
        <w:tc>
          <w:tcPr>
            <w:tcW w:w="1600" w:type="dxa"/>
            <w:vAlign w:val="bottom"/>
          </w:tcPr>
          <w:p>
            <w:pPr>
              <w:ind w:left="20"/>
              <w:spacing w:after="0" w:line="243" w:lineRule="exact"/>
              <w:rPr>
                <w:sz w:val="20"/>
                <w:szCs w:val="20"/>
                <w:color w:val="auto"/>
              </w:rPr>
            </w:pPr>
            <w:r>
              <w:rPr>
                <w:rFonts w:ascii="Arial" w:cs="Arial" w:eastAsia="Arial" w:hAnsi="Arial"/>
                <w:sz w:val="22"/>
                <w:szCs w:val="22"/>
                <w:color w:val="auto"/>
                <w:w w:val="98"/>
              </w:rPr>
              <w:t>compensation --</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18852</w:t>
            </w:r>
          </w:p>
        </w:tc>
        <w:tc>
          <w:tcPr>
            <w:tcW w:w="2800" w:type="dxa"/>
            <w:vAlign w:val="bottom"/>
            <w:vMerge w:val="restart"/>
          </w:tcPr>
          <w:p>
            <w:pPr>
              <w:ind w:left="120"/>
              <w:spacing w:after="0"/>
              <w:rPr>
                <w:sz w:val="20"/>
                <w:szCs w:val="20"/>
                <w:color w:val="auto"/>
              </w:rPr>
            </w:pPr>
            <w:r>
              <w:rPr>
                <w:rFonts w:ascii="Arial" w:cs="Arial" w:eastAsia="Arial" w:hAnsi="Arial"/>
                <w:sz w:val="22"/>
                <w:szCs w:val="22"/>
                <w:color w:val="auto"/>
              </w:rPr>
              <w:t>10/08/2023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1060" w:type="dxa"/>
            <w:vAlign w:val="bottom"/>
            <w:vMerge w:val="continue"/>
          </w:tcPr>
          <w:p>
            <w:pPr>
              <w:spacing w:after="0"/>
              <w:rPr>
                <w:sz w:val="21"/>
                <w:szCs w:val="21"/>
                <w:color w:val="auto"/>
              </w:rPr>
            </w:pPr>
          </w:p>
        </w:tc>
        <w:tc>
          <w:tcPr>
            <w:tcW w:w="1600" w:type="dxa"/>
            <w:vAlign w:val="bottom"/>
          </w:tcPr>
          <w:p>
            <w:pPr>
              <w:ind w:left="20"/>
              <w:spacing w:after="0" w:line="243" w:lineRule="exact"/>
              <w:rPr>
                <w:sz w:val="20"/>
                <w:szCs w:val="20"/>
                <w:color w:val="auto"/>
              </w:rPr>
            </w:pPr>
            <w:r>
              <w:rPr>
                <w:rFonts w:ascii="Arial" w:cs="Arial" w:eastAsia="Arial" w:hAnsi="Arial"/>
                <w:sz w:val="22"/>
                <w:szCs w:val="22"/>
                <w:color w:val="auto"/>
                <w:w w:val="97"/>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Units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Arial" w:cs="Arial" w:eastAsia="Arial" w:hAnsi="Arial"/>
                <w:sz w:val="22"/>
                <w:szCs w:val="22"/>
                <w:color w:val="auto"/>
                <w:w w:val="99"/>
              </w:rPr>
              <w:t>Compensation --</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40"/>
              <w:spacing w:after="0"/>
              <w:rPr>
                <w:sz w:val="20"/>
                <w:szCs w:val="20"/>
                <w:color w:val="auto"/>
              </w:rPr>
            </w:pPr>
            <w:r>
              <w:rPr>
                <w:rFonts w:ascii="Arial" w:cs="Arial" w:eastAsia="Arial" w:hAnsi="Arial"/>
                <w:sz w:val="22"/>
                <w:szCs w:val="22"/>
                <w:color w:val="auto"/>
                <w:w w:val="93"/>
              </w:rPr>
              <w:t>09/24/2022 Compensation --</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56037</w:t>
            </w:r>
          </w:p>
        </w:tc>
        <w:tc>
          <w:tcPr>
            <w:tcW w:w="2800" w:type="dxa"/>
            <w:vAlign w:val="bottom"/>
            <w:vMerge w:val="restart"/>
          </w:tcPr>
          <w:p>
            <w:pPr>
              <w:ind w:left="120"/>
              <w:spacing w:after="0"/>
              <w:rPr>
                <w:sz w:val="20"/>
                <w:szCs w:val="20"/>
                <w:color w:val="auto"/>
              </w:rPr>
            </w:pPr>
            <w:r>
              <w:rPr>
                <w:rFonts w:ascii="Arial" w:cs="Arial" w:eastAsia="Arial" w:hAnsi="Arial"/>
                <w:sz w:val="22"/>
                <w:szCs w:val="22"/>
                <w:color w:val="auto"/>
                <w:w w:val="86"/>
              </w:rPr>
              <w:t>09/24/2022 Cashless exercise /</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Stock Options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Arial" w:cs="Arial" w:eastAsia="Arial" w:hAnsi="Arial"/>
                <w:sz w:val="22"/>
                <w:szCs w:val="22"/>
                <w:color w:val="auto"/>
              </w:rPr>
              <w:t>same-day sale</w:t>
            </w: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ind w:left="20"/>
              <w:spacing w:after="0" w:line="247" w:lineRule="exact"/>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1420" w:type="dxa"/>
            <w:vAlign w:val="bottom"/>
          </w:tcPr>
          <w:p>
            <w:pPr>
              <w:spacing w:after="0"/>
              <w:rPr>
                <w:sz w:val="20"/>
                <w:szCs w:val="20"/>
                <w:color w:val="auto"/>
              </w:rPr>
            </w:pPr>
            <w:r>
              <w:rPr>
                <w:rFonts w:ascii="Arial" w:cs="Arial" w:eastAsia="Arial" w:hAnsi="Arial"/>
                <w:sz w:val="22"/>
                <w:szCs w:val="22"/>
                <w:color w:val="auto"/>
              </w:rPr>
              <w:t>Class A</w:t>
            </w:r>
          </w:p>
        </w:tc>
        <w:tc>
          <w:tcPr>
            <w:tcW w:w="2660" w:type="dxa"/>
            <w:vAlign w:val="bottom"/>
            <w:gridSpan w:val="2"/>
          </w:tcPr>
          <w:p>
            <w:pPr>
              <w:ind w:left="40"/>
              <w:spacing w:after="0" w:line="332" w:lineRule="exact"/>
              <w:rPr>
                <w:sz w:val="20"/>
                <w:szCs w:val="20"/>
                <w:color w:val="auto"/>
              </w:rPr>
            </w:pPr>
            <w:r>
              <w:rPr>
                <w:rFonts w:ascii="Arial" w:cs="Arial" w:eastAsia="Arial" w:hAnsi="Arial"/>
                <w:sz w:val="38"/>
                <w:szCs w:val="38"/>
                <w:color w:val="auto"/>
                <w:w w:val="94"/>
                <w:vertAlign w:val="subscript"/>
              </w:rPr>
              <w:t>04/08/2023</w:t>
            </w:r>
            <w:r>
              <w:rPr>
                <w:rFonts w:ascii="Arial" w:cs="Arial" w:eastAsia="Arial" w:hAnsi="Arial"/>
                <w:sz w:val="20"/>
                <w:szCs w:val="20"/>
                <w:color w:val="auto"/>
                <w:w w:val="94"/>
              </w:rPr>
              <w:t xml:space="preserve"> compensation --</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1643</w:t>
            </w:r>
          </w:p>
        </w:tc>
        <w:tc>
          <w:tcPr>
            <w:tcW w:w="2800" w:type="dxa"/>
            <w:vAlign w:val="bottom"/>
          </w:tcPr>
          <w:p>
            <w:pPr>
              <w:ind w:left="120"/>
              <w:spacing w:after="0"/>
              <w:rPr>
                <w:sz w:val="20"/>
                <w:szCs w:val="20"/>
                <w:color w:val="auto"/>
              </w:rPr>
            </w:pPr>
            <w:r>
              <w:rPr>
                <w:rFonts w:ascii="Arial" w:cs="Arial" w:eastAsia="Arial" w:hAnsi="Arial"/>
                <w:sz w:val="22"/>
                <w:szCs w:val="22"/>
                <w:color w:val="auto"/>
              </w:rPr>
              <w:t>04/08/2023 Compensation</w:t>
            </w:r>
          </w:p>
        </w:tc>
        <w:tc>
          <w:tcPr>
            <w:tcW w:w="0" w:type="dxa"/>
            <w:vAlign w:val="bottom"/>
          </w:tcPr>
          <w:p>
            <w:pPr>
              <w:spacing w:after="0"/>
              <w:rPr>
                <w:sz w:val="1"/>
                <w:szCs w:val="1"/>
                <w:color w:val="auto"/>
              </w:rPr>
            </w:pPr>
          </w:p>
        </w:tc>
      </w:tr>
      <w:tr>
        <w:trPr>
          <w:trHeight w:val="154"/>
        </w:trPr>
        <w:tc>
          <w:tcPr>
            <w:tcW w:w="1420" w:type="dxa"/>
            <w:vAlign w:val="bottom"/>
          </w:tcPr>
          <w:p>
            <w:pPr>
              <w:spacing w:after="0" w:line="154" w:lineRule="exact"/>
              <w:rPr>
                <w:sz w:val="20"/>
                <w:szCs w:val="20"/>
                <w:color w:val="auto"/>
              </w:rPr>
            </w:pPr>
            <w:r>
              <w:rPr>
                <w:rFonts w:ascii="Arial" w:cs="Arial" w:eastAsia="Arial" w:hAnsi="Arial"/>
                <w:sz w:val="17"/>
                <w:szCs w:val="17"/>
                <w:color w:val="auto"/>
              </w:rPr>
              <w:t>Common Stock</w:t>
            </w:r>
          </w:p>
        </w:tc>
        <w:tc>
          <w:tcPr>
            <w:tcW w:w="1060" w:type="dxa"/>
            <w:vAlign w:val="bottom"/>
          </w:tcPr>
          <w:p>
            <w:pPr>
              <w:spacing w:after="0"/>
              <w:rPr>
                <w:sz w:val="13"/>
                <w:szCs w:val="13"/>
                <w:color w:val="auto"/>
              </w:rPr>
            </w:pPr>
          </w:p>
        </w:tc>
        <w:tc>
          <w:tcPr>
            <w:tcW w:w="1600" w:type="dxa"/>
            <w:vAlign w:val="bottom"/>
          </w:tcPr>
          <w:p>
            <w:pPr>
              <w:ind w:left="20"/>
              <w:spacing w:after="0" w:line="154" w:lineRule="exact"/>
              <w:rPr>
                <w:sz w:val="20"/>
                <w:szCs w:val="20"/>
                <w:color w:val="auto"/>
              </w:rPr>
            </w:pPr>
            <w:r>
              <w:rPr>
                <w:rFonts w:ascii="Arial" w:cs="Arial" w:eastAsia="Arial" w:hAnsi="Arial"/>
                <w:sz w:val="17"/>
                <w:szCs w:val="17"/>
                <w:color w:val="auto"/>
              </w:rPr>
              <w:t>Restricted Stock</w:t>
            </w:r>
          </w:p>
        </w:tc>
        <w:tc>
          <w:tcPr>
            <w:tcW w:w="1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Units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2"/>
        </w:trPr>
        <w:tc>
          <w:tcPr>
            <w:tcW w:w="1420" w:type="dxa"/>
            <w:vAlign w:val="bottom"/>
          </w:tcPr>
          <w:p>
            <w:pPr>
              <w:spacing w:after="0"/>
              <w:rPr>
                <w:sz w:val="20"/>
                <w:szCs w:val="20"/>
                <w:color w:val="auto"/>
              </w:rPr>
            </w:pPr>
            <w:r>
              <w:rPr>
                <w:rFonts w:ascii="Arial" w:cs="Arial" w:eastAsia="Arial" w:hAnsi="Arial"/>
                <w:sz w:val="22"/>
                <w:szCs w:val="22"/>
                <w:color w:val="auto"/>
              </w:rPr>
              <w:t>Class A</w:t>
            </w:r>
          </w:p>
        </w:tc>
        <w:tc>
          <w:tcPr>
            <w:tcW w:w="2660" w:type="dxa"/>
            <w:vAlign w:val="bottom"/>
            <w:gridSpan w:val="2"/>
          </w:tcPr>
          <w:p>
            <w:pPr>
              <w:ind w:left="40"/>
              <w:spacing w:after="0" w:line="332" w:lineRule="exact"/>
              <w:rPr>
                <w:sz w:val="20"/>
                <w:szCs w:val="20"/>
                <w:color w:val="auto"/>
              </w:rPr>
            </w:pPr>
            <w:r>
              <w:rPr>
                <w:rFonts w:ascii="Arial" w:cs="Arial" w:eastAsia="Arial" w:hAnsi="Arial"/>
                <w:sz w:val="38"/>
                <w:szCs w:val="38"/>
                <w:color w:val="auto"/>
                <w:w w:val="94"/>
                <w:vertAlign w:val="subscript"/>
              </w:rPr>
              <w:t>10/08/2022</w:t>
            </w:r>
            <w:r>
              <w:rPr>
                <w:rFonts w:ascii="Arial" w:cs="Arial" w:eastAsia="Arial" w:hAnsi="Arial"/>
                <w:sz w:val="20"/>
                <w:szCs w:val="20"/>
                <w:color w:val="auto"/>
                <w:w w:val="94"/>
              </w:rPr>
              <w:t xml:space="preserve"> compensation --</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12883</w:t>
            </w:r>
          </w:p>
        </w:tc>
        <w:tc>
          <w:tcPr>
            <w:tcW w:w="2800" w:type="dxa"/>
            <w:vAlign w:val="bottom"/>
          </w:tcPr>
          <w:p>
            <w:pPr>
              <w:ind w:left="120"/>
              <w:spacing w:after="0"/>
              <w:rPr>
                <w:sz w:val="20"/>
                <w:szCs w:val="20"/>
                <w:color w:val="auto"/>
              </w:rPr>
            </w:pPr>
            <w:r>
              <w:rPr>
                <w:rFonts w:ascii="Arial" w:cs="Arial" w:eastAsia="Arial" w:hAnsi="Arial"/>
                <w:sz w:val="22"/>
                <w:szCs w:val="22"/>
                <w:color w:val="auto"/>
              </w:rPr>
              <w:t>10/08/2022 Compensation</w:t>
            </w:r>
          </w:p>
        </w:tc>
        <w:tc>
          <w:tcPr>
            <w:tcW w:w="0" w:type="dxa"/>
            <w:vAlign w:val="bottom"/>
          </w:tcPr>
          <w:p>
            <w:pPr>
              <w:spacing w:after="0"/>
              <w:rPr>
                <w:sz w:val="1"/>
                <w:szCs w:val="1"/>
                <w:color w:val="auto"/>
              </w:rPr>
            </w:pPr>
          </w:p>
        </w:tc>
      </w:tr>
      <w:tr>
        <w:trPr>
          <w:trHeight w:val="172"/>
        </w:trPr>
        <w:tc>
          <w:tcPr>
            <w:tcW w:w="1420" w:type="dxa"/>
            <w:vAlign w:val="bottom"/>
          </w:tcPr>
          <w:p>
            <w:pPr>
              <w:spacing w:after="0" w:line="172" w:lineRule="exact"/>
              <w:rPr>
                <w:sz w:val="20"/>
                <w:szCs w:val="20"/>
                <w:color w:val="auto"/>
              </w:rPr>
            </w:pPr>
            <w:r>
              <w:rPr>
                <w:rFonts w:ascii="Arial" w:cs="Arial" w:eastAsia="Arial" w:hAnsi="Arial"/>
                <w:sz w:val="19"/>
                <w:szCs w:val="19"/>
                <w:color w:val="auto"/>
              </w:rPr>
              <w:t>Common Stock</w:t>
            </w:r>
          </w:p>
        </w:tc>
        <w:tc>
          <w:tcPr>
            <w:tcW w:w="1060" w:type="dxa"/>
            <w:vAlign w:val="bottom"/>
          </w:tcPr>
          <w:p>
            <w:pPr>
              <w:spacing w:after="0"/>
              <w:rPr>
                <w:sz w:val="14"/>
                <w:szCs w:val="14"/>
                <w:color w:val="auto"/>
              </w:rPr>
            </w:pPr>
          </w:p>
        </w:tc>
        <w:tc>
          <w:tcPr>
            <w:tcW w:w="1600" w:type="dxa"/>
            <w:vAlign w:val="bottom"/>
          </w:tcPr>
          <w:p>
            <w:pPr>
              <w:ind w:left="20"/>
              <w:spacing w:after="0" w:line="172" w:lineRule="exact"/>
              <w:rPr>
                <w:sz w:val="20"/>
                <w:szCs w:val="20"/>
                <w:color w:val="auto"/>
              </w:rPr>
            </w:pPr>
            <w:r>
              <w:rPr>
                <w:rFonts w:ascii="Arial" w:cs="Arial" w:eastAsia="Arial" w:hAnsi="Arial"/>
                <w:sz w:val="19"/>
                <w:szCs w:val="19"/>
                <w:color w:val="auto"/>
              </w:rPr>
              <w:t>Restricted Stock</w:t>
            </w:r>
          </w:p>
        </w:tc>
        <w:tc>
          <w:tcPr>
            <w:tcW w:w="1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-2020570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-1445895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Arial" w:cs="Arial" w:eastAsia="Arial" w:hAnsi="Arial"/>
          <w:sz w:val="22"/>
          <w:szCs w:val="22"/>
          <w:color w:val="auto"/>
        </w:rPr>
        <w:t>Units</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20" w:type="dxa"/>
            <w:vAlign w:val="bottom"/>
            <w:vMerge w:val="restart"/>
          </w:tcPr>
          <w:p>
            <w:pPr>
              <w:ind w:left="9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40" w:type="dxa"/>
            <w:vAlign w:val="bottom"/>
            <w:gridSpan w:val="3"/>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w w:val="92"/>
              </w:rPr>
              <w:t>Eric Yuan</w:t>
            </w:r>
          </w:p>
        </w:tc>
        <w:tc>
          <w:tcPr>
            <w:tcW w:w="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Arial" w:cs="Arial" w:eastAsia="Arial" w:hAnsi="Arial"/>
                <w:sz w:val="22"/>
                <w:szCs w:val="22"/>
                <w:color w:val="auto"/>
              </w:rPr>
              <w:t>55 Almaden Blvd</w:t>
            </w:r>
          </w:p>
        </w:tc>
        <w:tc>
          <w:tcPr>
            <w:tcW w:w="3420" w:type="dxa"/>
            <w:vAlign w:val="bottom"/>
            <w:vMerge w:val="restart"/>
          </w:tcPr>
          <w:p>
            <w:pPr>
              <w:ind w:left="1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09/19/2023 13252</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919360.15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San Jose</w:t>
            </w:r>
          </w:p>
        </w:tc>
        <w:tc>
          <w:tcPr>
            <w:tcW w:w="400" w:type="dxa"/>
            <w:vAlign w:val="bottom"/>
          </w:tcPr>
          <w:p>
            <w:pPr>
              <w:ind w:left="20"/>
              <w:spacing w:after="0"/>
              <w:rPr>
                <w:sz w:val="20"/>
                <w:szCs w:val="20"/>
                <w:color w:val="auto"/>
              </w:rPr>
            </w:pPr>
            <w:r>
              <w:rPr>
                <w:rFonts w:ascii="Arial" w:cs="Arial" w:eastAsia="Arial" w:hAnsi="Arial"/>
                <w:sz w:val="22"/>
                <w:szCs w:val="22"/>
                <w:color w:val="auto"/>
              </w:rPr>
              <w:t>CA</w:t>
            </w:r>
          </w:p>
        </w:tc>
        <w:tc>
          <w:tcPr>
            <w:tcW w:w="2140" w:type="dxa"/>
            <w:vAlign w:val="bottom"/>
          </w:tcPr>
          <w:p>
            <w:pPr>
              <w:jc w:val="right"/>
              <w:ind w:right="1412"/>
              <w:spacing w:after="0"/>
              <w:rPr>
                <w:sz w:val="20"/>
                <w:szCs w:val="20"/>
                <w:color w:val="auto"/>
              </w:rPr>
            </w:pPr>
            <w:r>
              <w:rPr>
                <w:rFonts w:ascii="Arial" w:cs="Arial" w:eastAsia="Arial" w:hAnsi="Arial"/>
                <w:sz w:val="22"/>
                <w:szCs w:val="22"/>
                <w:color w:val="auto"/>
                <w:w w:val="98"/>
              </w:rPr>
              <w:t>95113</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w w:val="92"/>
              </w:rPr>
              <w:t>Eric Yuan</w:t>
            </w:r>
          </w:p>
        </w:tc>
        <w:tc>
          <w:tcPr>
            <w:tcW w:w="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Arial" w:cs="Arial" w:eastAsia="Arial" w:hAnsi="Arial"/>
                <w:sz w:val="22"/>
                <w:szCs w:val="22"/>
                <w:color w:val="auto"/>
              </w:rPr>
              <w:t>55 Almaden Blvd</w:t>
            </w:r>
          </w:p>
        </w:tc>
        <w:tc>
          <w:tcPr>
            <w:tcW w:w="3420" w:type="dxa"/>
            <w:vAlign w:val="bottom"/>
            <w:vMerge w:val="restart"/>
          </w:tcPr>
          <w:p>
            <w:pPr>
              <w:ind w:left="1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09/18/2023 13253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933598.31</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San Jose</w:t>
            </w:r>
          </w:p>
        </w:tc>
        <w:tc>
          <w:tcPr>
            <w:tcW w:w="400" w:type="dxa"/>
            <w:vAlign w:val="bottom"/>
          </w:tcPr>
          <w:p>
            <w:pPr>
              <w:ind w:left="20"/>
              <w:spacing w:after="0"/>
              <w:rPr>
                <w:sz w:val="20"/>
                <w:szCs w:val="20"/>
                <w:color w:val="auto"/>
              </w:rPr>
            </w:pPr>
            <w:r>
              <w:rPr>
                <w:rFonts w:ascii="Arial" w:cs="Arial" w:eastAsia="Arial" w:hAnsi="Arial"/>
                <w:sz w:val="22"/>
                <w:szCs w:val="22"/>
                <w:color w:val="auto"/>
              </w:rPr>
              <w:t>CA</w:t>
            </w:r>
          </w:p>
        </w:tc>
        <w:tc>
          <w:tcPr>
            <w:tcW w:w="2140" w:type="dxa"/>
            <w:vAlign w:val="bottom"/>
          </w:tcPr>
          <w:p>
            <w:pPr>
              <w:jc w:val="right"/>
              <w:ind w:right="1412"/>
              <w:spacing w:after="0"/>
              <w:rPr>
                <w:sz w:val="20"/>
                <w:szCs w:val="20"/>
                <w:color w:val="auto"/>
              </w:rPr>
            </w:pPr>
            <w:r>
              <w:rPr>
                <w:rFonts w:ascii="Arial" w:cs="Arial" w:eastAsia="Arial" w:hAnsi="Arial"/>
                <w:sz w:val="22"/>
                <w:szCs w:val="22"/>
                <w:color w:val="auto"/>
                <w:w w:val="98"/>
              </w:rPr>
              <w:t>95113</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w w:val="92"/>
              </w:rPr>
              <w:t>Eric Yuan</w:t>
            </w:r>
          </w:p>
        </w:tc>
        <w:tc>
          <w:tcPr>
            <w:tcW w:w="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Arial" w:cs="Arial" w:eastAsia="Arial" w:hAnsi="Arial"/>
                <w:sz w:val="22"/>
                <w:szCs w:val="22"/>
                <w:color w:val="auto"/>
              </w:rPr>
              <w:t>55 Almaden Blvd</w:t>
            </w:r>
          </w:p>
        </w:tc>
        <w:tc>
          <w:tcPr>
            <w:tcW w:w="3420" w:type="dxa"/>
            <w:vAlign w:val="bottom"/>
            <w:vMerge w:val="restart"/>
          </w:tcPr>
          <w:p>
            <w:pPr>
              <w:ind w:left="1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10/09/2023 1921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126034.5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San Jose</w:t>
            </w:r>
          </w:p>
        </w:tc>
        <w:tc>
          <w:tcPr>
            <w:tcW w:w="400" w:type="dxa"/>
            <w:vAlign w:val="bottom"/>
          </w:tcPr>
          <w:p>
            <w:pPr>
              <w:ind w:left="20"/>
              <w:spacing w:after="0"/>
              <w:rPr>
                <w:sz w:val="20"/>
                <w:szCs w:val="20"/>
                <w:color w:val="auto"/>
              </w:rPr>
            </w:pPr>
            <w:r>
              <w:rPr>
                <w:rFonts w:ascii="Arial" w:cs="Arial" w:eastAsia="Arial" w:hAnsi="Arial"/>
                <w:sz w:val="22"/>
                <w:szCs w:val="22"/>
                <w:color w:val="auto"/>
              </w:rPr>
              <w:t>CA</w:t>
            </w:r>
          </w:p>
        </w:tc>
        <w:tc>
          <w:tcPr>
            <w:tcW w:w="2140" w:type="dxa"/>
            <w:vAlign w:val="bottom"/>
          </w:tcPr>
          <w:p>
            <w:pPr>
              <w:jc w:val="right"/>
              <w:ind w:right="1412"/>
              <w:spacing w:after="0"/>
              <w:rPr>
                <w:sz w:val="20"/>
                <w:szCs w:val="20"/>
                <w:color w:val="auto"/>
              </w:rPr>
            </w:pPr>
            <w:r>
              <w:rPr>
                <w:rFonts w:ascii="Arial" w:cs="Arial" w:eastAsia="Arial" w:hAnsi="Arial"/>
                <w:sz w:val="22"/>
                <w:szCs w:val="22"/>
                <w:color w:val="auto"/>
                <w:w w:val="98"/>
              </w:rPr>
              <w:t>95113</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w w:val="92"/>
              </w:rPr>
              <w:t>Eric Yuan</w:t>
            </w:r>
          </w:p>
        </w:tc>
        <w:tc>
          <w:tcPr>
            <w:tcW w:w="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Arial" w:cs="Arial" w:eastAsia="Arial" w:hAnsi="Arial"/>
                <w:sz w:val="22"/>
                <w:szCs w:val="22"/>
                <w:color w:val="auto"/>
              </w:rPr>
              <w:t>55 Almaden Blvd</w:t>
            </w:r>
          </w:p>
        </w:tc>
        <w:tc>
          <w:tcPr>
            <w:tcW w:w="3420" w:type="dxa"/>
            <w:vAlign w:val="bottom"/>
            <w:vMerge w:val="restart"/>
          </w:tcPr>
          <w:p>
            <w:pPr>
              <w:ind w:left="1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10/09/2023 9287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608871.51</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San Jose</w:t>
            </w:r>
          </w:p>
        </w:tc>
        <w:tc>
          <w:tcPr>
            <w:tcW w:w="400" w:type="dxa"/>
            <w:vAlign w:val="bottom"/>
          </w:tcPr>
          <w:p>
            <w:pPr>
              <w:ind w:left="20"/>
              <w:spacing w:after="0"/>
              <w:rPr>
                <w:sz w:val="20"/>
                <w:szCs w:val="20"/>
                <w:color w:val="auto"/>
              </w:rPr>
            </w:pPr>
            <w:r>
              <w:rPr>
                <w:rFonts w:ascii="Arial" w:cs="Arial" w:eastAsia="Arial" w:hAnsi="Arial"/>
                <w:sz w:val="22"/>
                <w:szCs w:val="22"/>
                <w:color w:val="auto"/>
              </w:rPr>
              <w:t>CA</w:t>
            </w:r>
          </w:p>
        </w:tc>
        <w:tc>
          <w:tcPr>
            <w:tcW w:w="2140" w:type="dxa"/>
            <w:vAlign w:val="bottom"/>
          </w:tcPr>
          <w:p>
            <w:pPr>
              <w:jc w:val="right"/>
              <w:ind w:right="1412"/>
              <w:spacing w:after="0"/>
              <w:rPr>
                <w:sz w:val="20"/>
                <w:szCs w:val="20"/>
                <w:color w:val="auto"/>
              </w:rPr>
            </w:pPr>
            <w:r>
              <w:rPr>
                <w:rFonts w:ascii="Arial" w:cs="Arial" w:eastAsia="Arial" w:hAnsi="Arial"/>
                <w:sz w:val="22"/>
                <w:szCs w:val="22"/>
                <w:color w:val="auto"/>
                <w:w w:val="98"/>
              </w:rPr>
              <w:t>95113</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40" w:type="dxa"/>
            <w:vAlign w:val="bottom"/>
            <w:gridSpan w:val="3"/>
          </w:tcPr>
          <w:p>
            <w:pPr>
              <w:spacing w:after="0"/>
              <w:rPr>
                <w:sz w:val="20"/>
                <w:szCs w:val="20"/>
                <w:color w:val="auto"/>
              </w:rPr>
            </w:pPr>
            <w:r>
              <w:rPr>
                <w:rFonts w:ascii="Arial" w:cs="Arial" w:eastAsia="Arial" w:hAnsi="Arial"/>
                <w:sz w:val="22"/>
                <w:szCs w:val="22"/>
                <w:color w:val="auto"/>
                <w:w w:val="91"/>
              </w:rPr>
              <w:t>The 2018 Yuan and Zhang Revocable</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Trust</w:t>
            </w:r>
          </w:p>
        </w:tc>
        <w:tc>
          <w:tcPr>
            <w:tcW w:w="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Arial" w:cs="Arial" w:eastAsia="Arial" w:hAnsi="Arial"/>
                <w:sz w:val="22"/>
                <w:szCs w:val="22"/>
                <w:color w:val="auto"/>
              </w:rPr>
              <w:t>55 Almaden Blvd</w:t>
            </w:r>
          </w:p>
        </w:tc>
        <w:tc>
          <w:tcPr>
            <w:tcW w:w="3420" w:type="dxa"/>
            <w:vAlign w:val="bottom"/>
          </w:tcPr>
          <w:p>
            <w:pPr>
              <w:ind w:left="1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10/09/2023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32280.95</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6th Floor</w:t>
            </w:r>
          </w:p>
        </w:tc>
        <w:tc>
          <w:tcPr>
            <w:tcW w:w="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San Jose</w:t>
            </w:r>
          </w:p>
        </w:tc>
        <w:tc>
          <w:tcPr>
            <w:tcW w:w="400" w:type="dxa"/>
            <w:vAlign w:val="bottom"/>
          </w:tcPr>
          <w:p>
            <w:pPr>
              <w:ind w:left="20"/>
              <w:spacing w:after="0"/>
              <w:rPr>
                <w:sz w:val="20"/>
                <w:szCs w:val="20"/>
                <w:color w:val="auto"/>
              </w:rPr>
            </w:pPr>
            <w:r>
              <w:rPr>
                <w:rFonts w:ascii="Arial" w:cs="Arial" w:eastAsia="Arial" w:hAnsi="Arial"/>
                <w:sz w:val="22"/>
                <w:szCs w:val="22"/>
                <w:color w:val="auto"/>
              </w:rPr>
              <w:t>CA</w:t>
            </w:r>
          </w:p>
        </w:tc>
        <w:tc>
          <w:tcPr>
            <w:tcW w:w="2140" w:type="dxa"/>
            <w:vAlign w:val="bottom"/>
          </w:tcPr>
          <w:p>
            <w:pPr>
              <w:jc w:val="right"/>
              <w:ind w:right="1412"/>
              <w:spacing w:after="0"/>
              <w:rPr>
                <w:sz w:val="20"/>
                <w:szCs w:val="20"/>
                <w:color w:val="auto"/>
              </w:rPr>
            </w:pPr>
            <w:r>
              <w:rPr>
                <w:rFonts w:ascii="Arial" w:cs="Arial" w:eastAsia="Arial" w:hAnsi="Arial"/>
                <w:sz w:val="22"/>
                <w:szCs w:val="22"/>
                <w:color w:val="auto"/>
                <w:w w:val="98"/>
              </w:rPr>
              <w:t>95113</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40" w:type="dxa"/>
            <w:vAlign w:val="bottom"/>
            <w:gridSpan w:val="3"/>
          </w:tcPr>
          <w:p>
            <w:pPr>
              <w:spacing w:after="0"/>
              <w:rPr>
                <w:sz w:val="20"/>
                <w:szCs w:val="20"/>
                <w:color w:val="auto"/>
              </w:rPr>
            </w:pPr>
            <w:r>
              <w:rPr>
                <w:rFonts w:ascii="Arial" w:cs="Arial" w:eastAsia="Arial" w:hAnsi="Arial"/>
                <w:sz w:val="22"/>
                <w:szCs w:val="22"/>
                <w:color w:val="auto"/>
                <w:w w:val="91"/>
              </w:rPr>
              <w:t>The 2018 Yuan and Zhang Revocable</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Trust</w:t>
            </w:r>
          </w:p>
        </w:tc>
        <w:tc>
          <w:tcPr>
            <w:tcW w:w="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Arial" w:cs="Arial" w:eastAsia="Arial" w:hAnsi="Arial"/>
                <w:sz w:val="22"/>
                <w:szCs w:val="22"/>
                <w:color w:val="auto"/>
              </w:rPr>
              <w:t>55 Almaden Blvd</w:t>
            </w:r>
          </w:p>
        </w:tc>
        <w:tc>
          <w:tcPr>
            <w:tcW w:w="3420" w:type="dxa"/>
            <w:vAlign w:val="bottom"/>
          </w:tcPr>
          <w:p>
            <w:pPr>
              <w:ind w:left="180"/>
              <w:spacing w:after="0" w:line="243" w:lineRule="exact"/>
              <w:rPr>
                <w:sz w:val="20"/>
                <w:szCs w:val="20"/>
                <w:color w:val="auto"/>
              </w:rPr>
            </w:pPr>
            <w:r>
              <w:rPr>
                <w:rFonts w:ascii="Arial" w:cs="Arial" w:eastAsia="Arial" w:hAnsi="Arial"/>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10/09/2023 1921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123968.09</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6th Floor</w:t>
            </w:r>
          </w:p>
        </w:tc>
        <w:tc>
          <w:tcPr>
            <w:tcW w:w="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San Jose</w:t>
            </w:r>
          </w:p>
        </w:tc>
        <w:tc>
          <w:tcPr>
            <w:tcW w:w="400" w:type="dxa"/>
            <w:vAlign w:val="bottom"/>
          </w:tcPr>
          <w:p>
            <w:pPr>
              <w:ind w:left="20"/>
              <w:spacing w:after="0"/>
              <w:rPr>
                <w:sz w:val="20"/>
                <w:szCs w:val="20"/>
                <w:color w:val="auto"/>
              </w:rPr>
            </w:pPr>
            <w:r>
              <w:rPr>
                <w:rFonts w:ascii="Arial" w:cs="Arial" w:eastAsia="Arial" w:hAnsi="Arial"/>
                <w:sz w:val="22"/>
                <w:szCs w:val="22"/>
                <w:color w:val="auto"/>
              </w:rPr>
              <w:t>CA</w:t>
            </w:r>
          </w:p>
        </w:tc>
        <w:tc>
          <w:tcPr>
            <w:tcW w:w="2140" w:type="dxa"/>
            <w:vAlign w:val="bottom"/>
          </w:tcPr>
          <w:p>
            <w:pPr>
              <w:jc w:val="right"/>
              <w:ind w:right="1412"/>
              <w:spacing w:after="0"/>
              <w:rPr>
                <w:sz w:val="20"/>
                <w:szCs w:val="20"/>
                <w:color w:val="auto"/>
              </w:rPr>
            </w:pPr>
            <w:r>
              <w:rPr>
                <w:rFonts w:ascii="Arial" w:cs="Arial" w:eastAsia="Arial" w:hAnsi="Arial"/>
                <w:sz w:val="22"/>
                <w:szCs w:val="22"/>
                <w:color w:val="auto"/>
                <w:w w:val="98"/>
              </w:rPr>
              <w:t>95113</w:t>
            </w:r>
          </w:p>
        </w:tc>
        <w:tc>
          <w:tcPr>
            <w:tcW w:w="3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2" w:right="339" w:bottom="82"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02" w:right="339" w:bottom="82"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Remarks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9"/>
          <w:szCs w:val="19"/>
          <w:color w:val="auto"/>
        </w:rPr>
        <w:t>The sales of shares set forth herein are made in connection with a selling plan dated June 15th, 2023 that is intended to comply with Rule 10b5-1(c). Total number of shares to be sold Includes 56,037 shares by Eric Yuan and 33,378 shares by The 2018 Yuan and Zhang Revocable Trust.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10/10/2023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740" w:lineRule="exact"/>
        <w:rPr>
          <w:sz w:val="20"/>
          <w:szCs w:val="20"/>
          <w:color w:val="auto"/>
        </w:rPr>
      </w:pPr>
    </w:p>
    <w:p>
      <w:pPr>
        <w:sectPr>
          <w:pgSz w:w="11900" w:h="16838" w:orient="portrait"/>
          <w:cols w:equalWidth="0" w:num="2">
            <w:col w:w="2200" w:space="140"/>
            <w:col w:w="8820"/>
          </w:cols>
          <w:pgMar w:left="360" w:top="118" w:right="379" w:bottom="1440" w:gutter="0" w:footer="0" w:header="0"/>
        </w:sectPr>
      </w:pP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Eric Yuan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2023-10-10T17:11:09Z</dcterms:created>
  <dcterms:modified xsi:type="dcterms:W3CDTF">2023-10-10T17:11:09Z</dcterms:modified>
</cp:coreProperties>
</file>