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35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______________________________________</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Zoom Video Communications,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_____________________________________________________</w:t>
      </w:r>
    </w:p>
    <w:p>
      <w:pPr>
        <w:spacing w:after="0" w:line="3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33" w:lineRule="exact"/>
        <w:rPr>
          <w:sz w:val="24"/>
          <w:szCs w:val="24"/>
          <w:color w:val="auto"/>
        </w:rPr>
      </w:pPr>
    </w:p>
    <w:p>
      <w:pPr>
        <w:ind w:left="1180" w:hanging="20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80" w:hanging="200"/>
        <w:spacing w:after="0"/>
        <w:tabs>
          <w:tab w:leader="none" w:pos="11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19" w:lineRule="exact"/>
        <w:rPr>
          <w:rFonts w:ascii="MS PGothic" w:cs="MS PGothic" w:eastAsia="MS PGothic" w:hAnsi="MS PGothic"/>
          <w:sz w:val="18"/>
          <w:szCs w:val="18"/>
          <w:color w:val="auto"/>
        </w:rPr>
      </w:pPr>
    </w:p>
    <w:p>
      <w:pPr>
        <w:ind w:left="720" w:right="160" w:hanging="689"/>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1206" w:right="259" w:bottom="1440" w:gutter="0" w:footer="0" w:header="0"/>
        </w:sectPr>
      </w:pPr>
    </w:p>
    <w:bookmarkStart w:id="1" w:name="page2"/>
    <w:bookmarkEnd w:id="1"/>
    <w:tbl>
      <w:tblPr>
        <w:tblLayout w:type="fixed"/>
        <w:tblInd w:w="12" w:type="dxa"/>
        <w:tblCellMar>
          <w:top w:w="0" w:type="dxa"/>
          <w:left w:w="0" w:type="dxa"/>
          <w:bottom w:w="0" w:type="dxa"/>
          <w:right w:w="0" w:type="dxa"/>
        </w:tblCellMar>
      </w:tblPr>
      <w:tr>
        <w:trPr>
          <w:trHeight w:val="257"/>
        </w:trPr>
        <w:tc>
          <w:tcPr>
            <w:tcW w:w="2040" w:type="dxa"/>
            <w:vAlign w:val="bottom"/>
            <w:gridSpan w:val="4"/>
          </w:tcPr>
          <w:p>
            <w:pPr>
              <w:spacing w:after="0"/>
              <w:rPr>
                <w:sz w:val="20"/>
                <w:szCs w:val="20"/>
                <w:color w:val="auto"/>
              </w:rPr>
            </w:pPr>
            <w:r>
              <w:rPr>
                <w:rFonts w:ascii="Arial" w:cs="Arial" w:eastAsia="Arial" w:hAnsi="Arial"/>
                <w:sz w:val="18"/>
                <w:szCs w:val="18"/>
                <w:color w:val="auto"/>
              </w:rPr>
              <w:t>CUSIP No. 9890L101</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320" w:type="dxa"/>
            <w:vAlign w:val="bottom"/>
          </w:tcPr>
          <w:p>
            <w:pPr>
              <w:ind w:left="2280"/>
              <w:spacing w:after="0"/>
              <w:rPr>
                <w:sz w:val="20"/>
                <w:szCs w:val="20"/>
                <w:color w:val="auto"/>
              </w:rPr>
            </w:pPr>
            <w:r>
              <w:rPr>
                <w:rFonts w:ascii="Arial" w:cs="Arial" w:eastAsia="Arial" w:hAnsi="Arial"/>
                <w:sz w:val="18"/>
                <w:szCs w:val="18"/>
                <w:color w:val="auto"/>
              </w:rPr>
              <w:t>SCHEDULE 13G</w:t>
            </w:r>
          </w:p>
        </w:tc>
        <w:tc>
          <w:tcPr>
            <w:tcW w:w="2200" w:type="dxa"/>
            <w:vAlign w:val="bottom"/>
          </w:tcPr>
          <w:p>
            <w:pPr>
              <w:ind w:left="1060"/>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r>
        <w:trPr>
          <w:trHeight w:val="500"/>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80" w:type="dxa"/>
            <w:vAlign w:val="bottom"/>
            <w:gridSpan w:val="4"/>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0"/>
                <w:szCs w:val="20"/>
                <w:color w:val="auto"/>
              </w:rPr>
            </w:pPr>
          </w:p>
        </w:tc>
        <w:tc>
          <w:tcPr>
            <w:tcW w:w="81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Eric S. Yuan</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40" w:type="dxa"/>
            <w:vAlign w:val="bottom"/>
            <w:tcBorders>
              <w:right w:val="single" w:sz="8" w:color="auto"/>
            </w:tcBorders>
          </w:tcPr>
          <w:p>
            <w:pPr>
              <w:spacing w:after="0"/>
              <w:rPr>
                <w:sz w:val="15"/>
                <w:szCs w:val="15"/>
                <w:color w:val="auto"/>
              </w:rPr>
            </w:pPr>
          </w:p>
        </w:tc>
        <w:tc>
          <w:tcPr>
            <w:tcW w:w="340" w:type="dxa"/>
            <w:vAlign w:val="bottom"/>
          </w:tcPr>
          <w:p>
            <w:pPr>
              <w:ind w:left="100"/>
              <w:spacing w:after="0" w:line="177"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5"/>
                <w:szCs w:val="15"/>
                <w:color w:val="auto"/>
              </w:rPr>
            </w:pPr>
          </w:p>
        </w:tc>
        <w:tc>
          <w:tcPr>
            <w:tcW w:w="8180" w:type="dxa"/>
            <w:vAlign w:val="bottom"/>
            <w:gridSpan w:val="4"/>
          </w:tcPr>
          <w:p>
            <w:pPr>
              <w:ind w:left="20"/>
              <w:spacing w:after="0" w:line="177" w:lineRule="exact"/>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(b)</w:t>
            </w:r>
          </w:p>
        </w:tc>
        <w:tc>
          <w:tcPr>
            <w:tcW w:w="740" w:type="dxa"/>
            <w:vAlign w:val="bottom"/>
            <w:gridSpan w:val="2"/>
          </w:tcPr>
          <w:p>
            <w:pPr>
              <w:jc w:val="right"/>
              <w:ind w:right="470"/>
              <w:spacing w:after="0" w:line="181" w:lineRule="exact"/>
              <w:rPr>
                <w:sz w:val="20"/>
                <w:szCs w:val="20"/>
                <w:color w:val="auto"/>
              </w:rPr>
            </w:pPr>
            <w:r>
              <w:rPr>
                <w:rFonts w:ascii="MS PGothic" w:cs="MS PGothic" w:eastAsia="MS PGothic" w:hAnsi="MS PGothic"/>
                <w:sz w:val="18"/>
                <w:szCs w:val="18"/>
                <w:color w:val="auto"/>
                <w:w w:val="88"/>
              </w:rPr>
              <w:t>☒</w:t>
            </w:r>
          </w:p>
        </w:tc>
        <w:tc>
          <w:tcPr>
            <w:tcW w:w="632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40" w:type="dxa"/>
            <w:vAlign w:val="bottom"/>
            <w:tcBorders>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gridSpan w:val="3"/>
          </w:tcPr>
          <w:p>
            <w:pPr>
              <w:spacing w:after="0"/>
              <w:rPr>
                <w:sz w:val="13"/>
                <w:szCs w:val="13"/>
                <w:color w:val="auto"/>
              </w:rPr>
            </w:pPr>
          </w:p>
        </w:tc>
        <w:tc>
          <w:tcPr>
            <w:tcW w:w="6320" w:type="dxa"/>
            <w:vAlign w:val="bottom"/>
            <w:tcBorders>
              <w:bottom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632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180" w:type="dxa"/>
            <w:vAlign w:val="bottom"/>
            <w:tcBorders>
              <w:bottom w:val="single" w:sz="8" w:color="auto"/>
            </w:tcBorders>
            <w:gridSpan w:val="4"/>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20"/>
                <w:szCs w:val="20"/>
                <w:color w:val="auto"/>
              </w:rPr>
            </w:pPr>
          </w:p>
        </w:tc>
        <w:tc>
          <w:tcPr>
            <w:tcW w:w="818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0"/>
              </w:rPr>
              <w:t>United States of America</w:t>
            </w: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6320" w:type="dxa"/>
            <w:vAlign w:val="bottom"/>
          </w:tcPr>
          <w:p>
            <w:pPr>
              <w:spacing w:after="0"/>
              <w:rPr>
                <w:sz w:val="20"/>
                <w:szCs w:val="20"/>
                <w:color w:val="auto"/>
              </w:rPr>
            </w:pPr>
            <w:r>
              <w:rPr>
                <w:rFonts w:ascii="Arial" w:cs="Arial" w:eastAsia="Arial" w:hAnsi="Arial"/>
                <w:sz w:val="18"/>
                <w:szCs w:val="18"/>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26,773,077(1)(5)</w:t>
            </w: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632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6.</w:t>
            </w:r>
          </w:p>
        </w:tc>
        <w:tc>
          <w:tcPr>
            <w:tcW w:w="63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6320" w:type="dxa"/>
            <w:vAlign w:val="bottom"/>
            <w:vMerge w:val="continue"/>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20,000,000(2)(5)</w:t>
            </w: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4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214"/>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7.</w:t>
            </w:r>
          </w:p>
        </w:tc>
        <w:tc>
          <w:tcPr>
            <w:tcW w:w="63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6320" w:type="dxa"/>
            <w:vAlign w:val="bottom"/>
            <w:vMerge w:val="continue"/>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632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26,769,077(3)(5)</w:t>
            </w: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214"/>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63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20,004,000(4)(5)</w:t>
            </w: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auto"/>
            </w:tcBorders>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89"/>
              </w:rPr>
              <w:t>AGGREGATE AMOUNT</w:t>
            </w:r>
          </w:p>
        </w:tc>
        <w:tc>
          <w:tcPr>
            <w:tcW w:w="6320" w:type="dxa"/>
            <w:vAlign w:val="bottom"/>
          </w:tcPr>
          <w:p>
            <w:pPr>
              <w:ind w:left="160"/>
              <w:spacing w:after="0"/>
              <w:rPr>
                <w:sz w:val="20"/>
                <w:szCs w:val="20"/>
                <w:color w:val="auto"/>
              </w:rPr>
            </w:pPr>
            <w:r>
              <w:rPr>
                <w:rFonts w:ascii="Arial" w:cs="Arial" w:eastAsia="Arial" w:hAnsi="Arial"/>
                <w:sz w:val="18"/>
                <w:szCs w:val="18"/>
                <w:color w:val="auto"/>
              </w:rPr>
              <w:t>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46,773,077</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10.</w:t>
            </w:r>
          </w:p>
        </w:tc>
        <w:tc>
          <w:tcPr>
            <w:tcW w:w="240" w:type="dxa"/>
            <w:vAlign w:val="bottom"/>
            <w:tcBorders>
              <w:right w:val="single" w:sz="8" w:color="auto"/>
            </w:tcBorders>
          </w:tcPr>
          <w:p>
            <w:pPr>
              <w:spacing w:after="0"/>
              <w:rPr>
                <w:sz w:val="20"/>
                <w:szCs w:val="20"/>
                <w:color w:val="auto"/>
              </w:rPr>
            </w:pPr>
          </w:p>
        </w:tc>
        <w:tc>
          <w:tcPr>
            <w:tcW w:w="818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11.</w:t>
            </w:r>
          </w:p>
        </w:tc>
        <w:tc>
          <w:tcPr>
            <w:tcW w:w="240" w:type="dxa"/>
            <w:vAlign w:val="bottom"/>
            <w:tcBorders>
              <w:right w:val="single" w:sz="8" w:color="auto"/>
            </w:tcBorders>
          </w:tcPr>
          <w:p>
            <w:pPr>
              <w:spacing w:after="0"/>
              <w:rPr>
                <w:sz w:val="20"/>
                <w:szCs w:val="20"/>
                <w:color w:val="auto"/>
              </w:rPr>
            </w:pPr>
          </w:p>
        </w:tc>
        <w:tc>
          <w:tcPr>
            <w:tcW w:w="818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28.5%(5)(6)(7)</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12.</w:t>
            </w:r>
          </w:p>
        </w:tc>
        <w:tc>
          <w:tcPr>
            <w:tcW w:w="240" w:type="dxa"/>
            <w:vAlign w:val="bottom"/>
            <w:tcBorders>
              <w:right w:val="single" w:sz="8" w:color="auto"/>
            </w:tcBorders>
          </w:tcPr>
          <w:p>
            <w:pPr>
              <w:spacing w:after="0"/>
              <w:rPr>
                <w:sz w:val="20"/>
                <w:szCs w:val="20"/>
                <w:color w:val="auto"/>
              </w:rPr>
            </w:pPr>
          </w:p>
        </w:tc>
        <w:tc>
          <w:tcPr>
            <w:tcW w:w="818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32" w:hanging="332"/>
        <w:spacing w:after="0" w:line="254"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26,269,077 shares of Class B Common Stock held of record by Mr. Yuan, 500,000 shares of Class B Common Stock subject to options exercisable within 60 days of December 31, 2019, of which 156,250 shares of Class B Common Stock are vested as of such date, and 4,000 shares of Class B Common Stock held of record by Zilin Liu, an immediate family member of Mr. Yuan, who has granted Mr. Yuan a proxy to vote the shares held by her.</w:t>
      </w:r>
    </w:p>
    <w:p>
      <w:pPr>
        <w:spacing w:after="0" w:line="2" w:lineRule="exact"/>
        <w:rPr>
          <w:rFonts w:ascii="Arial" w:cs="Arial" w:eastAsia="Arial" w:hAnsi="Arial"/>
          <w:sz w:val="18"/>
          <w:szCs w:val="18"/>
          <w:color w:val="auto"/>
        </w:rPr>
      </w:pPr>
    </w:p>
    <w:p>
      <w:pPr>
        <w:ind w:left="332" w:right="120" w:hanging="332"/>
        <w:spacing w:after="0" w:line="250"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20,000,000 shares of Class B Common Stock held of record by Zheng Yuan and Hongyu Zhang, cotrustees of the Zheng Yuan 2019 Grantor Retained Annuity Trust, for which Mr. Yuan and his spouse serve as cotrustees.</w:t>
      </w:r>
    </w:p>
    <w:p>
      <w:pPr>
        <w:ind w:left="332" w:right="200" w:hanging="332"/>
        <w:spacing w:after="0" w:line="265" w:lineRule="auto"/>
        <w:tabs>
          <w:tab w:leader="none" w:pos="32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26,269,077 shares of Class B Common Stock held of record by Mr. Yuan, and 500,000 shares of Class B Common Stock subject to options exercisable within 60 days of December 31, 2019, of which 156,250 shares of Class B Common Stock are vested as of such date.</w:t>
      </w:r>
    </w:p>
    <w:p>
      <w:pPr>
        <w:jc w:val="both"/>
        <w:ind w:left="332" w:right="100" w:hanging="332"/>
        <w:spacing w:after="0" w:line="250"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20,000,000 shares of Class B Common Stock held of record by Zheng Yuan and Hongyu Zhang, cotrustees of the Zheng Yuan 2019 Grantor Retained Annuity Trust, for which Mr. Yuan and his spouse serve as cotrustees, and 4,000 shares of Class B Common Stock held of record by Zilin Liu, an immediate family member of Mr. Yuan, of which Mr. Yuan has shared dispositive power.</w:t>
      </w:r>
    </w:p>
    <w:p>
      <w:pPr>
        <w:spacing w:after="0" w:line="1" w:lineRule="exact"/>
        <w:rPr>
          <w:rFonts w:ascii="Arial" w:cs="Arial" w:eastAsia="Arial" w:hAnsi="Arial"/>
          <w:sz w:val="18"/>
          <w:szCs w:val="18"/>
          <w:color w:val="auto"/>
        </w:rPr>
      </w:pPr>
    </w:p>
    <w:p>
      <w:pPr>
        <w:ind w:left="332" w:right="300" w:hanging="332"/>
        <w:spacing w:after="0" w:line="250"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332" w:right="240" w:hanging="332"/>
        <w:spacing w:after="0" w:line="261"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117,327,481 shares of Class A Common Stock and (ii) 160,060,070 shares of Class B Common Stock outstanding as of December 31, 2019.</w:t>
      </w:r>
    </w:p>
    <w:p>
      <w:pPr>
        <w:sectPr>
          <w:pgSz w:w="11900" w:h="16838" w:orient="portrait"/>
          <w:cols w:equalWidth="0" w:num="1">
            <w:col w:w="11372"/>
          </w:cols>
          <w:pgMar w:left="248" w:top="179" w:right="279" w:bottom="1440" w:gutter="0" w:footer="0" w:header="0"/>
        </w:sectPr>
      </w:pPr>
    </w:p>
    <w:bookmarkStart w:id="2" w:name="page3"/>
    <w:bookmarkEnd w:id="2"/>
    <w:p>
      <w:pPr>
        <w:ind w:left="12"/>
        <w:spacing w:after="0"/>
        <w:tabs>
          <w:tab w:leader="none" w:pos="5052" w:val="left"/>
          <w:tab w:leader="none" w:pos="10152"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pacing w:after="0" w:line="200" w:lineRule="exact"/>
        <w:rPr>
          <w:sz w:val="20"/>
          <w:szCs w:val="20"/>
          <w:color w:val="auto"/>
        </w:rPr>
      </w:pPr>
    </w:p>
    <w:p>
      <w:pPr>
        <w:spacing w:after="0" w:line="309" w:lineRule="exact"/>
        <w:rPr>
          <w:sz w:val="20"/>
          <w:szCs w:val="20"/>
          <w:color w:val="auto"/>
        </w:rPr>
      </w:pPr>
    </w:p>
    <w:p>
      <w:pPr>
        <w:ind w:left="332" w:hanging="332"/>
        <w:spacing w:after="0" w:line="265"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46,773,077 shares of Class B Common Stock held by Eris S. Yuan represents 27.2% of the aggregate combined voting power of the Class A Common Stock and Class B Common Stock.</w:t>
      </w:r>
    </w:p>
    <w:p>
      <w:pPr>
        <w:spacing w:after="0" w:line="272" w:lineRule="exact"/>
        <w:rPr>
          <w:sz w:val="20"/>
          <w:szCs w:val="20"/>
          <w:color w:val="auto"/>
        </w:rPr>
      </w:pPr>
    </w:p>
    <w:p>
      <w:pPr>
        <w:ind w:left="12"/>
        <w:spacing w:after="0"/>
        <w:tabs>
          <w:tab w:leader="none" w:pos="1072"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337" w:lineRule="exact"/>
        <w:rPr>
          <w:sz w:val="20"/>
          <w:szCs w:val="20"/>
          <w:color w:val="auto"/>
        </w:rPr>
      </w:pPr>
    </w:p>
    <w:p>
      <w:pPr>
        <w:ind w:left="2172" w:hanging="1087"/>
        <w:spacing w:after="0"/>
        <w:tabs>
          <w:tab w:leader="none" w:pos="217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56" w:lineRule="exact"/>
        <w:rPr>
          <w:rFonts w:ascii="Arial" w:cs="Arial" w:eastAsia="Arial" w:hAnsi="Arial"/>
          <w:sz w:val="18"/>
          <w:szCs w:val="18"/>
          <w:color w:val="auto"/>
        </w:rPr>
      </w:pPr>
    </w:p>
    <w:p>
      <w:pPr>
        <w:ind w:left="2172"/>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2172" w:hanging="1087"/>
        <w:spacing w:after="0"/>
        <w:tabs>
          <w:tab w:leader="none" w:pos="21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304" w:lineRule="exact"/>
        <w:rPr>
          <w:sz w:val="20"/>
          <w:szCs w:val="20"/>
          <w:color w:val="auto"/>
        </w:rPr>
      </w:pPr>
    </w:p>
    <w:p>
      <w:pPr>
        <w:ind w:left="2172"/>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6"/>
          <w:szCs w:val="16"/>
          <w:color w:val="auto"/>
        </w:rPr>
        <w:t>th</w:t>
      </w:r>
      <w:r>
        <w:rPr>
          <w:rFonts w:ascii="Arial" w:cs="Arial" w:eastAsia="Arial" w:hAnsi="Arial"/>
          <w:sz w:val="18"/>
          <w:szCs w:val="18"/>
          <w:color w:val="auto"/>
        </w:rPr>
        <w:t xml:space="preserve"> Floor</w:t>
      </w:r>
    </w:p>
    <w:p>
      <w:pPr>
        <w:ind w:left="2172"/>
        <w:spacing w:after="0"/>
        <w:rPr>
          <w:sz w:val="20"/>
          <w:szCs w:val="20"/>
          <w:color w:val="auto"/>
        </w:rPr>
      </w:pPr>
      <w:r>
        <w:rPr>
          <w:rFonts w:ascii="Arial" w:cs="Arial" w:eastAsia="Arial" w:hAnsi="Arial"/>
          <w:sz w:val="18"/>
          <w:szCs w:val="18"/>
          <w:color w:val="auto"/>
        </w:rPr>
        <w:t>San Jose, California 95113</w:t>
      </w:r>
    </w:p>
    <w:p>
      <w:pPr>
        <w:spacing w:after="0" w:line="286" w:lineRule="exact"/>
        <w:rPr>
          <w:sz w:val="20"/>
          <w:szCs w:val="20"/>
          <w:color w:val="auto"/>
        </w:rPr>
      </w:pPr>
    </w:p>
    <w:p>
      <w:pPr>
        <w:ind w:left="12"/>
        <w:spacing w:after="0"/>
        <w:tabs>
          <w:tab w:leader="none" w:pos="1072"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337" w:lineRule="exact"/>
        <w:rPr>
          <w:sz w:val="20"/>
          <w:szCs w:val="20"/>
          <w:color w:val="auto"/>
        </w:rPr>
      </w:pPr>
    </w:p>
    <w:p>
      <w:pPr>
        <w:ind w:left="2172" w:right="7240" w:hanging="1087"/>
        <w:spacing w:after="0" w:line="469" w:lineRule="auto"/>
        <w:tabs>
          <w:tab w:leader="none" w:pos="217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Persons Filing: Eric S. Yuan</w:t>
      </w:r>
    </w:p>
    <w:p>
      <w:pPr>
        <w:spacing w:after="0" w:line="1" w:lineRule="exact"/>
        <w:rPr>
          <w:rFonts w:ascii="Arial" w:cs="Arial" w:eastAsia="Arial" w:hAnsi="Arial"/>
          <w:sz w:val="18"/>
          <w:szCs w:val="18"/>
          <w:color w:val="auto"/>
        </w:rPr>
      </w:pPr>
    </w:p>
    <w:p>
      <w:pPr>
        <w:ind w:left="2172" w:hanging="1087"/>
        <w:spacing w:after="0"/>
        <w:tabs>
          <w:tab w:leader="none" w:pos="2172"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33" w:lineRule="exact"/>
        <w:rPr>
          <w:rFonts w:ascii="Arial" w:cs="Arial" w:eastAsia="Arial" w:hAnsi="Arial"/>
          <w:sz w:val="18"/>
          <w:szCs w:val="18"/>
          <w:color w:val="auto"/>
        </w:rPr>
      </w:pPr>
    </w:p>
    <w:p>
      <w:pPr>
        <w:ind w:left="2172" w:right="650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31" w:lineRule="exact"/>
        <w:rPr>
          <w:rFonts w:ascii="Arial" w:cs="Arial" w:eastAsia="Arial" w:hAnsi="Arial"/>
          <w:sz w:val="18"/>
          <w:szCs w:val="18"/>
          <w:color w:val="auto"/>
        </w:rPr>
      </w:pPr>
    </w:p>
    <w:p>
      <w:pPr>
        <w:ind w:left="2172" w:hanging="1087"/>
        <w:spacing w:after="0"/>
        <w:tabs>
          <w:tab w:leader="none" w:pos="21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19" w:lineRule="exact"/>
        <w:rPr>
          <w:rFonts w:ascii="Arial" w:cs="Arial" w:eastAsia="Arial" w:hAnsi="Arial"/>
          <w:sz w:val="18"/>
          <w:szCs w:val="18"/>
          <w:color w:val="auto"/>
        </w:rPr>
      </w:pPr>
    </w:p>
    <w:p>
      <w:pPr>
        <w:ind w:left="2172"/>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19" w:lineRule="exact"/>
        <w:rPr>
          <w:rFonts w:ascii="Arial" w:cs="Arial" w:eastAsia="Arial" w:hAnsi="Arial"/>
          <w:sz w:val="18"/>
          <w:szCs w:val="18"/>
          <w:color w:val="auto"/>
        </w:rPr>
      </w:pPr>
    </w:p>
    <w:p>
      <w:pPr>
        <w:ind w:left="2172" w:hanging="1087"/>
        <w:spacing w:after="0"/>
        <w:tabs>
          <w:tab w:leader="none" w:pos="21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56" w:lineRule="exact"/>
        <w:rPr>
          <w:rFonts w:ascii="Arial" w:cs="Arial" w:eastAsia="Arial" w:hAnsi="Arial"/>
          <w:sz w:val="18"/>
          <w:szCs w:val="18"/>
          <w:color w:val="auto"/>
        </w:rPr>
      </w:pPr>
    </w:p>
    <w:p>
      <w:pPr>
        <w:ind w:left="2172"/>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310" w:lineRule="exact"/>
        <w:rPr>
          <w:rFonts w:ascii="Arial" w:cs="Arial" w:eastAsia="Arial" w:hAnsi="Arial"/>
          <w:sz w:val="18"/>
          <w:szCs w:val="18"/>
          <w:color w:val="auto"/>
        </w:rPr>
      </w:pPr>
    </w:p>
    <w:p>
      <w:pPr>
        <w:ind w:left="2172" w:right="7800" w:hanging="1087"/>
        <w:spacing w:after="0" w:line="702" w:lineRule="auto"/>
        <w:tabs>
          <w:tab w:leader="none" w:pos="2172"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98980L101</w:t>
      </w:r>
    </w:p>
    <w:p>
      <w:pPr>
        <w:ind w:left="12"/>
        <w:spacing w:after="0"/>
        <w:tabs>
          <w:tab w:leader="none" w:pos="107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305" w:lineRule="exact"/>
        <w:rPr>
          <w:sz w:val="20"/>
          <w:szCs w:val="20"/>
          <w:color w:val="auto"/>
        </w:rPr>
      </w:pPr>
    </w:p>
    <w:p>
      <w:pPr>
        <w:ind w:left="2172" w:hanging="1087"/>
        <w:spacing w:after="0" w:line="207" w:lineRule="exact"/>
        <w:tabs>
          <w:tab w:leader="none" w:pos="217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333" w:lineRule="exact"/>
        <w:rPr>
          <w:rFonts w:ascii="Arial" w:cs="Arial" w:eastAsia="Arial" w:hAnsi="Arial"/>
          <w:sz w:val="18"/>
          <w:szCs w:val="18"/>
          <w:color w:val="auto"/>
        </w:rPr>
      </w:pPr>
    </w:p>
    <w:p>
      <w:pPr>
        <w:ind w:left="2172" w:hanging="1087"/>
        <w:spacing w:after="0" w:line="207" w:lineRule="exact"/>
        <w:tabs>
          <w:tab w:leader="none" w:pos="217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333" w:lineRule="exact"/>
        <w:rPr>
          <w:rFonts w:ascii="Arial" w:cs="Arial" w:eastAsia="Arial" w:hAnsi="Arial"/>
          <w:sz w:val="18"/>
          <w:szCs w:val="18"/>
          <w:color w:val="auto"/>
        </w:rPr>
      </w:pPr>
    </w:p>
    <w:p>
      <w:pPr>
        <w:ind w:left="2172" w:hanging="1087"/>
        <w:spacing w:after="0" w:line="207" w:lineRule="exact"/>
        <w:tabs>
          <w:tab w:leader="none" w:pos="217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ectPr>
          <w:pgSz w:w="11900" w:h="16838" w:orient="portrait"/>
          <w:cols w:equalWidth="0" w:num="1">
            <w:col w:w="11152"/>
          </w:cols>
          <w:pgMar w:left="248" w:top="179"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2060" w:type="dxa"/>
            <w:vAlign w:val="bottom"/>
            <w:gridSpan w:val="2"/>
          </w:tcPr>
          <w:p>
            <w:pPr>
              <w:spacing w:after="0"/>
              <w:rPr>
                <w:sz w:val="20"/>
                <w:szCs w:val="20"/>
                <w:color w:val="auto"/>
              </w:rPr>
            </w:pPr>
            <w:r>
              <w:rPr>
                <w:rFonts w:ascii="Arial" w:cs="Arial" w:eastAsia="Arial" w:hAnsi="Arial"/>
                <w:sz w:val="18"/>
                <w:szCs w:val="18"/>
                <w:color w:val="auto"/>
              </w:rPr>
              <w:t>CUSIP No. 9890L101</w:t>
            </w:r>
          </w:p>
        </w:tc>
        <w:tc>
          <w:tcPr>
            <w:tcW w:w="560" w:type="dxa"/>
            <w:vAlign w:val="bottom"/>
          </w:tcPr>
          <w:p>
            <w:pPr>
              <w:spacing w:after="0"/>
              <w:rPr>
                <w:sz w:val="22"/>
                <w:szCs w:val="22"/>
                <w:color w:val="auto"/>
              </w:rPr>
            </w:pPr>
          </w:p>
        </w:tc>
        <w:tc>
          <w:tcPr>
            <w:tcW w:w="7100" w:type="dxa"/>
            <w:vAlign w:val="bottom"/>
          </w:tcPr>
          <w:p>
            <w:pPr>
              <w:ind w:left="2440"/>
              <w:spacing w:after="0"/>
              <w:rPr>
                <w:sz w:val="20"/>
                <w:szCs w:val="20"/>
                <w:color w:val="auto"/>
              </w:rPr>
            </w:pPr>
            <w:r>
              <w:rPr>
                <w:rFonts w:ascii="Arial" w:cs="Arial" w:eastAsia="Arial" w:hAnsi="Arial"/>
                <w:sz w:val="18"/>
                <w:szCs w:val="18"/>
                <w:color w:val="auto"/>
              </w:rPr>
              <w:t>SCHEDULE 13G</w:t>
            </w:r>
          </w:p>
        </w:tc>
        <w:tc>
          <w:tcPr>
            <w:tcW w:w="1260" w:type="dxa"/>
            <w:vAlign w:val="bottom"/>
          </w:tcPr>
          <w:p>
            <w:pPr>
              <w:ind w:left="440"/>
              <w:spacing w:after="0"/>
              <w:rPr>
                <w:sz w:val="20"/>
                <w:szCs w:val="20"/>
                <w:color w:val="auto"/>
              </w:rPr>
            </w:pPr>
            <w:r>
              <w:rPr>
                <w:rFonts w:ascii="Arial" w:cs="Arial" w:eastAsia="Arial" w:hAnsi="Arial"/>
                <w:sz w:val="18"/>
                <w:szCs w:val="18"/>
                <w:color w:val="auto"/>
                <w:w w:val="86"/>
              </w:rPr>
              <w:t>Page 4 of 5</w:t>
            </w:r>
          </w:p>
        </w:tc>
      </w:tr>
      <w:tr>
        <w:trPr>
          <w:trHeight w:val="763"/>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(d)</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100" w:type="dxa"/>
            <w:vAlign w:val="bottom"/>
          </w:tcPr>
          <w:p>
            <w:pPr>
              <w:ind w:left="180"/>
              <w:spacing w:after="0"/>
              <w:rPr>
                <w:sz w:val="20"/>
                <w:szCs w:val="20"/>
                <w:color w:val="auto"/>
              </w:rPr>
            </w:pPr>
            <w:r>
              <w:rPr>
                <w:rFonts w:ascii="Arial" w:cs="Arial" w:eastAsia="Arial" w:hAnsi="Arial"/>
                <w:sz w:val="18"/>
                <w:szCs w:val="18"/>
                <w:color w:val="auto"/>
                <w:w w:val="97"/>
              </w:rPr>
              <w:t>Investment company registered under Section 8 of the Investment Company Act of 1940;</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(e)</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100" w:type="dxa"/>
            <w:vAlign w:val="bottom"/>
          </w:tcPr>
          <w:p>
            <w:pPr>
              <w:ind w:left="180"/>
              <w:spacing w:after="0"/>
              <w:rPr>
                <w:sz w:val="20"/>
                <w:szCs w:val="20"/>
                <w:color w:val="auto"/>
              </w:rPr>
            </w:pPr>
            <w:r>
              <w:rPr>
                <w:rFonts w:ascii="Arial" w:cs="Arial" w:eastAsia="Arial" w:hAnsi="Arial"/>
                <w:sz w:val="18"/>
                <w:szCs w:val="18"/>
                <w:color w:val="auto"/>
              </w:rPr>
              <w:t>An investment adviser in accordance with Rule 13d-1(b)(1)(ii)(E);</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(f)</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100" w:type="dxa"/>
            <w:vAlign w:val="bottom"/>
          </w:tcPr>
          <w:p>
            <w:pPr>
              <w:ind w:left="180"/>
              <w:spacing w:after="0"/>
              <w:rPr>
                <w:sz w:val="20"/>
                <w:szCs w:val="20"/>
                <w:color w:val="auto"/>
              </w:rPr>
            </w:pPr>
            <w:r>
              <w:rPr>
                <w:rFonts w:ascii="Arial" w:cs="Arial" w:eastAsia="Arial" w:hAnsi="Arial"/>
                <w:sz w:val="18"/>
                <w:szCs w:val="18"/>
                <w:color w:val="auto"/>
                <w:w w:val="98"/>
              </w:rPr>
              <w:t>An employee benefit plan or endowment fund in accordance with Rule 13d-1(b)(1)(ii)(F);</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(g)</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100" w:type="dxa"/>
            <w:vAlign w:val="bottom"/>
          </w:tcPr>
          <w:p>
            <w:pPr>
              <w:ind w:left="180"/>
              <w:spacing w:after="0"/>
              <w:rPr>
                <w:sz w:val="20"/>
                <w:szCs w:val="20"/>
                <w:color w:val="auto"/>
              </w:rPr>
            </w:pPr>
            <w:r>
              <w:rPr>
                <w:rFonts w:ascii="Arial" w:cs="Arial" w:eastAsia="Arial" w:hAnsi="Arial"/>
                <w:sz w:val="18"/>
                <w:szCs w:val="18"/>
                <w:color w:val="auto"/>
                <w:w w:val="99"/>
              </w:rPr>
              <w:t>A parent holding company or control person in accordance with Rule 13d-1(b)(1)(ii)(G);</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(h)</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A savings associations as defined in Section 3(b) of the Federal Deposit Insurance Act (12 U.S.C. 1813);</w:t>
            </w:r>
          </w:p>
        </w:tc>
      </w:tr>
      <w:tr>
        <w:trPr>
          <w:trHeight w:val="506"/>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(i)</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A church plan that is excluded from the definition of an investment company under section 3(c)(14) of the</w:t>
            </w:r>
          </w:p>
        </w:tc>
      </w:tr>
      <w:tr>
        <w:trPr>
          <w:trHeight w:val="230"/>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Investment Company Act of 1940;</w:t>
            </w:r>
          </w:p>
        </w:tc>
        <w:tc>
          <w:tcPr>
            <w:tcW w:w="1260" w:type="dxa"/>
            <w:vAlign w:val="bottom"/>
          </w:tcPr>
          <w:p>
            <w:pPr>
              <w:spacing w:after="0"/>
              <w:rPr>
                <w:sz w:val="20"/>
                <w:szCs w:val="20"/>
                <w:color w:val="auto"/>
              </w:rPr>
            </w:pPr>
          </w:p>
        </w:tc>
      </w:tr>
      <w:tr>
        <w:trPr>
          <w:trHeight w:val="56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(j)</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100" w:type="dxa"/>
            <w:vAlign w:val="bottom"/>
          </w:tcPr>
          <w:p>
            <w:pPr>
              <w:ind w:left="180"/>
              <w:spacing w:after="0"/>
              <w:rPr>
                <w:sz w:val="20"/>
                <w:szCs w:val="20"/>
                <w:color w:val="auto"/>
              </w:rPr>
            </w:pPr>
            <w:r>
              <w:rPr>
                <w:rFonts w:ascii="Arial" w:cs="Arial" w:eastAsia="Arial" w:hAnsi="Arial"/>
                <w:sz w:val="18"/>
                <w:szCs w:val="18"/>
                <w:color w:val="auto"/>
              </w:rPr>
              <w:t>A non-U.S. institution in accordance with Rule 240.13d-1(b)(1)(ii)(J);</w:t>
            </w:r>
          </w:p>
        </w:tc>
        <w:tc>
          <w:tcPr>
            <w:tcW w:w="1260" w:type="dxa"/>
            <w:vAlign w:val="bottom"/>
          </w:tcPr>
          <w:p>
            <w:pPr>
              <w:spacing w:after="0"/>
              <w:rPr>
                <w:sz w:val="24"/>
                <w:szCs w:val="24"/>
                <w:color w:val="auto"/>
              </w:rPr>
            </w:pPr>
          </w:p>
        </w:tc>
      </w:tr>
      <w:tr>
        <w:trPr>
          <w:trHeight w:val="506"/>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(k)</w:t>
            </w:r>
          </w:p>
        </w:tc>
        <w:tc>
          <w:tcPr>
            <w:tcW w:w="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Group, in accordance with Rule 240.13d-1(b)(1)(ii)(K). If filing as a non-U.S. institution in accordance with</w:t>
            </w:r>
          </w:p>
        </w:tc>
      </w:tr>
      <w:tr>
        <w:trPr>
          <w:trHeight w:val="230"/>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Rule 240.13d-1(b)(1)(ii)(J), please specify the type of institution:</w:t>
            </w:r>
          </w:p>
        </w:tc>
        <w:tc>
          <w:tcPr>
            <w:tcW w:w="1260" w:type="dxa"/>
            <w:vAlign w:val="bottom"/>
          </w:tcPr>
          <w:p>
            <w:pPr>
              <w:spacing w:after="0"/>
              <w:rPr>
                <w:sz w:val="20"/>
                <w:szCs w:val="20"/>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920" w:type="dxa"/>
            <w:vAlign w:val="bottom"/>
            <w:gridSpan w:val="3"/>
          </w:tcPr>
          <w:p>
            <w:pPr>
              <w:ind w:left="100"/>
              <w:spacing w:after="0"/>
              <w:rPr>
                <w:sz w:val="20"/>
                <w:szCs w:val="20"/>
                <w:color w:val="auto"/>
              </w:rPr>
            </w:pPr>
            <w:r>
              <w:rPr>
                <w:rFonts w:ascii="Arial" w:cs="Arial" w:eastAsia="Arial" w:hAnsi="Arial"/>
                <w:sz w:val="18"/>
                <w:szCs w:val="18"/>
                <w:color w:val="auto"/>
                <w:w w:val="99"/>
              </w:rPr>
              <w:t>If filing as a non-U.S. institution in accordance with §240.13d-1(b)(1)(ii)(J), please specify the type of institution:</w:t>
            </w:r>
          </w:p>
        </w:tc>
      </w:tr>
      <w:tr>
        <w:trPr>
          <w:trHeight w:val="540"/>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w w:val="97"/>
              </w:rPr>
              <w:t>Ownership.</w:t>
            </w:r>
          </w:p>
        </w:tc>
        <w:tc>
          <w:tcPr>
            <w:tcW w:w="5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(a)</w:t>
            </w: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Amount beneficially owned:</w:t>
            </w:r>
          </w:p>
        </w:tc>
        <w:tc>
          <w:tcPr>
            <w:tcW w:w="126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See response in Row 9 on page 2 for Reporting Person</w:t>
            </w:r>
          </w:p>
        </w:tc>
        <w:tc>
          <w:tcPr>
            <w:tcW w:w="1260" w:type="dxa"/>
            <w:vAlign w:val="bottom"/>
          </w:tcPr>
          <w:p>
            <w:pPr>
              <w:spacing w:after="0"/>
              <w:rPr>
                <w:sz w:val="23"/>
                <w:szCs w:val="23"/>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(b)</w:t>
            </w: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Percent of Class:</w:t>
            </w:r>
          </w:p>
        </w:tc>
        <w:tc>
          <w:tcPr>
            <w:tcW w:w="126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See response in Row 11 on page 2 for Reporting Person</w:t>
            </w:r>
          </w:p>
        </w:tc>
        <w:tc>
          <w:tcPr>
            <w:tcW w:w="1260" w:type="dxa"/>
            <w:vAlign w:val="bottom"/>
          </w:tcPr>
          <w:p>
            <w:pPr>
              <w:spacing w:after="0"/>
              <w:rPr>
                <w:sz w:val="23"/>
                <w:szCs w:val="23"/>
                <w:color w:val="auto"/>
              </w:rPr>
            </w:pPr>
          </w:p>
        </w:tc>
      </w:tr>
      <w:tr>
        <w:trPr>
          <w:trHeight w:val="54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(c)</w:t>
            </w: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Number of shares as to which such person has:</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(i)</w:t>
            </w:r>
          </w:p>
        </w:tc>
        <w:tc>
          <w:tcPr>
            <w:tcW w:w="710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26,773,077</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(ii)</w:t>
            </w:r>
          </w:p>
        </w:tc>
        <w:tc>
          <w:tcPr>
            <w:tcW w:w="710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20,000,000</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(iii)</w:t>
            </w:r>
          </w:p>
        </w:tc>
        <w:tc>
          <w:tcPr>
            <w:tcW w:w="710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26,769,077</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(iv)</w:t>
            </w:r>
          </w:p>
        </w:tc>
        <w:tc>
          <w:tcPr>
            <w:tcW w:w="7100" w:type="dxa"/>
            <w:vAlign w:val="bottom"/>
          </w:tcPr>
          <w:p>
            <w:pPr>
              <w:ind w:left="180"/>
              <w:spacing w:after="0"/>
              <w:rPr>
                <w:sz w:val="20"/>
                <w:szCs w:val="20"/>
                <w:color w:val="auto"/>
              </w:rPr>
            </w:pPr>
            <w:r>
              <w:rPr>
                <w:rFonts w:ascii="Arial" w:cs="Arial" w:eastAsia="Arial" w:hAnsi="Arial"/>
                <w:sz w:val="18"/>
                <w:szCs w:val="18"/>
                <w:color w:val="auto"/>
              </w:rPr>
              <w:t>Shared power to dispose or direct the disposition of:</w:t>
            </w:r>
          </w:p>
        </w:tc>
        <w:tc>
          <w:tcPr>
            <w:tcW w:w="1260" w:type="dxa"/>
            <w:vAlign w:val="bottom"/>
          </w:tcPr>
          <w:p>
            <w:pPr>
              <w:spacing w:after="0"/>
              <w:rPr>
                <w:sz w:val="24"/>
                <w:szCs w:val="24"/>
                <w:color w:val="auto"/>
              </w:rPr>
            </w:pPr>
          </w:p>
        </w:tc>
      </w:tr>
      <w:tr>
        <w:trPr>
          <w:trHeight w:val="54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20,004,000</w:t>
            </w:r>
          </w:p>
        </w:tc>
        <w:tc>
          <w:tcPr>
            <w:tcW w:w="1260" w:type="dxa"/>
            <w:vAlign w:val="bottom"/>
          </w:tcPr>
          <w:p>
            <w:pPr>
              <w:spacing w:after="0"/>
              <w:rPr>
                <w:sz w:val="24"/>
                <w:szCs w:val="24"/>
                <w:color w:val="auto"/>
              </w:rPr>
            </w:pPr>
          </w:p>
        </w:tc>
      </w:tr>
    </w:tbl>
    <w:p>
      <w:pPr>
        <w:sectPr>
          <w:pgSz w:w="11900" w:h="16838" w:orient="portrait"/>
          <w:cols w:equalWidth="0" w:num="1">
            <w:col w:w="10980"/>
          </w:cols>
          <w:pgMar w:left="260" w:top="179" w:right="659" w:bottom="1440" w:gutter="0" w:footer="0" w:header="0"/>
        </w:sectPr>
      </w:pPr>
    </w:p>
    <w:bookmarkStart w:id="4" w:name="page5"/>
    <w:bookmarkEnd w:id="4"/>
    <w:p>
      <w:pPr>
        <w:ind w:left="20"/>
        <w:spacing w:after="0"/>
        <w:tabs>
          <w:tab w:leader="none" w:pos="5060" w:val="left"/>
          <w:tab w:leader="none" w:pos="10160"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67" w:lineRule="exact"/>
        <w:rPr>
          <w:sz w:val="20"/>
          <w:szCs w:val="20"/>
          <w:color w:val="auto"/>
        </w:rPr>
      </w:pPr>
    </w:p>
    <w:p>
      <w:pPr>
        <w:ind w:left="110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 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100" w:right="580" w:hanging="1066"/>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Eric S. Yuan</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Eric S. Yuan</w:t>
      </w:r>
    </w:p>
    <w:sectPr>
      <w:pgSz w:w="11900" w:h="16838" w:orient="portrait"/>
      <w:cols w:equalWidth="0" w:num="1">
        <w:col w:w="11000"/>
      </w:cols>
      <w:pgMar w:left="240" w:top="17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2020-02-18T05:22:04Z</dcterms:created>
  <dcterms:modified xsi:type="dcterms:W3CDTF">2020-02-18T05:22:04Z</dcterms:modified>
</cp:coreProperties>
</file>