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6377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6377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77940" cy="8255"/>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May 29, 2020</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33" w:lineRule="exact"/>
        <w:rPr>
          <w:sz w:val="24"/>
          <w:szCs w:val="24"/>
          <w:color w:val="auto"/>
        </w:rPr>
      </w:pPr>
    </w:p>
    <w:tbl>
      <w:tblPr>
        <w:tblLayout w:type="fixed"/>
        <w:tblInd w:w="680" w:type="dxa"/>
        <w:tblCellMar>
          <w:top w:w="0" w:type="dxa"/>
          <w:left w:w="0" w:type="dxa"/>
          <w:bottom w:w="0" w:type="dxa"/>
          <w:right w:w="0" w:type="dxa"/>
        </w:tblCellMar>
      </w:tblPr>
      <w:tr>
        <w:trPr>
          <w:trHeight w:val="256"/>
        </w:trPr>
        <w:tc>
          <w:tcPr>
            <w:tcW w:w="3040" w:type="dxa"/>
            <w:vAlign w:val="bottom"/>
          </w:tcPr>
          <w:p>
            <w:pPr>
              <w:jc w:val="center"/>
              <w:ind w:right="112"/>
              <w:spacing w:after="0"/>
              <w:rPr>
                <w:sz w:val="20"/>
                <w:szCs w:val="20"/>
                <w:color w:val="auto"/>
              </w:rPr>
            </w:pPr>
            <w:r>
              <w:rPr>
                <w:rFonts w:ascii="Arial" w:cs="Arial" w:eastAsia="Arial" w:hAnsi="Arial"/>
                <w:sz w:val="20"/>
                <w:szCs w:val="20"/>
                <w:b w:val="1"/>
                <w:bCs w:val="1"/>
                <w:color w:val="auto"/>
                <w:w w:val="91"/>
              </w:rPr>
              <w:t>Delaware</w:t>
            </w:r>
          </w:p>
        </w:tc>
        <w:tc>
          <w:tcPr>
            <w:tcW w:w="4020" w:type="dxa"/>
            <w:vAlign w:val="bottom"/>
          </w:tcPr>
          <w:p>
            <w:pPr>
              <w:jc w:val="right"/>
              <w:ind w:right="1535"/>
              <w:spacing w:after="0"/>
              <w:rPr>
                <w:sz w:val="20"/>
                <w:szCs w:val="20"/>
                <w:color w:val="auto"/>
              </w:rPr>
            </w:pPr>
            <w:r>
              <w:rPr>
                <w:rFonts w:ascii="Arial" w:cs="Arial" w:eastAsia="Arial" w:hAnsi="Arial"/>
                <w:sz w:val="20"/>
                <w:szCs w:val="20"/>
                <w:b w:val="1"/>
                <w:bCs w:val="1"/>
                <w:color w:val="auto"/>
              </w:rPr>
              <w:t>001-38865</w:t>
            </w:r>
          </w:p>
        </w:tc>
        <w:tc>
          <w:tcPr>
            <w:tcW w:w="2520" w:type="dxa"/>
            <w:vAlign w:val="bottom"/>
          </w:tcPr>
          <w:p>
            <w:pPr>
              <w:jc w:val="right"/>
              <w:ind w:right="495"/>
              <w:spacing w:after="0"/>
              <w:rPr>
                <w:sz w:val="20"/>
                <w:szCs w:val="20"/>
                <w:color w:val="auto"/>
              </w:rPr>
            </w:pPr>
            <w:r>
              <w:rPr>
                <w:rFonts w:ascii="Arial" w:cs="Arial" w:eastAsia="Arial" w:hAnsi="Arial"/>
                <w:sz w:val="20"/>
                <w:szCs w:val="20"/>
                <w:b w:val="1"/>
                <w:bCs w:val="1"/>
                <w:color w:val="auto"/>
              </w:rPr>
              <w:t>61-1648780</w:t>
            </w:r>
          </w:p>
        </w:tc>
        <w:tc>
          <w:tcPr>
            <w:tcW w:w="0" w:type="dxa"/>
            <w:vAlign w:val="bottom"/>
          </w:tcPr>
          <w:p>
            <w:pPr>
              <w:spacing w:after="0"/>
              <w:rPr>
                <w:sz w:val="1"/>
                <w:szCs w:val="1"/>
                <w:color w:val="auto"/>
              </w:rPr>
            </w:pPr>
          </w:p>
        </w:tc>
      </w:tr>
      <w:tr>
        <w:trPr>
          <w:trHeight w:val="281"/>
        </w:trPr>
        <w:tc>
          <w:tcPr>
            <w:tcW w:w="304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402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(Commission File Number)</w:t>
            </w:r>
          </w:p>
        </w:tc>
        <w:tc>
          <w:tcPr>
            <w:tcW w:w="2520" w:type="dxa"/>
            <w:vAlign w:val="bottom"/>
          </w:tcPr>
          <w:p>
            <w:pPr>
              <w:jc w:val="center"/>
              <w:ind w:left="335"/>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448"/>
        </w:trPr>
        <w:tc>
          <w:tcPr>
            <w:tcW w:w="3040" w:type="dxa"/>
            <w:vAlign w:val="bottom"/>
          </w:tcPr>
          <w:p>
            <w:pPr>
              <w:jc w:val="center"/>
              <w:ind w:right="112"/>
              <w:spacing w:after="0"/>
              <w:rPr>
                <w:sz w:val="20"/>
                <w:szCs w:val="20"/>
                <w:color w:val="auto"/>
              </w:rPr>
            </w:pPr>
            <w:r>
              <w:rPr>
                <w:rFonts w:ascii="Arial" w:cs="Arial" w:eastAsia="Arial" w:hAnsi="Arial"/>
                <w:sz w:val="20"/>
                <w:szCs w:val="20"/>
                <w:b w:val="1"/>
                <w:bCs w:val="1"/>
                <w:color w:val="auto"/>
                <w:w w:val="90"/>
              </w:rPr>
              <w:t>55 Almaden Boulevard, 6th Floor</w:t>
            </w:r>
          </w:p>
        </w:tc>
        <w:tc>
          <w:tcPr>
            <w:tcW w:w="4020" w:type="dxa"/>
            <w:vAlign w:val="bottom"/>
          </w:tcPr>
          <w:p>
            <w:pPr>
              <w:spacing w:after="0"/>
              <w:rPr>
                <w:sz w:val="24"/>
                <w:szCs w:val="24"/>
                <w:color w:val="auto"/>
              </w:rPr>
            </w:pPr>
          </w:p>
        </w:tc>
        <w:tc>
          <w:tcPr>
            <w:tcW w:w="2520" w:type="dxa"/>
            <w:vAlign w:val="bottom"/>
            <w:vMerge w:val="restart"/>
          </w:tcPr>
          <w:p>
            <w:pPr>
              <w:jc w:val="right"/>
              <w:ind w:right="715"/>
              <w:spacing w:after="0"/>
              <w:rPr>
                <w:sz w:val="20"/>
                <w:szCs w:val="20"/>
                <w:color w:val="auto"/>
              </w:rPr>
            </w:pPr>
            <w:r>
              <w:rPr>
                <w:rFonts w:ascii="Arial" w:cs="Arial" w:eastAsia="Arial" w:hAnsi="Arial"/>
                <w:sz w:val="20"/>
                <w:szCs w:val="20"/>
                <w:b w:val="1"/>
                <w:bCs w:val="1"/>
                <w:color w:val="auto"/>
              </w:rPr>
              <w:t>95113</w:t>
            </w:r>
          </w:p>
        </w:tc>
        <w:tc>
          <w:tcPr>
            <w:tcW w:w="0" w:type="dxa"/>
            <w:vAlign w:val="bottom"/>
          </w:tcPr>
          <w:p>
            <w:pPr>
              <w:spacing w:after="0"/>
              <w:rPr>
                <w:sz w:val="1"/>
                <w:szCs w:val="1"/>
                <w:color w:val="auto"/>
              </w:rPr>
            </w:pPr>
          </w:p>
        </w:tc>
      </w:tr>
      <w:tr>
        <w:trPr>
          <w:trHeight w:val="121"/>
        </w:trPr>
        <w:tc>
          <w:tcPr>
            <w:tcW w:w="3040" w:type="dxa"/>
            <w:vAlign w:val="bottom"/>
            <w:vMerge w:val="restart"/>
          </w:tcPr>
          <w:p>
            <w:pPr>
              <w:jc w:val="center"/>
              <w:ind w:right="112"/>
              <w:spacing w:after="0"/>
              <w:rPr>
                <w:sz w:val="20"/>
                <w:szCs w:val="20"/>
                <w:color w:val="auto"/>
              </w:rPr>
            </w:pPr>
            <w:r>
              <w:rPr>
                <w:rFonts w:ascii="Arial" w:cs="Arial" w:eastAsia="Arial" w:hAnsi="Arial"/>
                <w:sz w:val="20"/>
                <w:szCs w:val="20"/>
                <w:b w:val="1"/>
                <w:bCs w:val="1"/>
                <w:color w:val="auto"/>
                <w:w w:val="87"/>
              </w:rPr>
              <w:t>San Jose, California</w:t>
            </w:r>
          </w:p>
        </w:tc>
        <w:tc>
          <w:tcPr>
            <w:tcW w:w="402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40" w:type="dxa"/>
            <w:vAlign w:val="bottom"/>
            <w:vMerge w:val="continue"/>
          </w:tcPr>
          <w:p>
            <w:pPr>
              <w:spacing w:after="0"/>
              <w:rPr>
                <w:sz w:val="11"/>
                <w:szCs w:val="11"/>
                <w:color w:val="auto"/>
              </w:rPr>
            </w:pPr>
          </w:p>
        </w:tc>
        <w:tc>
          <w:tcPr>
            <w:tcW w:w="40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3040" w:type="dxa"/>
            <w:vAlign w:val="bottom"/>
          </w:tcPr>
          <w:p>
            <w:pPr>
              <w:jc w:val="center"/>
              <w:ind w:right="11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20" w:type="dxa"/>
            <w:vAlign w:val="bottom"/>
          </w:tcPr>
          <w:p>
            <w:pPr>
              <w:spacing w:after="0"/>
              <w:rPr>
                <w:sz w:val="18"/>
                <w:szCs w:val="18"/>
                <w:color w:val="auto"/>
              </w:rPr>
            </w:pPr>
          </w:p>
        </w:tc>
        <w:tc>
          <w:tcPr>
            <w:tcW w:w="2520" w:type="dxa"/>
            <w:vAlign w:val="bottom"/>
          </w:tcPr>
          <w:p>
            <w:pPr>
              <w:jc w:val="center"/>
              <w:ind w:left="335"/>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27"/>
        </w:trPr>
        <w:tc>
          <w:tcPr>
            <w:tcW w:w="3040" w:type="dxa"/>
            <w:vAlign w:val="bottom"/>
          </w:tcPr>
          <w:p>
            <w:pPr>
              <w:spacing w:after="0"/>
              <w:rPr>
                <w:sz w:val="24"/>
                <w:szCs w:val="24"/>
                <w:color w:val="auto"/>
              </w:rPr>
            </w:pPr>
          </w:p>
        </w:tc>
        <w:tc>
          <w:tcPr>
            <w:tcW w:w="4020" w:type="dxa"/>
            <w:vAlign w:val="bottom"/>
          </w:tcPr>
          <w:p>
            <w:pPr>
              <w:jc w:val="right"/>
              <w:ind w:right="1415"/>
              <w:spacing w:after="0"/>
              <w:rPr>
                <w:sz w:val="20"/>
                <w:szCs w:val="20"/>
                <w:color w:val="auto"/>
              </w:rPr>
            </w:pPr>
            <w:r>
              <w:rPr>
                <w:rFonts w:ascii="Arial" w:cs="Arial" w:eastAsia="Arial" w:hAnsi="Arial"/>
                <w:sz w:val="20"/>
                <w:szCs w:val="20"/>
                <w:b w:val="1"/>
                <w:bCs w:val="1"/>
                <w:color w:val="auto"/>
              </w:rPr>
              <w:t>(888) 799-9666</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402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52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4" w:lineRule="exact"/>
        <w:rPr>
          <w:sz w:val="24"/>
          <w:szCs w:val="24"/>
          <w:color w:val="auto"/>
        </w:rPr>
      </w:pPr>
    </w:p>
    <w:p>
      <w:pPr>
        <w:ind w:left="1160" w:hanging="113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1160" w:hanging="113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1160" w:hanging="113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1160" w:hanging="113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17"/>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Class A Common Stock, $0.001 par value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The Nasdaq Global Select Market</w:t>
            </w:r>
          </w:p>
        </w:tc>
      </w:tr>
      <w:tr>
        <w:trPr>
          <w:trHeight w:val="3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205" w:right="499" w:bottom="1440" w:gutter="0" w:footer="0" w:header="0"/>
        </w:sectPr>
      </w:pPr>
    </w:p>
    <w:bookmarkStart w:id="1" w:name="page2"/>
    <w:bookmarkEnd w:id="1"/>
    <w:p>
      <w:pPr>
        <w:ind w:left="1300" w:right="680" w:hanging="1295"/>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As previously disclosed, on May 29, 2020, the Board of Directors (the “Board”) of Zoom Video Communications, Inc. (the “Company”) approved the appointment of Aparna Bawa, the Company’s then-current Chief Legal Officer, General Counsel and Secretary, as the Company’s Chief Operating Officer and interim Chief Legal Officer.</w:t>
      </w:r>
    </w:p>
    <w:p>
      <w:pPr>
        <w:spacing w:after="0" w:line="209"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color w:val="auto"/>
        </w:rPr>
        <w:t>In connection with Ms. Bawa’s promotion, on July 23, 2020, the Compensation Committee of the Board (the “Compensation Committee”) approved an increase to Ms. Bawa’s annual base salary to $400,000, effective August 1, 2020. The Compensation Committee also approved a restricted stock unit award to be granted to Ms. Bawa effective September 4, 2020 (the “RSU”). The number of shares of the Company’s Class A Common Stock issuable under the RSU will be determined by dividing $7,000,000 by the average closing price of the Company’s Class A Common Stock on The Nasdaq Global Select Market over the sixty (60) trading day period ending seven days prior to September 4, 2020 grant date and rounding up to the nearest whole share. The RSU vests as to 1/4th of the shares subject to the RSU on the one-year anniversary of the grant date, with 1/12th of the remaining shares vesting in equal quarterly installments over the next three years subject to Ms. Bawa’s continuous service as of such vesting dates.</w:t>
      </w:r>
    </w:p>
    <w:p>
      <w:pPr>
        <w:sectPr>
          <w:pgSz w:w="11900" w:h="16838" w:orient="portrait"/>
          <w:cols w:equalWidth="0" w:num="1">
            <w:col w:w="11220"/>
          </w:cols>
          <w:pgMar w:left="320" w:top="1116" w:right="3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20"/>
        <w:spacing w:after="0"/>
        <w:tabs>
          <w:tab w:leader="none" w:pos="4740" w:val="left"/>
          <w:tab w:leader="none" w:pos="5380" w:val="left"/>
        </w:tabs>
        <w:rPr>
          <w:sz w:val="20"/>
          <w:szCs w:val="20"/>
          <w:color w:val="auto"/>
        </w:rPr>
      </w:pPr>
      <w:r>
        <w:rPr>
          <w:rFonts w:ascii="Arial" w:cs="Arial" w:eastAsia="Arial" w:hAnsi="Arial"/>
          <w:sz w:val="18"/>
          <w:szCs w:val="18"/>
          <w:color w:val="auto"/>
        </w:rPr>
        <w:t>Dated: July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31750</wp:posOffset>
            </wp:positionV>
            <wp:extent cx="29749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Kelly Steckelberg</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0940"/>
      </w:cols>
      <w:pgMar w:left="320" w:top="89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2020-07-24T16:24:15Z</dcterms:created>
  <dcterms:modified xsi:type="dcterms:W3CDTF">2020-07-24T16:24:15Z</dcterms:modified>
</cp:coreProperties>
</file>