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November 21, 2022</w:t>
      </w:r>
    </w:p>
    <w:p>
      <w:pPr>
        <w:spacing w:after="0" w:line="3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Zoom Video Communications, Inc.</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5020" w:type="dxa"/>
            <w:vAlign w:val="bottom"/>
          </w:tcPr>
          <w:p>
            <w:pPr>
              <w:jc w:val="center"/>
              <w:ind w:right="77"/>
              <w:spacing w:after="0"/>
              <w:rPr>
                <w:sz w:val="20"/>
                <w:szCs w:val="20"/>
                <w:color w:val="auto"/>
              </w:rPr>
            </w:pPr>
            <w:r>
              <w:rPr>
                <w:rFonts w:ascii="Times New Roman" w:cs="Times New Roman" w:eastAsia="Times New Roman" w:hAnsi="Times New Roman"/>
                <w:sz w:val="19"/>
                <w:szCs w:val="19"/>
                <w:b w:val="1"/>
                <w:bCs w:val="1"/>
                <w:color w:val="auto"/>
                <w:w w:val="99"/>
              </w:rPr>
              <w:t>001-38865</w:t>
            </w: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9"/>
                <w:szCs w:val="19"/>
                <w:b w:val="1"/>
                <w:bCs w:val="1"/>
                <w:color w:val="auto"/>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02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(Commission File Number)</w:t>
            </w:r>
          </w:p>
        </w:tc>
        <w:tc>
          <w:tcPr>
            <w:tcW w:w="1700" w:type="dxa"/>
            <w:vAlign w:val="bottom"/>
          </w:tcPr>
          <w:p>
            <w:pPr>
              <w:jc w:val="center"/>
              <w:ind w:left="543"/>
              <w:spacing w:after="0" w:line="142"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83"/>
        </w:trPr>
        <w:tc>
          <w:tcPr>
            <w:tcW w:w="21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8"/>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347"/>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9"/>
                <w:szCs w:val="19"/>
                <w:b w:val="1"/>
                <w:bCs w:val="1"/>
                <w:color w:val="auto"/>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101" w:lineRule="exact"/>
        <w:rPr>
          <w:sz w:val="24"/>
          <w:szCs w:val="24"/>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2"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1"/>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r>
    </w:tbl>
    <w:p>
      <w:pPr>
        <w:spacing w:after="0" w:line="177" w:lineRule="exact"/>
        <w:rPr>
          <w:sz w:val="24"/>
          <w:szCs w:val="24"/>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43" w:lineRule="exact"/>
        <w:rPr>
          <w:sz w:val="24"/>
          <w:szCs w:val="24"/>
          <w:color w:val="auto"/>
        </w:rPr>
      </w:pPr>
    </w:p>
    <w:p>
      <w:pPr>
        <w:ind w:right="460"/>
        <w:spacing w:after="0" w:line="22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771525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21590</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2.02</w:t>
        <w:tab/>
        <w:t>Results of Operations And Financial Condition.</w:t>
      </w:r>
    </w:p>
    <w:p>
      <w:pPr>
        <w:spacing w:after="0" w:line="222" w:lineRule="exact"/>
        <w:rPr>
          <w:sz w:val="20"/>
          <w:szCs w:val="20"/>
          <w:color w:val="auto"/>
        </w:rPr>
      </w:pPr>
    </w:p>
    <w:p>
      <w:pPr>
        <w:ind w:right="100" w:firstLine="620"/>
        <w:spacing w:after="0" w:line="288" w:lineRule="auto"/>
        <w:rPr>
          <w:sz w:val="20"/>
          <w:szCs w:val="20"/>
          <w:color w:val="auto"/>
        </w:rPr>
      </w:pPr>
      <w:r>
        <w:rPr>
          <w:rFonts w:ascii="Times New Roman" w:cs="Times New Roman" w:eastAsia="Times New Roman" w:hAnsi="Times New Roman"/>
          <w:sz w:val="17"/>
          <w:szCs w:val="17"/>
          <w:color w:val="auto"/>
        </w:rPr>
        <w:t>On November 21, 2022, Zoom Video Communications, Inc. (the “Company”) issued a press release announcing its financial results for the three months ended October 31, 2022. A copy of the press release is furnished as Exhibit 99.1 to this report and is incorporated by reference.</w:t>
      </w:r>
    </w:p>
    <w:p>
      <w:pPr>
        <w:spacing w:after="0" w:line="151" w:lineRule="exact"/>
        <w:rPr>
          <w:sz w:val="20"/>
          <w:szCs w:val="20"/>
          <w:color w:val="auto"/>
        </w:rPr>
      </w:pPr>
    </w:p>
    <w:p>
      <w:pPr>
        <w:ind w:right="120" w:firstLine="620"/>
        <w:spacing w:after="0" w:line="265" w:lineRule="auto"/>
        <w:rPr>
          <w:sz w:val="20"/>
          <w:szCs w:val="20"/>
          <w:color w:val="auto"/>
        </w:rPr>
      </w:pPr>
      <w:r>
        <w:rPr>
          <w:rFonts w:ascii="Times New Roman" w:cs="Times New Roman" w:eastAsia="Times New Roman" w:hAnsi="Times New Roman"/>
          <w:sz w:val="17"/>
          <w:szCs w:val="17"/>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460" w:type="dxa"/>
            <w:vAlign w:val="bottom"/>
          </w:tcPr>
          <w:p>
            <w:pPr>
              <w:spacing w:after="0"/>
              <w:rPr>
                <w:sz w:val="21"/>
                <w:szCs w:val="21"/>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Exhibit No.</w:t>
            </w:r>
          </w:p>
        </w:tc>
        <w:tc>
          <w:tcPr>
            <w:tcW w:w="20" w:type="dxa"/>
            <w:vAlign w:val="bottom"/>
          </w:tcPr>
          <w:p>
            <w:pPr>
              <w:spacing w:after="0"/>
              <w:rPr>
                <w:sz w:val="21"/>
                <w:szCs w:val="21"/>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174"/>
        </w:trPr>
        <w:tc>
          <w:tcPr>
            <w:tcW w:w="460" w:type="dxa"/>
            <w:vAlign w:val="bottom"/>
          </w:tcPr>
          <w:p>
            <w:pPr>
              <w:spacing w:after="0"/>
              <w:rPr>
                <w:sz w:val="15"/>
                <w:szCs w:val="15"/>
                <w:color w:val="auto"/>
              </w:rPr>
            </w:pPr>
          </w:p>
        </w:tc>
        <w:tc>
          <w:tcPr>
            <w:tcW w:w="1320" w:type="dxa"/>
            <w:vAlign w:val="bottom"/>
            <w:tcBorders>
              <w:top w:val="single" w:sz="8" w:color="auto"/>
            </w:tcBorders>
          </w:tcPr>
          <w:p>
            <w:pPr>
              <w:jc w:val="right"/>
              <w:ind w:right="414"/>
              <w:spacing w:after="0" w:line="174" w:lineRule="exact"/>
              <w:rPr>
                <w:sz w:val="20"/>
                <w:szCs w:val="20"/>
                <w:color w:val="auto"/>
              </w:rPr>
            </w:pPr>
            <w:r>
              <w:rPr>
                <w:rFonts w:ascii="Times New Roman" w:cs="Times New Roman" w:eastAsia="Times New Roman" w:hAnsi="Times New Roman"/>
                <w:sz w:val="17"/>
                <w:szCs w:val="17"/>
                <w:color w:val="auto"/>
              </w:rPr>
              <w:t>99.1</w:t>
            </w:r>
          </w:p>
        </w:tc>
        <w:tc>
          <w:tcPr>
            <w:tcW w:w="4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980" w:type="dxa"/>
            <w:vAlign w:val="bottom"/>
            <w:tcBorders>
              <w:top w:val="single" w:sz="8" w:color="auto"/>
            </w:tcBorders>
            <w:gridSpan w:val="2"/>
          </w:tcPr>
          <w:p>
            <w:pPr>
              <w:spacing w:after="0" w:line="174" w:lineRule="exact"/>
              <w:rPr>
                <w:sz w:val="20"/>
                <w:szCs w:val="20"/>
                <w:color w:val="auto"/>
              </w:rPr>
            </w:pPr>
            <w:r>
              <w:rPr>
                <w:rFonts w:ascii="Times New Roman" w:cs="Times New Roman" w:eastAsia="Times New Roman" w:hAnsi="Times New Roman"/>
                <w:sz w:val="17"/>
                <w:szCs w:val="17"/>
                <w:color w:val="0000FF"/>
              </w:rPr>
              <w:t>Press release dated November 21, 2022 of Zoom Video Communications, Inc.</w:t>
            </w:r>
          </w:p>
        </w:tc>
        <w:tc>
          <w:tcPr>
            <w:tcW w:w="20" w:type="dxa"/>
            <w:vAlign w:val="bottom"/>
          </w:tcPr>
          <w:p>
            <w:pPr>
              <w:spacing w:after="0"/>
              <w:rPr>
                <w:sz w:val="15"/>
                <w:szCs w:val="15"/>
                <w:color w:val="auto"/>
              </w:rPr>
            </w:pPr>
          </w:p>
        </w:tc>
      </w:tr>
      <w:tr>
        <w:trPr>
          <w:trHeight w:val="20"/>
        </w:trPr>
        <w:tc>
          <w:tcPr>
            <w:tcW w:w="1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shd w:val="clear" w:color="auto" w:fill="0000FF"/>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r>
      <w:tr>
        <w:trPr>
          <w:trHeight w:val="239"/>
        </w:trPr>
        <w:tc>
          <w:tcPr>
            <w:tcW w:w="1780" w:type="dxa"/>
            <w:vAlign w:val="bottom"/>
            <w:gridSpan w:val="2"/>
          </w:tcPr>
          <w:p>
            <w:pPr>
              <w:jc w:val="right"/>
              <w:ind w:right="434"/>
              <w:spacing w:after="0"/>
              <w:rPr>
                <w:sz w:val="20"/>
                <w:szCs w:val="20"/>
                <w:color w:val="auto"/>
              </w:rPr>
            </w:pPr>
            <w:r>
              <w:rPr>
                <w:rFonts w:ascii="Times New Roman" w:cs="Times New Roman" w:eastAsia="Times New Roman" w:hAnsi="Times New Roman"/>
                <w:sz w:val="17"/>
                <w:szCs w:val="17"/>
                <w:color w:val="auto"/>
              </w:rPr>
              <w:t>104</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1168"/>
        </w:trPr>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18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560" w:type="dxa"/>
            <w:vAlign w:val="bottom"/>
          </w:tcPr>
          <w:p>
            <w:pPr>
              <w:spacing w:after="0"/>
              <w:rPr>
                <w:sz w:val="19"/>
                <w:szCs w:val="19"/>
                <w:color w:val="auto"/>
              </w:rPr>
            </w:pPr>
          </w:p>
        </w:tc>
        <w:tc>
          <w:tcPr>
            <w:tcW w:w="7140" w:type="dxa"/>
            <w:vAlign w:val="bottom"/>
            <w:gridSpan w:val="2"/>
          </w:tcPr>
          <w:p>
            <w:pPr>
              <w:ind w:left="1680"/>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tc>
      </w:tr>
      <w:tr>
        <w:trPr>
          <w:trHeight w:val="465"/>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Dated: November 21, 2022</w:t>
            </w:r>
          </w:p>
        </w:tc>
        <w:tc>
          <w:tcPr>
            <w:tcW w:w="2380" w:type="dxa"/>
            <w:vAlign w:val="bottom"/>
          </w:tcPr>
          <w:p>
            <w:pPr>
              <w:ind w:left="1680"/>
              <w:spacing w:after="0"/>
              <w:rPr>
                <w:sz w:val="20"/>
                <w:szCs w:val="20"/>
                <w:color w:val="auto"/>
              </w:rPr>
            </w:pPr>
            <w:r>
              <w:rPr>
                <w:rFonts w:ascii="Times New Roman" w:cs="Times New Roman" w:eastAsia="Times New Roman" w:hAnsi="Times New Roman"/>
                <w:sz w:val="17"/>
                <w:szCs w:val="17"/>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Kelly Steckelberg</w:t>
            </w:r>
          </w:p>
        </w:tc>
      </w:tr>
      <w:tr>
        <w:trPr>
          <w:trHeight w:val="205"/>
        </w:trPr>
        <w:tc>
          <w:tcPr>
            <w:tcW w:w="35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Kelly Steckelberg</w:t>
            </w:r>
          </w:p>
        </w:tc>
      </w:tr>
      <w:tr>
        <w:trPr>
          <w:trHeight w:val="227"/>
        </w:trPr>
        <w:tc>
          <w:tcPr>
            <w:tcW w:w="35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bl>
    <w:p>
      <w:pPr>
        <w:sectPr>
          <w:pgSz w:w="11900" w:h="16838" w:orient="portrait"/>
          <w:cols w:equalWidth="0" w:num="1">
            <w:col w:w="11340"/>
          </w:cols>
          <w:pgMar w:left="320" w:top="85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color w:val="auto"/>
        </w:rPr>
        <w:t>Exhibit 99.1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Zoom Video Communications Reports Financial Results for the Third Quarter of Fiscal Year 2023</w:t>
      </w:r>
    </w:p>
    <w:p>
      <w:pPr>
        <w:spacing w:after="0" w:line="113" w:lineRule="exact"/>
        <w:rPr>
          <w:sz w:val="20"/>
          <w:szCs w:val="20"/>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Third quarter total revenue of $1,101.9 million, up 5% year over year as reported and 7% in constant currency</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Third quarter Enterprise revenue of $614 million, up 20% year over year</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Third quarter GAAP operating margin of 6.0% and non-GAAP operating margin of 34.6%</w:t>
      </w:r>
    </w:p>
    <w:p>
      <w:pPr>
        <w:spacing w:after="0" w:line="114"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Number of customers contributing more than $100,000 in trailing 12 months revenue up 31% year over year</w:t>
      </w:r>
    </w:p>
    <w:p>
      <w:pPr>
        <w:spacing w:after="0" w:line="220"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San Jose, California – </w:t>
      </w:r>
      <w:r>
        <w:rPr>
          <w:rFonts w:ascii="Times New Roman" w:cs="Times New Roman" w:eastAsia="Times New Roman" w:hAnsi="Times New Roman"/>
          <w:sz w:val="17"/>
          <w:szCs w:val="17"/>
          <w:color w:val="auto"/>
        </w:rPr>
        <w:t>November 21, 2022 – Zoom Video Communications, Inc. (NASDAQ: ZM), today announced financial results for the third fiscal quarter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ended October 31, 2022.</w:t>
      </w:r>
    </w:p>
    <w:p>
      <w:pPr>
        <w:spacing w:after="0" w:line="14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“At Zoomtopia, we announced a number of innovations including Zoom Mail and Zoom Calendar, along with new partnerships that are expected to power and enhance the modern work experience,” said Eric S. Yuan, Zoom founder, and CEO. “Our customers are increasingly looking to Zoom to help them enable flexible work environments and empower authentic connections and collaboration. Proactively addressing these needs with Zoom's expanding platform continues to be our focus in this dynamic environment. In Q3, we drove revenue above guidance with continued momentum in Enterprise. In addition, our non-GAAP operating income came in meaningfully higher than our outlook, setting us up to finish the year with full-year revenue growth, strong GAAP and non-GAAP profitability, and free cash flow that we expect to be at the high end of our range of $1 billion to $1.15 billion.”</w:t>
      </w:r>
      <w:r>
        <w:rPr>
          <w:rFonts w:ascii="Times New Roman" w:cs="Times New Roman" w:eastAsia="Times New Roman" w:hAnsi="Times New Roman"/>
          <w:sz w:val="22"/>
          <w:szCs w:val="22"/>
          <w:color w:val="auto"/>
          <w:vertAlign w:val="superscript"/>
        </w:rPr>
        <w:t>1</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Third Quarter Fiscal Year 2023 Financial Highlights:</w:t>
      </w:r>
    </w:p>
    <w:p>
      <w:pPr>
        <w:spacing w:after="0" w:line="205" w:lineRule="exact"/>
        <w:rPr>
          <w:sz w:val="20"/>
          <w:szCs w:val="20"/>
          <w:color w:val="auto"/>
        </w:rPr>
      </w:pPr>
    </w:p>
    <w:p>
      <w:pPr>
        <w:ind w:left="940" w:right="200" w:hanging="316"/>
        <w:spacing w:after="0" w:line="27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Total revenue for the third quarter was $1,101.9 million, up 5% year over year. After adjusting for foreign currency impact, revenue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constant currency was $1,126.1 million, up 7% year over year in constant currency. Enterprise revenue was $614.3 million, up 20% year over year and Online revenue was $487.6 million, down 9% year over year.</w:t>
      </w:r>
    </w:p>
    <w:p>
      <w:pPr>
        <w:spacing w:after="0" w:line="56" w:lineRule="exact"/>
        <w:rPr>
          <w:rFonts w:ascii="Times New Roman" w:cs="Times New Roman" w:eastAsia="Times New Roman" w:hAnsi="Times New Roman"/>
          <w:sz w:val="17"/>
          <w:szCs w:val="17"/>
          <w:color w:val="auto"/>
        </w:rPr>
      </w:pPr>
    </w:p>
    <w:p>
      <w:pPr>
        <w:ind w:left="940" w:hanging="316"/>
        <w:spacing w:after="0" w:line="26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from Operations and Operating Margin: </w:t>
      </w:r>
      <w:r>
        <w:rPr>
          <w:rFonts w:ascii="Times New Roman" w:cs="Times New Roman" w:eastAsia="Times New Roman" w:hAnsi="Times New Roman"/>
          <w:sz w:val="17"/>
          <w:szCs w:val="17"/>
          <w:color w:val="auto"/>
        </w:rPr>
        <w:t>GAAP income from operations for the third quarter was $66.5 million, compared to GAAP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from operations of $290.9 million in the third quarter of fiscal year 2022. After adjusting for stock-based compensation expense and related payroll taxes, and acquisition-related expenses, non-GAAP income from operations for the third quarter was $380.9 million, compared to non-GAAP income from operations of $411.3 million in the third quarter of fiscal year 2022. For the third quarter, GAAP operating margin was 6.0% and non-GAAP operating margin was 34.6%.</w:t>
      </w:r>
    </w:p>
    <w:p>
      <w:pPr>
        <w:spacing w:after="0" w:line="169" w:lineRule="exact"/>
        <w:rPr>
          <w:rFonts w:ascii="Times New Roman" w:cs="Times New Roman" w:eastAsia="Times New Roman" w:hAnsi="Times New Roman"/>
          <w:sz w:val="17"/>
          <w:szCs w:val="17"/>
          <w:b w:val="1"/>
          <w:bCs w:val="1"/>
          <w:color w:val="auto"/>
        </w:rPr>
      </w:pPr>
    </w:p>
    <w:p>
      <w:pPr>
        <w:ind w:left="940" w:right="60" w:hanging="316"/>
        <w:spacing w:after="0" w:line="27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Net Income and Diluted Net Income Per Share: </w:t>
      </w:r>
      <w:r>
        <w:rPr>
          <w:rFonts w:ascii="Times New Roman" w:cs="Times New Roman" w:eastAsia="Times New Roman" w:hAnsi="Times New Roman"/>
          <w:sz w:val="17"/>
          <w:szCs w:val="17"/>
          <w:color w:val="auto"/>
        </w:rPr>
        <w:t>GAAP net income attributable to common stockholders for the third quarter was $48.4 million,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$0.16 per share, compared to GAAP net income attributable to common stockholders of $340.3 million, or $1.11 per share in the third quarter of fiscal year 2022.</w:t>
      </w:r>
    </w:p>
    <w:p>
      <w:pPr>
        <w:spacing w:after="0" w:line="60" w:lineRule="exact"/>
        <w:rPr>
          <w:rFonts w:ascii="Times New Roman" w:cs="Times New Roman" w:eastAsia="Times New Roman" w:hAnsi="Times New Roman"/>
          <w:sz w:val="17"/>
          <w:szCs w:val="17"/>
          <w:b w:val="1"/>
          <w:bCs w:val="1"/>
          <w:color w:val="auto"/>
        </w:rPr>
      </w:pPr>
    </w:p>
    <w:p>
      <w:pPr>
        <w:ind w:left="940" w:right="12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Non-GAAP net income for the third quarter was $323.2 million, after adjusting for stock-based compensation expense and related payroll taxes, losses (gains) on strategic investments, net, acquisition-related expenses, undistributed earnings attributable to participating securities, and the tax effects on non-GAAP adjustments. Non-GAAP net income per share was $1.07. In the third quarter of fiscal year 2022, non-GAAP net income was $338.4 million, or $1.11 per share.</w:t>
      </w:r>
    </w:p>
    <w:p>
      <w:pPr>
        <w:spacing w:after="0" w:line="166" w:lineRule="exact"/>
        <w:rPr>
          <w:rFonts w:ascii="Times New Roman" w:cs="Times New Roman" w:eastAsia="Times New Roman" w:hAnsi="Times New Roman"/>
          <w:sz w:val="17"/>
          <w:szCs w:val="17"/>
          <w:b w:val="1"/>
          <w:bCs w:val="1"/>
          <w:color w:val="auto"/>
        </w:rPr>
      </w:pPr>
    </w:p>
    <w:p>
      <w:pPr>
        <w:ind w:left="940" w:right="320" w:hanging="316"/>
        <w:spacing w:after="0" w:line="29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and Marketable Securities: </w:t>
      </w:r>
      <w:r>
        <w:rPr>
          <w:rFonts w:ascii="Times New Roman" w:cs="Times New Roman" w:eastAsia="Times New Roman" w:hAnsi="Times New Roman"/>
          <w:sz w:val="17"/>
          <w:szCs w:val="17"/>
          <w:color w:val="auto"/>
        </w:rPr>
        <w:t>Total cash, cash equivalents, and marketable securities, excluding restricted cash, as of October 31, 2022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$5.2 billion.</w:t>
      </w:r>
    </w:p>
    <w:p>
      <w:pPr>
        <w:spacing w:after="0" w:line="39" w:lineRule="exact"/>
        <w:rPr>
          <w:rFonts w:ascii="Times New Roman" w:cs="Times New Roman" w:eastAsia="Times New Roman" w:hAnsi="Times New Roman"/>
          <w:sz w:val="17"/>
          <w:szCs w:val="17"/>
          <w:b w:val="1"/>
          <w:bCs w:val="1"/>
          <w:color w:val="auto"/>
        </w:rPr>
      </w:pPr>
    </w:p>
    <w:p>
      <w:pPr>
        <w:jc w:val="both"/>
        <w:ind w:left="940" w:right="260" w:hanging="316"/>
        <w:spacing w:after="0" w:line="273"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Cash Flow: </w:t>
      </w:r>
      <w:r>
        <w:rPr>
          <w:rFonts w:ascii="Times New Roman" w:cs="Times New Roman" w:eastAsia="Times New Roman" w:hAnsi="Times New Roman"/>
          <w:sz w:val="17"/>
          <w:szCs w:val="17"/>
          <w:color w:val="auto"/>
        </w:rPr>
        <w:t>Net cash provided by operating activities was $295.3 million for the third quarter, compared to $394.6 million in the third quarter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fiscal year 2022. Free cash flow, which is net cash provided by operating activities less purchases of property and equipment, was $272.6 million, compared to $374.8 million in the third quarter of fiscal year 2022.</w:t>
      </w:r>
    </w:p>
    <w:p>
      <w:pPr>
        <w:spacing w:after="0" w:line="160"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Customer Metrics: </w:t>
      </w:r>
      <w:r>
        <w:rPr>
          <w:rFonts w:ascii="Times New Roman" w:cs="Times New Roman" w:eastAsia="Times New Roman" w:hAnsi="Times New Roman"/>
          <w:sz w:val="17"/>
          <w:szCs w:val="17"/>
          <w:color w:val="auto"/>
        </w:rPr>
        <w:t>Drivers of total revenue included acquiring new customers and expanding across existing customers. At the end of the third quarter of fiscal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year 2023, Zoom had:</w:t>
      </w:r>
    </w:p>
    <w:p>
      <w:pPr>
        <w:spacing w:after="0" w:line="44" w:lineRule="exact"/>
        <w:rPr>
          <w:sz w:val="20"/>
          <w:szCs w:val="20"/>
          <w:color w:val="auto"/>
        </w:rPr>
      </w:pPr>
    </w:p>
    <w:p>
      <w:pPr>
        <w:ind w:left="920" w:hanging="296"/>
        <w:spacing w:after="0"/>
        <w:tabs>
          <w:tab w:leader="none" w:pos="9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Approximately 209,300 Enterprise customers, up 14% from the same quarter last fiscal year.</w:t>
      </w:r>
    </w:p>
    <w:p>
      <w:pPr>
        <w:sectPr>
          <w:pgSz w:w="11900" w:h="16838" w:orient="portrait"/>
          <w:cols w:equalWidth="0" w:num="1">
            <w:col w:w="11240"/>
          </w:cols>
          <w:pgMar w:left="320" w:top="1092" w:right="339" w:bottom="1440" w:gutter="0" w:footer="0" w:header="0"/>
        </w:sectPr>
      </w:pPr>
    </w:p>
    <w:bookmarkStart w:id="4" w:name="page5"/>
    <w:bookmarkEnd w:id="4"/>
    <w:p>
      <w:pPr>
        <w:ind w:left="920" w:hanging="296"/>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trailing 12-month net dollar expansion rate for Enterprise customers of 117%.</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3,286 customers contributing more than $100,000 in trailing 12 months revenue, up approximately 31% from the same quarter last fiscal year.</w:t>
      </w:r>
    </w:p>
    <w:p>
      <w:pPr>
        <w:spacing w:after="0" w:line="114" w:lineRule="exact"/>
        <w:rPr>
          <w:rFonts w:ascii="Times New Roman" w:cs="Times New Roman" w:eastAsia="Times New Roman" w:hAnsi="Times New Roman"/>
          <w:sz w:val="17"/>
          <w:szCs w:val="17"/>
          <w:b w:val="1"/>
          <w:bCs w:val="1"/>
          <w:color w:val="auto"/>
        </w:rPr>
      </w:pPr>
    </w:p>
    <w:p>
      <w:pPr>
        <w:ind w:left="920" w:hanging="296"/>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Online average monthly churn of 3.1% for Q3, down 60 bps from the same quarter last fiscal year.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Outlook: </w:t>
      </w:r>
      <w:r>
        <w:rPr>
          <w:rFonts w:ascii="Times New Roman" w:cs="Times New Roman" w:eastAsia="Times New Roman" w:hAnsi="Times New Roman"/>
          <w:sz w:val="17"/>
          <w:szCs w:val="17"/>
          <w:color w:val="auto"/>
        </w:rPr>
        <w:t>Zoom is providing the following guidance for its fourth quarter fiscal year 2023 and its full fiscal year 2023.</w:t>
      </w:r>
    </w:p>
    <w:p>
      <w:pPr>
        <w:spacing w:after="0" w:line="119" w:lineRule="exact"/>
        <w:rPr>
          <w:sz w:val="20"/>
          <w:szCs w:val="20"/>
          <w:color w:val="auto"/>
        </w:rPr>
      </w:pPr>
    </w:p>
    <w:p>
      <w:pPr>
        <w:ind w:left="940" w:right="60" w:hanging="316"/>
        <w:spacing w:after="0" w:line="270" w:lineRule="auto"/>
        <w:tabs>
          <w:tab w:leader="none" w:pos="93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Fourth Quarter Fiscal Year 2023: Total revenue is expected to be between $1.095 billion and $1.105 billion and revenue in constant currency is expected to be between $1.120 billion and $1.130 billion. Non-GAAP income from operations is expected to be between $316.0 million and $326.0 million. Non-GAAP diluted EPS is expected to be between $0.75 and $0.78 with approximately 301 million weighted average shares outstanding.</w:t>
      </w:r>
    </w:p>
    <w:p>
      <w:pPr>
        <w:spacing w:after="0" w:line="63" w:lineRule="exact"/>
        <w:rPr>
          <w:rFonts w:ascii="Times New Roman" w:cs="Times New Roman" w:eastAsia="Times New Roman" w:hAnsi="Times New Roman"/>
          <w:sz w:val="17"/>
          <w:szCs w:val="17"/>
          <w:b w:val="1"/>
          <w:bCs w:val="1"/>
          <w:color w:val="auto"/>
        </w:rPr>
      </w:pPr>
    </w:p>
    <w:p>
      <w:pPr>
        <w:jc w:val="both"/>
        <w:ind w:left="940" w:right="80" w:hanging="316"/>
        <w:spacing w:after="0" w:line="265" w:lineRule="auto"/>
        <w:tabs>
          <w:tab w:leader="none" w:pos="936"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Full Fiscal Year 2023: Total revenue is expected to be between $4.370 billion and $4.380 billion and revenue in constant currency is expected to be between $4.442 billion and $4.452 billion. Full fiscal year non-GAAP income from operations is expected to be between $1.490 billion and $1.500 billion. Full fiscal year non-GAAP diluted EPS is expected to be between $3.91 and $3.94 with approximately 304 million weighted average shares outstanding.</w:t>
      </w:r>
    </w:p>
    <w:p>
      <w:pPr>
        <w:spacing w:after="0" w:line="17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supplemental financial presentation and other information can be accessed through Zoom’s investor relations website at investors.zoom.us.</w:t>
      </w:r>
    </w:p>
    <w:p>
      <w:pPr>
        <w:spacing w:after="0" w:line="186" w:lineRule="exact"/>
        <w:rPr>
          <w:sz w:val="20"/>
          <w:szCs w:val="20"/>
          <w:color w:val="auto"/>
        </w:rPr>
      </w:pPr>
    </w:p>
    <w:p>
      <w:pPr>
        <w:ind w:left="80" w:hanging="77"/>
        <w:spacing w:after="0"/>
        <w:tabs>
          <w:tab w:leader="none" w:pos="8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free cash flow outlook range assumes that the Section 174 tax legislation requiring capitalization of R&amp;D expenses will be repealed or deferred by Congress by the end of this fiscal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Zoom Video Earnings Call</w:t>
      </w:r>
    </w:p>
    <w:p>
      <w:pPr>
        <w:spacing w:after="0" w:line="119"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Zoom will host a Zoom Video Webinar for investors on November 21, 2022 at 2:00 p.m. Pacific Time / 5:00 p.m. Eastern Time to discuss the company’s financial results, business highlights and financial outlook. Investors are invited to join the Zoom Video Webinar by visiting: https://investors.zoom.us/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Zoom</w:t>
      </w:r>
    </w:p>
    <w:p>
      <w:pPr>
        <w:spacing w:after="0" w:line="11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Zoom is for you. Zoom is a space where you can connect to others, share ideas, make plans, and build toward a future limited only by your imagination. Our frictionless communications platform is the only one that started with video as its foundation, and we have set the standard for innovation ever since. That is why we are an intuitive, scalable, and secure choice for large enterprises, small businesses, and individuals alike. Founded in 2011, Zoom is publicly traded (NASDAQ:ZM) and headquartered in San Jose, California. Visit zoom.com and follow @zoom.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3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This press release contains express and implied “forward-looking statements” within the meaning of the Private Securities Litigation Reform Act of 1995, including statements regarding Zoom's financial outlook for the fourth quarter of fiscal year 2023 and full fiscal year 2023, Zoom’s free cash flow outlook, assumptions related to Section 174 tax legislation requiring capitalization of R&amp;D expenses being repealed or deferred, Zoom’s market position, opportunities, and growth strategy, product initiatives and go-to market motions and the expected benefits resulting from the same, and market trends.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and hosts, renewals or upgrades, difficulties in evaluating our prospects and future results of operations given our limited operating history, competition from other providers of communications platforms, continued uncertainty regarding the extent and duration of the impact of COVID-19 and the responses of government and private industry thereto, including the potential effect on our user growth rate as the impact of the COVID-19 pandemic tapers, particularly as users return to work or school or are otherwise no longer subject to limitations on in-person meetings, as well as</w:t>
      </w:r>
    </w:p>
    <w:p>
      <w:pPr>
        <w:sectPr>
          <w:pgSz w:w="11900" w:h="16838" w:orient="portrait"/>
          <w:cols w:equalWidth="0" w:num="1">
            <w:col w:w="11200"/>
          </w:cols>
          <w:pgMar w:left="320" w:top="963" w:right="379" w:bottom="1440" w:gutter="0" w:footer="0" w:header="0"/>
        </w:sectPr>
      </w:pPr>
    </w:p>
    <w:bookmarkStart w:id="5" w:name="page6"/>
    <w:bookmarkEnd w:id="5"/>
    <w:p>
      <w:pPr>
        <w:ind w:right="100"/>
        <w:spacing w:after="0" w:line="247" w:lineRule="auto"/>
        <w:rPr>
          <w:sz w:val="20"/>
          <w:szCs w:val="20"/>
          <w:color w:val="auto"/>
        </w:rPr>
      </w:pPr>
      <w:r>
        <w:rPr>
          <w:rFonts w:ascii="Times New Roman" w:cs="Times New Roman" w:eastAsia="Times New Roman" w:hAnsi="Times New Roman"/>
          <w:sz w:val="17"/>
          <w:szCs w:val="17"/>
          <w:color w:val="auto"/>
        </w:rPr>
        <w:t>the impact of COVID-19 and other macroeconomic conditions, including inflation, on the overall economic environment, any or all of which will have an impact on demand for remote work solutions for businesses as well as overall distributed, face-to-face interactions and collaboration using Zoom, delays or outages in services from our co-located data centers, failures in internet infrastructure or interference with broadband access which could cause current or potential users to believe that our systems are unreliable, market volatility, and global security concerns and their potential impact on regional and global economies and supply chains.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fiscal quarter ended July 31, 2022.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6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6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Non-GAAP Income From Operations and Non-GAAP Operating Margin. Zoom defines non-GAAP income from operations as income from operations excluding stock-based compensation expense and related payroll taxes, acquisition-related expenses, and litigation settlements, net.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Zoom excludes significant litigation settlements, net of amounts covered by insurance, that we deem not to be in the ordinary course of our business. In particular, Zoom believes the consideration of measures that exclude such expenses can assist in the comparison of operational performance in different periods which may or may not include such expenses and assist in the comparison with the results of other companies in the industry.</w:t>
      </w:r>
    </w:p>
    <w:p>
      <w:pPr>
        <w:spacing w:after="0" w:line="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Non-GAAP Net Income and Non-GAAP Net Income Per Share, Basic and Diluted. Zoom defines non-GAAP net income and non-GAAP net income per share, basic and diluted, as GAAP net income attributable to common stockholders and GAAP net income per share attributable to common stockholders, basic and diluted, respectively, adjusted to exclude stock-based compensation expense and related payroll taxes, acquisition-related expenses, gains/losses on strategic investments, net, litigation settlements, net, and undistributed earnings attributable to participating securities, including the tax effects of all non-GAAP adjustments. Zoom excludes gains on strategic investments, net because given the size and volatility in the ongoing adjustments to the valuation of our strategic investments, we believe that excluding these gains or losses facilitates a more meaningful evaluation of our operational performance. Zoom excludes undistributed earnings attributable to participating securities because they are considered by management to be outside of Zoom’s core operating results, and excluding them provides investors and management with greater visibility to the underlying performance of Zoom’s business operations, facilitates comparison of its results with other periods and may also facilitate comparison with the results of other companies in the industry.</w:t>
      </w:r>
    </w:p>
    <w:p>
      <w:pPr>
        <w:spacing w:after="0" w:line="7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Free Cash Flow. Zoom defines free cash flow as GAAP net cash provided by operating activities less purchases of property and equipment. Zoom considers free cash flow to be a liquidity measure that provide useful information to management and investors regarding net cash provided by operating activities and cash used for investments in property and equipment required to maintain and grow the business.</w:t>
      </w:r>
    </w:p>
    <w:p>
      <w:pPr>
        <w:sectPr>
          <w:pgSz w:w="11900" w:h="16838" w:orient="portrait"/>
          <w:cols w:equalWidth="0" w:num="1">
            <w:col w:w="11220"/>
          </w:cols>
          <w:pgMar w:left="320" w:top="860" w:right="359" w:bottom="1440" w:gutter="0" w:footer="0" w:header="0"/>
        </w:sectPr>
      </w:pPr>
    </w:p>
    <w:bookmarkStart w:id="6" w:name="page7"/>
    <w:bookmarkEnd w:id="6"/>
    <w:p>
      <w:pPr>
        <w:ind w:right="80"/>
        <w:spacing w:after="0" w:line="265" w:lineRule="auto"/>
        <w:rPr>
          <w:sz w:val="20"/>
          <w:szCs w:val="20"/>
          <w:color w:val="auto"/>
        </w:rPr>
      </w:pPr>
      <w:r>
        <w:rPr>
          <w:rFonts w:ascii="Times New Roman" w:cs="Times New Roman" w:eastAsia="Times New Roman" w:hAnsi="Times New Roman"/>
          <w:sz w:val="17"/>
          <w:szCs w:val="17"/>
          <w:color w:val="auto"/>
        </w:rPr>
        <w:t>Revenue in Constant Currency. Zoom defines revenue in constant currency as GAAP revenue adjusted for revenue reported in currencies other than United States dollars as if they were converted into United States dollars using the average exchange rates from the comparative period rather than the actual exchange rates in effect during the respective periods. Zoom provides revenue in constant currency information as a framework for assessing how our underlying businesses performed period to period, excluding the effects of foreign currency fluctuations.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Metrics</w:t>
      </w:r>
    </w:p>
    <w:p>
      <w:pPr>
        <w:spacing w:after="0" w:line="11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Zoom defines a customer as a separate and distinct buying entity, which can be a single paid host or an organization of any size (including a distinct unit of an organization) that has multiple paid hosts. Zoom defines Enterprise customers as distinct business units who have been engaged by either Zoom’s direct sales team, channel partners or independent software vendor partners. All other customers that subscribe to our services directly through our website are referred to as Online customers.</w:t>
      </w:r>
    </w:p>
    <w:p>
      <w:pPr>
        <w:spacing w:after="0" w:line="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Zoom calculates net dollar expansion rate as of a period end by starting with the annual recurring revenue (“ARR”) from Enterprise customers as of 12 months prior (“Prior Period ARR”). Zoom defines ARR as the annualized revenue run rate of subscription agreements from all customers at a point in time. Zoom calculates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Zoom then calculates the ARR from these Enterprise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29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7"/>
          <w:szCs w:val="17"/>
          <w:color w:val="auto"/>
        </w:rPr>
        <w:t>Zoom calculates online average monthly churn by starting with the Online customer MRR as of the beginning of the applicable quarter (“Entry MRR”). Entry MRR is defined as the recurring revenue run-rate of subscription agreements from all Online customers, including revenue from monthly subscribers that have not provided any indication that they intend to cancel their subscriptions. Zoom then determines the MRR related to customers who canceled or downgraded their subscription during the applicable quarter (“Applicable Quarter MRR Churn”). Zoom divides the Applicable Quarter MRR Churn by the applicable quarter Entry MRR to arrive at the MRR Churn rate for Online Customers for the applicable quarter. Zoom then divides that amount by three to calculate the online average monthly churn.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Public Relations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Colleen Rodriguez</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Global Public Relations and Executive Communications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press@zoom.us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McCallum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Investor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investors@zoom.us</w:t>
      </w:r>
    </w:p>
    <w:p>
      <w:pPr>
        <w:sectPr>
          <w:pgSz w:w="11900" w:h="16838" w:orient="portrait"/>
          <w:cols w:equalWidth="0" w:num="1">
            <w:col w:w="11240"/>
          </w:cols>
          <w:pgMar w:left="320" w:top="96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Pr>
          <w:p>
            <w:pPr>
              <w:spacing w:after="0"/>
              <w:rPr>
                <w:sz w:val="15"/>
                <w:szCs w:val="15"/>
                <w:color w:val="auto"/>
              </w:rPr>
            </w:pPr>
          </w:p>
        </w:tc>
      </w:tr>
      <w:tr>
        <w:trPr>
          <w:trHeight w:val="23"/>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4"/>
        </w:trPr>
        <w:tc>
          <w:tcPr>
            <w:tcW w:w="8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October 31,</w:t>
            </w:r>
          </w:p>
        </w:tc>
        <w:tc>
          <w:tcPr>
            <w:tcW w:w="220" w:type="dxa"/>
            <w:vAlign w:val="bottom"/>
          </w:tcPr>
          <w:p>
            <w:pPr>
              <w:spacing w:after="0"/>
              <w:rPr>
                <w:sz w:val="10"/>
                <w:szCs w:val="10"/>
                <w:color w:val="auto"/>
              </w:rPr>
            </w:pPr>
          </w:p>
        </w:tc>
        <w:tc>
          <w:tcPr>
            <w:tcW w:w="1200" w:type="dxa"/>
            <w:vAlign w:val="bottom"/>
          </w:tcPr>
          <w:p>
            <w:pPr>
              <w:jc w:val="right"/>
              <w:ind w:right="275"/>
              <w:spacing w:after="0" w:line="124" w:lineRule="exact"/>
              <w:rPr>
                <w:sz w:val="20"/>
                <w:szCs w:val="20"/>
                <w:color w:val="auto"/>
              </w:rPr>
            </w:pPr>
            <w:r>
              <w:rPr>
                <w:rFonts w:ascii="Times New Roman" w:cs="Times New Roman" w:eastAsia="Times New Roman" w:hAnsi="Times New Roman"/>
                <w:sz w:val="14"/>
                <w:szCs w:val="14"/>
                <w:b w:val="1"/>
                <w:bCs w:val="1"/>
                <w:color w:val="auto"/>
              </w:rPr>
              <w:t>January 31,</w:t>
            </w:r>
          </w:p>
        </w:tc>
      </w:tr>
      <w:tr>
        <w:trPr>
          <w:trHeight w:val="188"/>
        </w:trPr>
        <w:tc>
          <w:tcPr>
            <w:tcW w:w="8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color w:val="auto"/>
                <w:w w:val="99"/>
              </w:rPr>
              <w:t>(unaudited)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1,096,174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1,062,820</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4,068,818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4,356,446</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589,573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419,673</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contract acquisition costs, 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221,871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199,266</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165,661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145,602</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6,142,097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6,183,807</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contract acquisition costs,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164,714</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250,843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222,354</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95,965</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Strategic investments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354,549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367,814</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27,607</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550,539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382,296</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152,308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106,761</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7,837,178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7,551,318</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5"/>
        </w:trPr>
        <w:tc>
          <w:tcPr>
            <w:tcW w:w="82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7,841</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561,300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430,415</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 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1,307,763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1,141,435</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1,896,310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1,579,691</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38,481</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85,018</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60,468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68,110</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2,081,366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1,771,300</w:t>
            </w:r>
          </w:p>
        </w:tc>
      </w:tr>
      <w:tr>
        <w:trPr>
          <w:trHeight w:val="238"/>
        </w:trPr>
        <w:tc>
          <w:tcPr>
            <w:tcW w:w="8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Preferred stock</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3,572,368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3,749,514</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(17,902)</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2,255,868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2,048,107</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5,755,812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5,780,018</w:t>
            </w:r>
          </w:p>
        </w:tc>
      </w:tr>
      <w:tr>
        <w:trPr>
          <w:trHeight w:val="23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7,837,178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7,551,318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Note: The amount of unbilled accounts receivable included within accounts receivable, net on the condensed consolidated balance sheets was $82.4 million and $59.7 million as of October 31, 2022 and January 31, 2022, respectively.</w:t>
      </w:r>
    </w:p>
    <w:p>
      <w:pPr>
        <w:sectPr>
          <w:pgSz w:w="11900" w:h="16838" w:orient="portrait"/>
          <w:cols w:equalWidth="0" w:num="1">
            <w:col w:w="11240"/>
          </w:cols>
          <w:pgMar w:left="320" w:top="85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20" w:type="dxa"/>
            <w:vAlign w:val="bottom"/>
          </w:tcPr>
          <w:p>
            <w:pPr>
              <w:spacing w:after="0"/>
              <w:rPr>
                <w:sz w:val="15"/>
                <w:szCs w:val="15"/>
                <w:color w:val="auto"/>
              </w:rPr>
            </w:pPr>
          </w:p>
        </w:tc>
        <w:tc>
          <w:tcPr>
            <w:tcW w:w="26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23"/>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5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1,101,899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1,050,756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3,275,157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3,028,488</w:t>
            </w:r>
          </w:p>
        </w:tc>
      </w:tr>
      <w:tr>
        <w:trPr>
          <w:trHeight w:val="22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270,665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270,957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806,097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797,207</w:t>
            </w:r>
          </w:p>
        </w:tc>
      </w:tr>
      <w:tr>
        <w:trPr>
          <w:trHeight w:val="21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831,234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779,799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2,469,060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2,231,281</w:t>
            </w:r>
          </w:p>
        </w:tc>
      </w:tr>
      <w:tr>
        <w:trPr>
          <w:trHeight w:val="20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195,946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512,801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245,994</w:t>
            </w:r>
          </w:p>
        </w:tc>
      </w:tr>
      <w:tr>
        <w:trPr>
          <w:trHeight w:val="220"/>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427,747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1,191,004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810,544</w:t>
            </w:r>
          </w:p>
        </w:tc>
      </w:tr>
      <w:tr>
        <w:trPr>
          <w:trHeight w:val="22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389,939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362,971</w:t>
            </w:r>
          </w:p>
        </w:tc>
      </w:tr>
      <w:tr>
        <w:trPr>
          <w:trHeight w:val="213"/>
        </w:trPr>
        <w:tc>
          <w:tcPr>
            <w:tcW w:w="52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764,726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488,942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2,093,744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1,419,509</w:t>
            </w:r>
          </w:p>
        </w:tc>
      </w:tr>
      <w:tr>
        <w:trPr>
          <w:trHeight w:val="21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290,857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375,316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811,772</w:t>
            </w:r>
          </w:p>
        </w:tc>
      </w:tr>
      <w:tr>
        <w:trPr>
          <w:trHeight w:val="22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(Losses) gains on strategic investments,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154,497</w:t>
            </w: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(3,171)</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410,283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288,820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963,098</w:t>
            </w: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69,900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78,100</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340,383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207,761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884,998</w:t>
            </w: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Undistributed earnings attributable to participating securities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48,353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340,271</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207,744</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884,568</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 attributable to common stockholders: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2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0.16</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1.11</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0.68</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2.89</w:t>
            </w:r>
          </w:p>
        </w:tc>
      </w:tr>
    </w:tbl>
    <w:p>
      <w:pPr>
        <w:spacing w:after="0" w:line="9" w:lineRule="exact"/>
        <w:rPr>
          <w:sz w:val="20"/>
          <w:szCs w:val="20"/>
          <w:color w:val="auto"/>
        </w:rPr>
      </w:pPr>
    </w:p>
    <w:p>
      <w:pPr>
        <w:sectPr>
          <w:pgSz w:w="11900" w:h="16838" w:orient="portrait"/>
          <w:cols w:equalWidth="0" w:num="1">
            <w:col w:w="11240"/>
          </w:cols>
          <w:pgMar w:left="320" w:top="856" w:right="339" w:bottom="1440" w:gutter="0" w:footer="0" w:header="0"/>
        </w:sectPr>
      </w:pPr>
    </w:p>
    <w:p>
      <w:pPr>
        <w:ind w:left="20" w:right="440"/>
        <w:spacing w:after="0"/>
        <w:rPr>
          <w:sz w:val="20"/>
          <w:szCs w:val="20"/>
          <w:color w:val="auto"/>
        </w:rPr>
      </w:pPr>
      <w:r>
        <w:rPr>
          <w:rFonts w:ascii="Times New Roman" w:cs="Times New Roman" w:eastAsia="Times New Roman" w:hAnsi="Times New Roman"/>
          <w:sz w:val="17"/>
          <w:szCs w:val="17"/>
          <w:color w:val="auto"/>
        </w:rPr>
        <w:t>Weighted-average shares used in computing net income per share attributable to common stockholders: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Basic</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Diluted</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tabs>
          <w:tab w:leader="none" w:pos="1520" w:val="left"/>
          <w:tab w:leader="none" w:pos="3060" w:val="left"/>
          <w:tab w:leader="none" w:pos="4600" w:val="left"/>
        </w:tabs>
        <w:rPr>
          <w:sz w:val="20"/>
          <w:szCs w:val="20"/>
          <w:color w:val="auto"/>
        </w:rPr>
      </w:pPr>
      <w:r>
        <w:rPr>
          <w:rFonts w:ascii="Times New Roman" w:cs="Times New Roman" w:eastAsia="Times New Roman" w:hAnsi="Times New Roman"/>
          <w:sz w:val="17"/>
          <w:szCs w:val="17"/>
          <w:color w:val="auto"/>
        </w:rPr>
        <w:t>295,537,026</w:t>
      </w:r>
      <w:r>
        <w:rPr>
          <w:sz w:val="20"/>
          <w:szCs w:val="20"/>
          <w:color w:val="auto"/>
        </w:rPr>
        <w:tab/>
      </w:r>
      <w:r>
        <w:rPr>
          <w:rFonts w:ascii="Times New Roman" w:cs="Times New Roman" w:eastAsia="Times New Roman" w:hAnsi="Times New Roman"/>
          <w:sz w:val="17"/>
          <w:szCs w:val="17"/>
          <w:color w:val="auto"/>
        </w:rPr>
        <w:t>297,375,011</w:t>
      </w:r>
      <w:r>
        <w:rPr>
          <w:sz w:val="20"/>
          <w:szCs w:val="20"/>
          <w:color w:val="auto"/>
        </w:rPr>
        <w:tab/>
      </w:r>
      <w:r>
        <w:rPr>
          <w:rFonts w:ascii="Times New Roman" w:cs="Times New Roman" w:eastAsia="Times New Roman" w:hAnsi="Times New Roman"/>
          <w:sz w:val="17"/>
          <w:szCs w:val="17"/>
          <w:color w:val="auto"/>
        </w:rPr>
        <w:t>297,765,848</w:t>
      </w:r>
      <w:r>
        <w:rPr>
          <w:sz w:val="20"/>
          <w:szCs w:val="20"/>
          <w:color w:val="auto"/>
        </w:rPr>
        <w:tab/>
      </w:r>
      <w:r>
        <w:rPr>
          <w:rFonts w:ascii="Times New Roman" w:cs="Times New Roman" w:eastAsia="Times New Roman" w:hAnsi="Times New Roman"/>
          <w:sz w:val="17"/>
          <w:szCs w:val="17"/>
          <w:color w:val="auto"/>
        </w:rPr>
        <w:t>295,647,626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17780</wp:posOffset>
            </wp:positionV>
            <wp:extent cx="7138035"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188595"/>
                    </a:xfrm>
                    <a:prstGeom prst="rect">
                      <a:avLst/>
                    </a:prstGeom>
                    <a:noFill/>
                  </pic:spPr>
                </pic:pic>
              </a:graphicData>
            </a:graphic>
          </wp:anchor>
        </w:drawing>
        <w:drawing>
          <wp:anchor simplePos="0" relativeHeight="251657728" behindDoc="1" locked="0" layoutInCell="0" allowOverlap="1">
            <wp:simplePos x="0" y="0"/>
            <wp:positionH relativeFrom="column">
              <wp:posOffset>-3616960</wp:posOffset>
            </wp:positionH>
            <wp:positionV relativeFrom="paragraph">
              <wp:posOffset>-375920</wp:posOffset>
            </wp:positionV>
            <wp:extent cx="7138035" cy="254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254635"/>
                    </a:xfrm>
                    <a:prstGeom prst="rect">
                      <a:avLst/>
                    </a:prstGeom>
                    <a:noFill/>
                  </pic:spPr>
                </pic:pic>
              </a:graphicData>
            </a:graphic>
          </wp:anchor>
        </w:drawing>
      </w:r>
    </w:p>
    <w:p>
      <w:pPr>
        <w:spacing w:after="0" w:line="56" w:lineRule="exact"/>
        <w:rPr>
          <w:sz w:val="20"/>
          <w:szCs w:val="20"/>
          <w:color w:val="auto"/>
        </w:rPr>
      </w:pPr>
    </w:p>
    <w:p>
      <w:pPr>
        <w:spacing w:after="0"/>
        <w:tabs>
          <w:tab w:leader="none" w:pos="1520" w:val="left"/>
          <w:tab w:leader="none" w:pos="3060" w:val="left"/>
          <w:tab w:leader="none" w:pos="4600" w:val="left"/>
        </w:tabs>
        <w:rPr>
          <w:sz w:val="20"/>
          <w:szCs w:val="20"/>
          <w:color w:val="auto"/>
        </w:rPr>
      </w:pPr>
      <w:r>
        <w:rPr>
          <w:rFonts w:ascii="Times New Roman" w:cs="Times New Roman" w:eastAsia="Times New Roman" w:hAnsi="Times New Roman"/>
          <w:sz w:val="17"/>
          <w:szCs w:val="17"/>
          <w:color w:val="auto"/>
        </w:rPr>
        <w:t>301,986,341</w:t>
      </w:r>
      <w:r>
        <w:rPr>
          <w:sz w:val="20"/>
          <w:szCs w:val="20"/>
          <w:color w:val="auto"/>
        </w:rPr>
        <w:tab/>
      </w:r>
      <w:r>
        <w:rPr>
          <w:rFonts w:ascii="Times New Roman" w:cs="Times New Roman" w:eastAsia="Times New Roman" w:hAnsi="Times New Roman"/>
          <w:sz w:val="17"/>
          <w:szCs w:val="17"/>
          <w:color w:val="auto"/>
        </w:rPr>
        <w:t>305,939,624</w:t>
      </w:r>
      <w:r>
        <w:rPr>
          <w:sz w:val="20"/>
          <w:szCs w:val="20"/>
          <w:color w:val="auto"/>
        </w:rPr>
        <w:tab/>
      </w:r>
      <w:r>
        <w:rPr>
          <w:rFonts w:ascii="Times New Roman" w:cs="Times New Roman" w:eastAsia="Times New Roman" w:hAnsi="Times New Roman"/>
          <w:sz w:val="17"/>
          <w:szCs w:val="17"/>
          <w:color w:val="auto"/>
        </w:rPr>
        <w:t>305,273,812</w:t>
      </w:r>
      <w:r>
        <w:rPr>
          <w:sz w:val="20"/>
          <w:szCs w:val="20"/>
          <w:color w:val="auto"/>
        </w:rPr>
        <w:tab/>
      </w:r>
      <w:r>
        <w:rPr>
          <w:rFonts w:ascii="Times New Roman" w:cs="Times New Roman" w:eastAsia="Times New Roman" w:hAnsi="Times New Roman"/>
          <w:sz w:val="17"/>
          <w:szCs w:val="17"/>
          <w:color w:val="auto"/>
        </w:rPr>
        <w:t>305,726,733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41910</wp:posOffset>
            </wp:positionV>
            <wp:extent cx="3839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39845" cy="8255"/>
                    </a:xfrm>
                    <a:prstGeom prst="rect">
                      <a:avLst/>
                    </a:prstGeom>
                    <a:noFill/>
                  </pic:spPr>
                </pic:pic>
              </a:graphicData>
            </a:graphic>
          </wp:anchor>
        </w:drawing>
      </w:r>
    </w:p>
    <w:p>
      <w:pPr>
        <w:sectPr>
          <w:pgSz w:w="11900" w:h="16838" w:orient="portrait"/>
          <w:cols w:equalWidth="0" w:num="2">
            <w:col w:w="4980" w:space="720"/>
            <w:col w:w="5540"/>
          </w:cols>
          <w:pgMar w:left="320" w:top="856"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20" w:type="dxa"/>
            <w:vAlign w:val="bottom"/>
          </w:tcPr>
          <w:p>
            <w:pPr>
              <w:spacing w:after="0"/>
              <w:rPr>
                <w:sz w:val="15"/>
                <w:szCs w:val="15"/>
                <w:color w:val="auto"/>
              </w:rPr>
            </w:pPr>
          </w:p>
        </w:tc>
        <w:tc>
          <w:tcPr>
            <w:tcW w:w="2700" w:type="dxa"/>
            <w:vAlign w:val="bottom"/>
            <w:gridSpan w:val="4"/>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5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48,353</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340,383</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207,761</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884,998</w:t>
            </w:r>
          </w:p>
        </w:tc>
        <w:tc>
          <w:tcPr>
            <w:tcW w:w="0" w:type="dxa"/>
            <w:vAlign w:val="bottom"/>
          </w:tcPr>
          <w:p>
            <w:pPr>
              <w:spacing w:after="0"/>
              <w:rPr>
                <w:sz w:val="1"/>
                <w:szCs w:val="1"/>
                <w:color w:val="auto"/>
              </w:rPr>
            </w:pPr>
          </w:p>
        </w:tc>
      </w:tr>
      <w:tr>
        <w:trPr>
          <w:trHeight w:val="159"/>
        </w:trPr>
        <w:tc>
          <w:tcPr>
            <w:tcW w:w="51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Adjustments to reconcile net income to net cash provided by operating</w:t>
            </w: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activities: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302,815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767,693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315,912</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contract acquisition costs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67,124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125,691</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Losses (gains) on strategic investments, net</w:t>
            </w:r>
          </w:p>
        </w:tc>
        <w:tc>
          <w:tcPr>
            <w:tcW w:w="3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6,898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(154,497)</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21,766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35,275</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Provision for accounts receivable allowances</w:t>
            </w:r>
          </w:p>
        </w:tc>
        <w:tc>
          <w:tcPr>
            <w:tcW w:w="3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12,853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39,580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23,482</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5,882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13,131</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discount/premium on marketable securities</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19,546</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22,623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(108,541)</w:t>
            </w: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(71,998)</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Deferred contract acquisition costs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(165,305)</w:t>
            </w: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8,120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52,129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171,914</w:t>
            </w:r>
          </w:p>
        </w:tc>
        <w:tc>
          <w:tcPr>
            <w:tcW w:w="0" w:type="dxa"/>
            <w:vAlign w:val="bottom"/>
          </w:tcPr>
          <w:p>
            <w:pPr>
              <w:spacing w:after="0"/>
              <w:rPr>
                <w:sz w:val="1"/>
                <w:szCs w:val="1"/>
                <w:color w:val="auto"/>
              </w:rPr>
            </w:pPr>
          </w:p>
        </w:tc>
      </w:tr>
      <w:tr>
        <w:trPr>
          <w:trHeight w:val="204"/>
        </w:trPr>
        <w:tc>
          <w:tcPr>
            <w:tcW w:w="51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304,513</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Operating lease liabilities, net</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w:t>
            </w:r>
          </w:p>
        </w:tc>
        <w:tc>
          <w:tcPr>
            <w:tcW w:w="0" w:type="dxa"/>
            <w:vAlign w:val="bottom"/>
          </w:tcPr>
          <w:p>
            <w:pPr>
              <w:spacing w:after="0"/>
              <w:rPr>
                <w:sz w:val="1"/>
                <w:szCs w:val="1"/>
                <w:color w:val="auto"/>
              </w:rPr>
            </w:pPr>
          </w:p>
        </w:tc>
      </w:tr>
      <w:tr>
        <w:trPr>
          <w:trHeight w:val="197"/>
        </w:trPr>
        <w:tc>
          <w:tcPr>
            <w:tcW w:w="51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295,314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394,556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1,078,674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1,395,870</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(1,351,726)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(1,927,049)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(3,446,313)</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831,199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2,137,875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1,047,545</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281,582</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(111,816)</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strategic investments</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(126,349)</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strategic investments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acquisition, net of cash acquired</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(9,626)</w:t>
            </w:r>
          </w:p>
        </w:tc>
        <w:tc>
          <w:tcPr>
            <w:tcW w:w="0" w:type="dxa"/>
            <w:vAlign w:val="bottom"/>
          </w:tcPr>
          <w:p>
            <w:pPr>
              <w:spacing w:after="0"/>
              <w:rPr>
                <w:sz w:val="1"/>
                <w:szCs w:val="1"/>
                <w:color w:val="auto"/>
              </w:rPr>
            </w:pPr>
          </w:p>
        </w:tc>
      </w:tr>
      <w:tr>
        <w:trPr>
          <w:trHeight w:val="197"/>
        </w:trPr>
        <w:tc>
          <w:tcPr>
            <w:tcW w:w="510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447,748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(1,002,916)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(2,367,098)</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repurchases of common stock</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(564,832)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(990,778)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for employee stock purchase plan</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37,846</w:t>
            </w:r>
          </w:p>
        </w:tc>
        <w:tc>
          <w:tcPr>
            <w:tcW w:w="0" w:type="dxa"/>
            <w:vAlign w:val="bottom"/>
          </w:tcPr>
          <w:p>
            <w:pPr>
              <w:spacing w:after="0"/>
              <w:rPr>
                <w:sz w:val="1"/>
                <w:szCs w:val="1"/>
                <w:color w:val="auto"/>
              </w:rPr>
            </w:pPr>
          </w:p>
        </w:tc>
      </w:tr>
      <w:tr>
        <w:trPr>
          <w:trHeight w:val="156"/>
        </w:trPr>
        <w:tc>
          <w:tcPr>
            <w:tcW w:w="5100" w:type="dxa"/>
            <w:vAlign w:val="bottom"/>
          </w:tcPr>
          <w:p>
            <w:pPr>
              <w:ind w:left="220"/>
              <w:spacing w:after="0" w:line="156" w:lineRule="exact"/>
              <w:rPr>
                <w:sz w:val="20"/>
                <w:szCs w:val="20"/>
                <w:color w:val="auto"/>
              </w:rPr>
            </w:pPr>
            <w:r>
              <w:rPr>
                <w:rFonts w:ascii="Times New Roman" w:cs="Times New Roman" w:eastAsia="Times New Roman" w:hAnsi="Times New Roman"/>
                <w:sz w:val="16"/>
                <w:szCs w:val="16"/>
                <w:color w:val="auto"/>
              </w:rPr>
              <w:t>Proceeds from employee equity transactions (remitted) to be remitted to</w:t>
            </w:r>
          </w:p>
        </w:tc>
        <w:tc>
          <w:tcPr>
            <w:tcW w:w="300" w:type="dxa"/>
            <w:vAlign w:val="bottom"/>
          </w:tcPr>
          <w:p>
            <w:pPr>
              <w:spacing w:after="0"/>
              <w:rPr>
                <w:sz w:val="13"/>
                <w:szCs w:val="13"/>
                <w:color w:val="auto"/>
              </w:rPr>
            </w:pPr>
          </w:p>
        </w:tc>
        <w:tc>
          <w:tcPr>
            <w:tcW w:w="11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3,216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(47,242)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(28,342)</w:t>
            </w:r>
          </w:p>
        </w:tc>
        <w:tc>
          <w:tcPr>
            <w:tcW w:w="0" w:type="dxa"/>
            <w:vAlign w:val="bottom"/>
          </w:tcPr>
          <w:p>
            <w:pPr>
              <w:spacing w:after="0"/>
              <w:rPr>
                <w:sz w:val="1"/>
                <w:szCs w:val="1"/>
                <w:color w:val="auto"/>
              </w:rPr>
            </w:pPr>
          </w:p>
        </w:tc>
      </w:tr>
      <w:tr>
        <w:trPr>
          <w:trHeight w:val="203"/>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employees and tax authorities, net</w:t>
            </w:r>
          </w:p>
        </w:tc>
        <w:tc>
          <w:tcPr>
            <w:tcW w:w="3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11,044</w:t>
            </w:r>
          </w:p>
        </w:tc>
        <w:tc>
          <w:tcPr>
            <w:tcW w:w="0" w:type="dxa"/>
            <w:vAlign w:val="bottom"/>
          </w:tcPr>
          <w:p>
            <w:pPr>
              <w:spacing w:after="0"/>
              <w:rPr>
                <w:sz w:val="1"/>
                <w:szCs w:val="1"/>
                <w:color w:val="auto"/>
              </w:rPr>
            </w:pPr>
          </w:p>
        </w:tc>
      </w:tr>
      <w:tr>
        <w:trPr>
          <w:trHeight w:val="204"/>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0" w:type="dxa"/>
            <w:vAlign w:val="bottom"/>
          </w:tcPr>
          <w:p>
            <w:pPr>
              <w:spacing w:after="0"/>
              <w:rPr>
                <w:sz w:val="1"/>
                <w:szCs w:val="1"/>
                <w:color w:val="auto"/>
              </w:rPr>
            </w:pPr>
          </w:p>
        </w:tc>
      </w:tr>
      <w:tr>
        <w:trPr>
          <w:trHeight w:val="202"/>
        </w:trPr>
        <w:tc>
          <w:tcPr>
            <w:tcW w:w="5100" w:type="dxa"/>
            <w:vAlign w:val="bottom"/>
            <w:tcBorders>
              <w:top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(559,866)</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(948,687)</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20,885</w:t>
            </w:r>
          </w:p>
        </w:tc>
        <w:tc>
          <w:tcPr>
            <w:tcW w:w="0" w:type="dxa"/>
            <w:vAlign w:val="bottom"/>
          </w:tcPr>
          <w:p>
            <w:pPr>
              <w:spacing w:after="0"/>
              <w:rPr>
                <w:sz w:val="1"/>
                <w:szCs w:val="1"/>
                <w:color w:val="auto"/>
              </w:rPr>
            </w:pPr>
          </w:p>
        </w:tc>
      </w:tr>
      <w:tr>
        <w:trPr>
          <w:trHeight w:val="197"/>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162,668</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(652,579)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32,735</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(950,343)</w:t>
            </w:r>
          </w:p>
        </w:tc>
        <w:tc>
          <w:tcPr>
            <w:tcW w:w="0" w:type="dxa"/>
            <w:vAlign w:val="bottom"/>
          </w:tcPr>
          <w:p>
            <w:pPr>
              <w:spacing w:after="0"/>
              <w:rPr>
                <w:sz w:val="1"/>
                <w:szCs w:val="1"/>
                <w:color w:val="auto"/>
              </w:rPr>
            </w:pPr>
          </w:p>
        </w:tc>
      </w:tr>
      <w:tr>
        <w:trPr>
          <w:trHeight w:val="204"/>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943,420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1,995,352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1,073,353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2,293,116</w:t>
            </w:r>
          </w:p>
        </w:tc>
        <w:tc>
          <w:tcPr>
            <w:tcW w:w="0" w:type="dxa"/>
            <w:vAlign w:val="bottom"/>
          </w:tcPr>
          <w:p>
            <w:pPr>
              <w:spacing w:after="0"/>
              <w:rPr>
                <w:sz w:val="1"/>
                <w:szCs w:val="1"/>
                <w:color w:val="auto"/>
              </w:rPr>
            </w:pPr>
          </w:p>
        </w:tc>
      </w:tr>
      <w:tr>
        <w:trPr>
          <w:trHeight w:val="22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1,106,088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1,342,773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1,106,088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1,342,773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1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Zoom Video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GAAP to Non-GAAP Measures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260" w:type="dxa"/>
            <w:vAlign w:val="bottom"/>
          </w:tcPr>
          <w:p>
            <w:pPr>
              <w:spacing w:after="0"/>
              <w:rPr>
                <w:sz w:val="15"/>
                <w:szCs w:val="15"/>
                <w:color w:val="auto"/>
              </w:rPr>
            </w:pPr>
          </w:p>
        </w:tc>
        <w:tc>
          <w:tcPr>
            <w:tcW w:w="284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23"/>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9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income from operations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66,508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290,857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375,316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811,772</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305,258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118,708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780,712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339,825</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settlements, net</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(4,226)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66,916</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9,119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22,450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18,317</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income from operations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380,885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411,278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1,174,252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1,236,830</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operating margin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26.8 %</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operating margin</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40.8 %</w:t>
            </w:r>
          </w:p>
        </w:tc>
        <w:tc>
          <w:tcPr>
            <w:tcW w:w="0" w:type="dxa"/>
            <w:vAlign w:val="bottom"/>
          </w:tcPr>
          <w:p>
            <w:pPr>
              <w:spacing w:after="0"/>
              <w:rPr>
                <w:sz w:val="1"/>
                <w:szCs w:val="1"/>
                <w:color w:val="auto"/>
              </w:rPr>
            </w:pPr>
          </w:p>
        </w:tc>
      </w:tr>
      <w:tr>
        <w:trPr>
          <w:trHeight w:val="155"/>
        </w:trPr>
        <w:tc>
          <w:tcPr>
            <w:tcW w:w="4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GAAP net income attributable to common stockholders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48,353</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340,271</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207,744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884,568</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305,258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118,708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780,712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339,825</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Litigation settlements, net</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(4,226)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66,916</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Losses (gains) on strategic investments, net</w:t>
            </w: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6,898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(122,421)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78,014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(154,497)</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9,119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22,450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18,317</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Undistributed earnings attributable to participating securities</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430</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Tax effects on non-GAAP adjustments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(46,442)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(122,254)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net income</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323,186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338,383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962,457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1,155,559</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 - basic and diluted: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GAAP net income per share - basic</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2.99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tcPr>
          <w:p>
            <w:pPr>
              <w:ind w:left="220"/>
              <w:spacing w:after="0" w:line="191" w:lineRule="exact"/>
              <w:rPr>
                <w:sz w:val="20"/>
                <w:szCs w:val="20"/>
                <w:color w:val="auto"/>
              </w:rPr>
            </w:pPr>
            <w:r>
              <w:rPr>
                <w:rFonts w:ascii="Times New Roman" w:cs="Times New Roman" w:eastAsia="Times New Roman" w:hAnsi="Times New Roman"/>
                <w:sz w:val="17"/>
                <w:szCs w:val="17"/>
                <w:color w:val="auto"/>
              </w:rPr>
              <w:t>Non-GAAP net income per share - basic</w:t>
            </w: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3.23</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GAAP net income per share - diluted</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2.89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tcPr>
          <w:p>
            <w:pPr>
              <w:ind w:left="220"/>
              <w:spacing w:after="0" w:line="191" w:lineRule="exact"/>
              <w:rPr>
                <w:sz w:val="20"/>
                <w:szCs w:val="20"/>
                <w:color w:val="auto"/>
              </w:rPr>
            </w:pPr>
            <w:r>
              <w:rPr>
                <w:rFonts w:ascii="Times New Roman" w:cs="Times New Roman" w:eastAsia="Times New Roman" w:hAnsi="Times New Roman"/>
                <w:sz w:val="17"/>
                <w:szCs w:val="17"/>
                <w:color w:val="auto"/>
              </w:rPr>
              <w:t>Non-GAAP net income per share - diluted</w:t>
            </w: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3.15</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rPr>
              <w:t>3.78</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9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4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GAAP and non-GAAP weighted-average shares used to compute net</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per share - basic</w:t>
            </w:r>
          </w:p>
        </w:tc>
        <w:tc>
          <w:tcPr>
            <w:tcW w:w="260" w:type="dxa"/>
            <w:vAlign w:val="bottom"/>
          </w:tcPr>
          <w:p>
            <w:pPr>
              <w:spacing w:after="0"/>
              <w:rPr>
                <w:sz w:val="20"/>
                <w:szCs w:val="20"/>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295,537,026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297,375,011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297,765,848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295,647,626</w:t>
            </w:r>
          </w:p>
        </w:tc>
        <w:tc>
          <w:tcPr>
            <w:tcW w:w="0" w:type="dxa"/>
            <w:vAlign w:val="bottom"/>
          </w:tcPr>
          <w:p>
            <w:pPr>
              <w:spacing w:after="0"/>
              <w:rPr>
                <w:sz w:val="1"/>
                <w:szCs w:val="1"/>
                <w:color w:val="auto"/>
              </w:rPr>
            </w:pPr>
          </w:p>
        </w:tc>
      </w:tr>
      <w:tr>
        <w:trPr>
          <w:trHeight w:val="168"/>
        </w:trPr>
        <w:tc>
          <w:tcPr>
            <w:tcW w:w="49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GAAP and non-GAAP weighted-average shares used to compute net</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per share - diluted</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301,986,341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305,939,624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305,273,812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305,726,733</w:t>
            </w:r>
          </w:p>
        </w:tc>
        <w:tc>
          <w:tcPr>
            <w:tcW w:w="0" w:type="dxa"/>
            <w:vAlign w:val="bottom"/>
          </w:tcPr>
          <w:p>
            <w:pPr>
              <w:spacing w:after="0"/>
              <w:rPr>
                <w:sz w:val="1"/>
                <w:szCs w:val="1"/>
                <w:color w:val="auto"/>
              </w:rPr>
            </w:pPr>
          </w:p>
        </w:tc>
      </w:tr>
      <w:tr>
        <w:trPr>
          <w:trHeight w:val="155"/>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295,314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394,556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1,078,674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1,395,870</w:t>
            </w:r>
          </w:p>
        </w:tc>
        <w:tc>
          <w:tcPr>
            <w:tcW w:w="0" w:type="dxa"/>
            <w:vAlign w:val="bottom"/>
          </w:tcPr>
          <w:p>
            <w:pPr>
              <w:spacing w:after="0"/>
              <w:rPr>
                <w:sz w:val="1"/>
                <w:szCs w:val="1"/>
                <w:color w:val="auto"/>
              </w:rPr>
            </w:pPr>
          </w:p>
        </w:tc>
      </w:tr>
      <w:tr>
        <w:trPr>
          <w:trHeight w:val="220"/>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Less: Purchases of property and equipment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(22,698)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(19,767)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(75,568)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(111,816)</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 (non-GAAP)</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272,616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374,789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1,003,106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1,284,054</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447,748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(1,002,916)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(60,613)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(2,367,098)</w:t>
            </w:r>
          </w:p>
        </w:tc>
        <w:tc>
          <w:tcPr>
            <w:tcW w:w="0" w:type="dxa"/>
            <w:vAlign w:val="bottom"/>
          </w:tcPr>
          <w:p>
            <w:pPr>
              <w:spacing w:after="0"/>
              <w:rPr>
                <w:sz w:val="1"/>
                <w:szCs w:val="1"/>
                <w:color w:val="auto"/>
              </w:rPr>
            </w:pPr>
          </w:p>
        </w:tc>
      </w:tr>
      <w:tr>
        <w:trPr>
          <w:trHeight w:val="23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(559,866)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(44,219)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(948,687)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20,885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cash flow margin (GAAP)</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26.8 %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37.5 %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32.9 %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46.1 %</w:t>
            </w:r>
          </w:p>
        </w:tc>
        <w:tc>
          <w:tcPr>
            <w:tcW w:w="0" w:type="dxa"/>
            <w:vAlign w:val="bottom"/>
          </w:tcPr>
          <w:p>
            <w:pPr>
              <w:spacing w:after="0"/>
              <w:rPr>
                <w:sz w:val="1"/>
                <w:szCs w:val="1"/>
                <w:color w:val="auto"/>
              </w:rPr>
            </w:pPr>
          </w:p>
        </w:tc>
      </w:tr>
      <w:tr>
        <w:trPr>
          <w:trHeight w:val="155"/>
        </w:trPr>
        <w:tc>
          <w:tcPr>
            <w:tcW w:w="4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56" w:right="339" w:bottom="1440" w:gutter="0" w:footer="0" w:header="0"/>
        </w:sectPr>
      </w:pPr>
    </w:p>
    <w:p>
      <w:pPr>
        <w:jc w:val="center"/>
        <w:ind w:left="504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138035" cy="131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spacing w:after="0" w:line="14"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3119755</wp:posOffset>
            </wp:positionH>
            <wp:positionV relativeFrom="paragraph">
              <wp:posOffset>27940</wp:posOffset>
            </wp:positionV>
            <wp:extent cx="1985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85645" cy="8255"/>
                    </a:xfrm>
                    <a:prstGeom prst="rect">
                      <a:avLst/>
                    </a:prstGeom>
                    <a:noFill/>
                  </pic:spPr>
                </pic:pic>
              </a:graphicData>
            </a:graphic>
          </wp:anchor>
        </w:drawing>
      </w:r>
    </w:p>
    <w:p>
      <w:pPr>
        <w:spacing w:after="0" w:line="26" w:lineRule="exact"/>
        <w:rPr>
          <w:sz w:val="20"/>
          <w:szCs w:val="20"/>
          <w:color w:val="auto"/>
        </w:rPr>
      </w:pPr>
    </w:p>
    <w:p>
      <w:pPr>
        <w:ind w:left="5420"/>
        <w:spacing w:after="0"/>
        <w:tabs>
          <w:tab w:leader="none" w:pos="6760" w:val="left"/>
        </w:tabs>
        <w:rPr>
          <w:sz w:val="20"/>
          <w:szCs w:val="20"/>
          <w:color w:val="auto"/>
        </w:rPr>
      </w:pPr>
      <w:r>
        <w:rPr>
          <w:rFonts w:ascii="Times New Roman" w:cs="Times New Roman" w:eastAsia="Times New Roman" w:hAnsi="Times New Roman"/>
          <w:sz w:val="13"/>
          <w:szCs w:val="13"/>
          <w:b w:val="1"/>
          <w:bCs w:val="1"/>
          <w:color w:val="auto"/>
        </w:rPr>
        <w:t>Revenue</w:t>
      </w:r>
      <w:r>
        <w:rPr>
          <w:sz w:val="20"/>
          <w:szCs w:val="20"/>
          <w:color w:val="auto"/>
        </w:rPr>
        <w:tab/>
      </w:r>
      <w:r>
        <w:rPr>
          <w:rFonts w:ascii="Times New Roman" w:cs="Times New Roman" w:eastAsia="Times New Roman" w:hAnsi="Times New Roman"/>
          <w:sz w:val="13"/>
          <w:szCs w:val="13"/>
          <w:b w:val="1"/>
          <w:bCs w:val="1"/>
          <w:color w:val="auto"/>
        </w:rPr>
        <w:t>YoY Growth (%)</w:t>
      </w:r>
    </w:p>
    <w:p>
      <w:pPr>
        <w:spacing w:after="0" w:line="20" w:lineRule="exact"/>
        <w:rPr>
          <w:sz w:val="20"/>
          <w:szCs w:val="20"/>
          <w:color w:val="auto"/>
        </w:rPr>
      </w:pPr>
      <w:r>
        <w:rPr>
          <w:sz w:val="20"/>
          <w:szCs w:val="20"/>
          <w:color w:val="auto"/>
        </w:rPr>
        <w:br w:type="column"/>
      </w: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p>
      <w:pPr>
        <w:spacing w:after="0" w:line="3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27940</wp:posOffset>
            </wp:positionV>
            <wp:extent cx="19773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7390" cy="8255"/>
                    </a:xfrm>
                    <a:prstGeom prst="rect">
                      <a:avLst/>
                    </a:prstGeom>
                    <a:noFill/>
                  </pic:spPr>
                </pic:pic>
              </a:graphicData>
            </a:graphic>
          </wp:anchor>
        </w:drawing>
      </w:r>
    </w:p>
    <w:p>
      <w:pPr>
        <w:spacing w:after="0" w:line="2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3"/>
          <w:szCs w:val="13"/>
          <w:b w:val="1"/>
          <w:bCs w:val="1"/>
          <w:color w:val="auto"/>
        </w:rPr>
        <w:t>Revenue</w:t>
      </w:r>
      <w:r>
        <w:rPr>
          <w:sz w:val="20"/>
          <w:szCs w:val="20"/>
          <w:color w:val="auto"/>
        </w:rPr>
        <w:tab/>
      </w:r>
      <w:r>
        <w:rPr>
          <w:rFonts w:ascii="Times New Roman" w:cs="Times New Roman" w:eastAsia="Times New Roman" w:hAnsi="Times New Roman"/>
          <w:sz w:val="13"/>
          <w:szCs w:val="13"/>
          <w:b w:val="1"/>
          <w:bCs w:val="1"/>
          <w:color w:val="auto"/>
        </w:rPr>
        <w:t>YoY Growth (%)</w:t>
      </w:r>
    </w:p>
    <w:p>
      <w:pPr>
        <w:spacing w:after="0" w:line="56" w:lineRule="exact"/>
        <w:rPr>
          <w:sz w:val="20"/>
          <w:szCs w:val="20"/>
          <w:color w:val="auto"/>
        </w:rPr>
      </w:pPr>
    </w:p>
    <w:p>
      <w:pPr>
        <w:sectPr>
          <w:pgSz w:w="11900" w:h="16838" w:orient="portrait"/>
          <w:cols w:equalWidth="0" w:num="2">
            <w:col w:w="7920" w:space="720"/>
            <w:col w:w="2600"/>
          </w:cols>
          <w:pgMar w:left="320" w:top="856"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9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r>
        <w:trPr>
          <w:trHeight w:val="21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revenue</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1,101,899</w:t>
            </w:r>
          </w:p>
        </w:tc>
        <w:tc>
          <w:tcPr>
            <w:tcW w:w="10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5 %  $</w:t>
            </w:r>
          </w:p>
        </w:tc>
        <w:tc>
          <w:tcPr>
            <w:tcW w:w="11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3,275,157</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r>
      <w:tr>
        <w:trPr>
          <w:trHeight w:val="220"/>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Add: Constant currency impact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24,194</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47,674</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3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 constant currency (non-GAAP)</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1,126,093</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7"/>
                <w:szCs w:val="17"/>
                <w:color w:val="auto"/>
              </w:rPr>
              <w:t>7 %</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3,322,831</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5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2022-11-21T15:17:11Z</dcterms:created>
  <dcterms:modified xsi:type="dcterms:W3CDTF">2022-11-21T15:17:11Z</dcterms:modified>
</cp:coreProperties>
</file>