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998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998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McMaster Herbert Raymond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 w:right="240"/>
        <w:spacing w:after="0" w:line="38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ZOOM VIDEO COMMUNICATIONS, INC. 55 ALMADEN BOULEVARD, SIXTH FLOOR</w:t>
      </w:r>
    </w:p>
    <w:p>
      <w:pPr>
        <w:spacing w:after="0" w:line="15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95113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Zoom Video Communications,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ZM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6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7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09/18/2022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09/18/2022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Issuer's Class A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received an award of restricted stock units on June 18, 2020, which vest in equal installments on each quarterly anniversary date.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Aparna Bawa,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-635</wp:posOffset>
            </wp:positionV>
            <wp:extent cx="13081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542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4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-8255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60" w:space="140"/>
            <w:col w:w="2280"/>
          </w:cols>
          <w:pgMar w:left="460" w:top="216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11490" TargetMode="External"/><Relationship Id="rId13" Type="http://schemas.openxmlformats.org/officeDocument/2006/relationships/hyperlink" Target="http://www.sec.gov/cgi-bin/browse-edgar?action=getcompany&amp;CIK=000158552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2022-09-21T18:35:00Z</dcterms:created>
  <dcterms:modified xsi:type="dcterms:W3CDTF">2022-09-21T18:35:00Z</dcterms:modified>
</cp:coreProperties>
</file>