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480" w:type="dxa"/>
        <w:tblCellMar>
          <w:top w:w="0" w:type="dxa"/>
          <w:left w:w="0" w:type="dxa"/>
          <w:bottom w:w="0" w:type="dxa"/>
          <w:right w:w="0" w:type="dxa"/>
        </w:tblCellMar>
      </w:tblPr>
      <w:tr>
        <w:trPr>
          <w:trHeight w:val="256"/>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1"/>
              </w:rPr>
              <w:t>Delaware</w:t>
            </w:r>
          </w:p>
        </w:tc>
        <w:tc>
          <w:tcPr>
            <w:tcW w:w="4760" w:type="dxa"/>
            <w:vAlign w:val="bottom"/>
          </w:tcPr>
          <w:p>
            <w:pPr>
              <w:jc w:val="center"/>
              <w:ind w:right="335"/>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76"/>
        </w:trPr>
        <w:tc>
          <w:tcPr>
            <w:tcW w:w="29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(State or Other Jurisdiction</w:t>
            </w:r>
          </w:p>
        </w:tc>
        <w:tc>
          <w:tcPr>
            <w:tcW w:w="476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of Incorporation)</w:t>
            </w:r>
          </w:p>
        </w:tc>
        <w:tc>
          <w:tcPr>
            <w:tcW w:w="476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0"/>
              </w:rPr>
              <w:t>55 Almaden Boulevard, 6th Floor</w:t>
            </w: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80" w:type="dxa"/>
            <w:vAlign w:val="bottom"/>
          </w:tcPr>
          <w:p>
            <w:pPr>
              <w:jc w:val="center"/>
              <w:ind w:right="75"/>
              <w:spacing w:after="0"/>
              <w:rPr>
                <w:sz w:val="20"/>
                <w:szCs w:val="20"/>
                <w:color w:val="auto"/>
              </w:rPr>
            </w:pPr>
            <w:r>
              <w:rPr>
                <w:rFonts w:ascii="Arial" w:cs="Arial" w:eastAsia="Arial" w:hAnsi="Arial"/>
                <w:sz w:val="20"/>
                <w:szCs w:val="20"/>
                <w:b w:val="1"/>
                <w:bCs w:val="1"/>
                <w:color w:val="auto"/>
                <w:w w:val="88"/>
              </w:rPr>
              <w:t>San Jose, California</w:t>
            </w:r>
          </w:p>
        </w:tc>
        <w:tc>
          <w:tcPr>
            <w:tcW w:w="4760" w:type="dxa"/>
            <w:vAlign w:val="bottom"/>
          </w:tcPr>
          <w:p>
            <w:pPr>
              <w:spacing w:after="0"/>
              <w:rPr>
                <w:sz w:val="22"/>
                <w:szCs w:val="22"/>
                <w:color w:val="auto"/>
              </w:rPr>
            </w:pPr>
          </w:p>
        </w:tc>
        <w:tc>
          <w:tcPr>
            <w:tcW w:w="1700" w:type="dxa"/>
            <w:vAlign w:val="bottom"/>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13"/>
        </w:trPr>
        <w:tc>
          <w:tcPr>
            <w:tcW w:w="29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60" w:type="dxa"/>
            <w:vAlign w:val="bottom"/>
          </w:tcPr>
          <w:p>
            <w:pPr>
              <w:spacing w:after="0"/>
              <w:rPr>
                <w:sz w:val="18"/>
                <w:szCs w:val="18"/>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27"/>
        </w:trPr>
        <w:tc>
          <w:tcPr>
            <w:tcW w:w="2980" w:type="dxa"/>
            <w:vAlign w:val="bottom"/>
          </w:tcPr>
          <w:p>
            <w:pPr>
              <w:spacing w:after="0"/>
              <w:rPr>
                <w:sz w:val="24"/>
                <w:szCs w:val="24"/>
                <w:color w:val="auto"/>
              </w:rPr>
            </w:pPr>
          </w:p>
        </w:tc>
        <w:tc>
          <w:tcPr>
            <w:tcW w:w="4760" w:type="dxa"/>
            <w:vAlign w:val="bottom"/>
          </w:tcPr>
          <w:p>
            <w:pPr>
              <w:jc w:val="center"/>
              <w:ind w:right="355"/>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6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60" w:type="dxa"/>
            <w:vAlign w:val="bottom"/>
          </w:tcPr>
          <w:p>
            <w:pPr>
              <w:jc w:val="center"/>
              <w:ind w:right="355"/>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6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1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3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June 2, 2020, Zoom Video Communications, Inc. (the “Company”) issued a press release announcing its financial results for the three months ended April 30, 2020. A copy of the press release is furnished as Exhibit 99.1 to this report and is incorporated by reference.</w:t>
      </w:r>
    </w:p>
    <w:p>
      <w:pPr>
        <w:spacing w:after="0" w:line="170"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w w:val="93"/>
              </w:rPr>
              <w:t>(d) Exhibits</w:t>
            </w: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480" w:type="dxa"/>
            <w:vAlign w:val="bottom"/>
          </w:tcPr>
          <w:p>
            <w:pPr>
              <w:spacing w:after="0"/>
              <w:rPr>
                <w:sz w:val="20"/>
                <w:szCs w:val="20"/>
                <w:color w:val="auto"/>
              </w:rPr>
            </w:pPr>
          </w:p>
        </w:tc>
      </w:tr>
      <w:tr>
        <w:trPr>
          <w:trHeight w:val="270"/>
        </w:trPr>
        <w:tc>
          <w:tcPr>
            <w:tcW w:w="1840" w:type="dxa"/>
            <w:vAlign w:val="bottom"/>
            <w:gridSpan w:val="2"/>
          </w:tcPr>
          <w:p>
            <w:pPr>
              <w:ind w:left="2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3"/>
                <w:szCs w:val="23"/>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1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223"/>
        </w:trPr>
        <w:tc>
          <w:tcPr>
            <w:tcW w:w="14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dated June 2, </w:t>
              </w:r>
              <w:r>
                <w:rPr>
                  <w:rFonts w:ascii="Arial" w:cs="Arial" w:eastAsia="Arial" w:hAnsi="Arial"/>
                  <w:sz w:val="18"/>
                  <w:szCs w:val="18"/>
                  <w:u w:val="single" w:color="auto"/>
                  <w:color w:val="0000FF"/>
                </w:rPr>
                <w:t>2020 of Zoom Video Communications, Inc.</w:t>
              </w:r>
            </w:hyperlink>
          </w:p>
        </w:tc>
      </w:tr>
      <w:tr>
        <w:trPr>
          <w:trHeight w:val="20"/>
        </w:trPr>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bl>
    <w:p>
      <w:pPr>
        <w:sectPr>
          <w:pgSz w:w="11900" w:h="16838" w:orient="portrait"/>
          <w:cols w:equalWidth="0" w:num="1">
            <w:col w:w="11220"/>
          </w:cols>
          <w:pgMar w:left="320" w:top="110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280" w:val="left"/>
          <w:tab w:leader="none" w:pos="5980" w:val="left"/>
        </w:tabs>
        <w:rPr>
          <w:sz w:val="20"/>
          <w:szCs w:val="20"/>
          <w:color w:val="auto"/>
        </w:rPr>
      </w:pPr>
      <w:r>
        <w:rPr>
          <w:rFonts w:ascii="Arial" w:cs="Arial" w:eastAsia="Arial" w:hAnsi="Arial"/>
          <w:sz w:val="18"/>
          <w:szCs w:val="18"/>
          <w:color w:val="auto"/>
        </w:rPr>
        <w:t>Dated: June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26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Kelly Steckelberg</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940"/>
          </w:cols>
          <w:pgMar w:left="320" w:top="891"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Zoom Reports First Quarter Results for Fiscal Year 2021</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First quarter total revenue of $328.2 million, up 169% year-over-year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Number of customers contributing more than $100,000 in TTM revenue up 90% year-over-year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Approximately 265,400 customers with more than 10 employees, up 354% year-over-year</w:t>
      </w:r>
    </w:p>
    <w:p>
      <w:pPr>
        <w:spacing w:after="0" w:line="22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San Jose, California – </w:t>
      </w:r>
      <w:r>
        <w:rPr>
          <w:rFonts w:ascii="Arial" w:cs="Arial" w:eastAsia="Arial" w:hAnsi="Arial"/>
          <w:sz w:val="18"/>
          <w:szCs w:val="18"/>
          <w:color w:val="auto"/>
        </w:rPr>
        <w:t>June 2, 2020 – Zoom Video Communications, Inc. (NASDAQ: ZM), a provider of video-first unified communications,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financial results for the quarter ended April 30, 2020.</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were humbled by the accelerated adoption of the Zoom platform around the globe in Q1. The COVID-19 crisis has driven higher demand for distributed, face-to-face interactions and collaboration using Zoom. Use cases have grown rapidly as people integrated Zoom into their work, learning, and personal lives,” said Eric S. Yuan, Founder and Chief Executive Officer of Zoom. “I am proud of our Zoom employees who dedicated themselves to support customers and the global community during this crisis. With their tremendous efforts, we were able to provide high-quality video services to new and existing customers.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Yuan added, "We also supported an unprecedented number of free participants, including over 100,000 K-12 schools around the globe that chose Zoom to deliver the best online education experience. This quarter, we were also proud to launch Zoom Cares, our corporate philanthropic entity, with initial grants to San Jose Digital Inclusion Fund, Destination Home, the CDC Foundation, the World Health Organization and the CDE Foundation. While the key long-term focuses of this foundation are education, climate change, and social equity, our primary grants in Q1 were toward organizations making a difference during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Year 2021 Financial Highlights:</w:t>
      </w:r>
    </w:p>
    <w:p>
      <w:pPr>
        <w:spacing w:after="0" w:line="22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for the quarter was $328.2 million, up 169% year-over-year.</w:t>
      </w:r>
    </w:p>
    <w:p>
      <w:pPr>
        <w:spacing w:after="0" w:line="117" w:lineRule="exact"/>
        <w:rPr>
          <w:rFonts w:ascii="Arial" w:cs="Arial" w:eastAsia="Arial" w:hAnsi="Arial"/>
          <w:sz w:val="18"/>
          <w:szCs w:val="18"/>
          <w:b w:val="1"/>
          <w:bCs w:val="1"/>
          <w:color w:val="auto"/>
        </w:rPr>
      </w:pPr>
    </w:p>
    <w:p>
      <w:pPr>
        <w:ind w:left="980" w:right="260" w:hanging="324"/>
        <w:spacing w:after="0" w:line="258"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Income from Operations and Operating Margin: </w:t>
      </w:r>
      <w:r>
        <w:rPr>
          <w:rFonts w:ascii="Arial" w:cs="Arial" w:eastAsia="Arial" w:hAnsi="Arial"/>
          <w:sz w:val="18"/>
          <w:szCs w:val="18"/>
          <w:color w:val="auto"/>
        </w:rPr>
        <w:t>GAAP income from operations for the quarter was $23.4 million, compared to GAAP</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operations of $1.6 million in the first quarter of fiscal year 2020. After adjusting for stock-based compensation expense and related payroll taxes and expenses related to charitable donation of common stock, non-GAAP income from operations for the first quarter was $54.6 million, up from $8.2 million in the first quarter of fiscal year 2020. For the first quarter, GAAP operating margin was 7.1% and non-GAAP operating margin was 16.6%.</w:t>
      </w:r>
    </w:p>
    <w:p>
      <w:pPr>
        <w:spacing w:after="0" w:line="183" w:lineRule="exact"/>
        <w:rPr>
          <w:rFonts w:ascii="Arial" w:cs="Arial" w:eastAsia="Arial" w:hAnsi="Arial"/>
          <w:sz w:val="18"/>
          <w:szCs w:val="18"/>
          <w:color w:val="auto"/>
        </w:rPr>
      </w:pPr>
    </w:p>
    <w:p>
      <w:pPr>
        <w:jc w:val="both"/>
        <w:ind w:left="980" w:right="100" w:hanging="324"/>
        <w:spacing w:after="0" w:line="266" w:lineRule="auto"/>
        <w:tabs>
          <w:tab w:leader="none" w:pos="97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and Net Income Per Share: </w:t>
      </w:r>
      <w:r>
        <w:rPr>
          <w:rFonts w:ascii="Arial" w:cs="Arial" w:eastAsia="Arial" w:hAnsi="Arial"/>
          <w:sz w:val="18"/>
          <w:szCs w:val="18"/>
          <w:color w:val="auto"/>
        </w:rPr>
        <w:t>GAAP net income attributable to common stockholders for the quarter was $27.0 million, or $0.09</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compared to GAAP net income attributable to common stockholders of $0.2 million, or $0.00 per share in the first quarter of fiscal year 2020.</w:t>
      </w:r>
    </w:p>
    <w:p>
      <w:pPr>
        <w:spacing w:after="0" w:line="71" w:lineRule="exact"/>
        <w:rPr>
          <w:rFonts w:ascii="Arial" w:cs="Arial" w:eastAsia="Arial" w:hAnsi="Arial"/>
          <w:sz w:val="18"/>
          <w:szCs w:val="18"/>
          <w:b w:val="1"/>
          <w:bCs w:val="1"/>
          <w:color w:val="auto"/>
        </w:rPr>
      </w:pPr>
    </w:p>
    <w:p>
      <w:pPr>
        <w:ind w:left="98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Non-GAAP net income for the quarter was $58.3 million, after adjusting for stock-based compensation expense and related payroll taxes, expenses related to charitable donation of common stock, and undistributed earnings attributable to participating securities. Non-GAAP net income per share was $0.20. In the first quarter of fiscal year 2020, non-GAAP net income was $8.9 million, or $0.03 per share. The non-GAAP weighted average share count for the first quarter of fiscal year 2020 has been adjusted to reflect the shares of Class A common stock issued in connection with the Initial Public Offering (“IPO”), including the concurrent private placement, that are outstanding as of the end of the period as if they were outstanding as of the beginning of the period for comparability.</w:t>
      </w:r>
    </w:p>
    <w:p>
      <w:pPr>
        <w:spacing w:after="0" w:line="173" w:lineRule="exact"/>
        <w:rPr>
          <w:rFonts w:ascii="Arial" w:cs="Arial" w:eastAsia="Arial" w:hAnsi="Arial"/>
          <w:sz w:val="18"/>
          <w:szCs w:val="18"/>
          <w:b w:val="1"/>
          <w:bCs w:val="1"/>
          <w:color w:val="auto"/>
        </w:rPr>
      </w:pPr>
    </w:p>
    <w:p>
      <w:pPr>
        <w:ind w:left="980" w:hanging="324"/>
        <w:spacing w:after="0"/>
        <w:tabs>
          <w:tab w:leader="none" w:pos="9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Total cash, cash equivalents, and marketable securities as of April 30, 2020 was $1.1 billion.</w:t>
      </w:r>
    </w:p>
    <w:p>
      <w:pPr>
        <w:spacing w:after="0" w:line="117" w:lineRule="exact"/>
        <w:rPr>
          <w:rFonts w:ascii="Arial" w:cs="Arial" w:eastAsia="Arial" w:hAnsi="Arial"/>
          <w:sz w:val="18"/>
          <w:szCs w:val="18"/>
          <w:b w:val="1"/>
          <w:bCs w:val="1"/>
          <w:color w:val="auto"/>
        </w:rPr>
      </w:pPr>
    </w:p>
    <w:p>
      <w:pPr>
        <w:ind w:left="980" w:right="360" w:hanging="324"/>
        <w:spacing w:after="0" w:line="312"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Net cash provided by operating activities was $259.0 million for the quarter, compared to $22.2 million in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2020. Free cash flow was $251.7 million, compared to $15.3 million in the first quarter of fiscal year 2020.</w:t>
      </w:r>
    </w:p>
    <w:p>
      <w:pPr>
        <w:spacing w:after="0" w:line="14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Customer Metrics: </w:t>
      </w:r>
      <w:r>
        <w:rPr>
          <w:rFonts w:ascii="Arial" w:cs="Arial" w:eastAsia="Arial" w:hAnsi="Arial"/>
          <w:sz w:val="18"/>
          <w:szCs w:val="18"/>
          <w:color w:val="auto"/>
        </w:rPr>
        <w:t>Drivers of total revenue include acquiring new customers and expanding across existing customers. At the end of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2021, Zoom had:</w:t>
      </w:r>
    </w:p>
    <w:p>
      <w:pPr>
        <w:sectPr>
          <w:pgSz w:w="11900" w:h="16838" w:orient="portrait"/>
          <w:cols w:equalWidth="0" w:num="1">
            <w:col w:w="11240"/>
          </w:cols>
          <w:pgMar w:left="320" w:top="1138" w:right="339" w:bottom="1440" w:gutter="0" w:footer="0" w:header="0"/>
        </w:sectPr>
      </w:pPr>
    </w:p>
    <w:bookmarkStart w:id="4" w:name="page5"/>
    <w:bookmarkEnd w:id="4"/>
    <w:p>
      <w:pPr>
        <w:ind w:left="980" w:hanging="324"/>
        <w:spacing w:after="0"/>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Approximately 265,400 customers with more than 10 employees, up approximately 354% from the same quarter last fiscal year.</w:t>
      </w:r>
    </w:p>
    <w:p>
      <w:pPr>
        <w:spacing w:after="0" w:line="117" w:lineRule="exact"/>
        <w:rPr>
          <w:rFonts w:ascii="Arial" w:cs="Arial" w:eastAsia="Arial" w:hAnsi="Arial"/>
          <w:sz w:val="18"/>
          <w:szCs w:val="18"/>
          <w:b w:val="1"/>
          <w:bCs w:val="1"/>
          <w:color w:val="auto"/>
        </w:rPr>
      </w:pPr>
    </w:p>
    <w:p>
      <w:pPr>
        <w:ind w:left="980" w:hanging="324"/>
        <w:spacing w:after="0"/>
        <w:tabs>
          <w:tab w:leader="none" w:pos="9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769 customers contributing more than $100,000 in trailing 12 months revenue, up approximately 90% from the same quarter last fiscal year.</w:t>
      </w:r>
    </w:p>
    <w:p>
      <w:pPr>
        <w:spacing w:after="0" w:line="207" w:lineRule="exact"/>
        <w:rPr>
          <w:rFonts w:ascii="Arial" w:cs="Arial" w:eastAsia="Arial" w:hAnsi="Arial"/>
          <w:sz w:val="16"/>
          <w:szCs w:val="16"/>
          <w:b w:val="1"/>
          <w:bCs w:val="1"/>
          <w:color w:val="auto"/>
        </w:rPr>
      </w:pPr>
    </w:p>
    <w:p>
      <w:pPr>
        <w:ind w:left="980" w:hanging="324"/>
        <w:spacing w:after="0"/>
        <w:tabs>
          <w:tab w:leader="none" w:pos="9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 trailing 12-month net dollar expansion rate in customers with more than 10 employees above 130% for the 8th consecutive quarter.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Outlook: </w:t>
      </w:r>
      <w:r>
        <w:rPr>
          <w:rFonts w:ascii="Arial" w:cs="Arial" w:eastAsia="Arial" w:hAnsi="Arial"/>
          <w:sz w:val="18"/>
          <w:szCs w:val="18"/>
          <w:color w:val="auto"/>
        </w:rPr>
        <w:t>Zoom is providing the following guidance for its second quarter fiscal year 2021 and its full fiscal year 2021.</w:t>
      </w:r>
    </w:p>
    <w:p>
      <w:pPr>
        <w:spacing w:after="0" w:line="121" w:lineRule="exact"/>
        <w:rPr>
          <w:sz w:val="20"/>
          <w:szCs w:val="20"/>
          <w:color w:val="auto"/>
        </w:rPr>
      </w:pPr>
    </w:p>
    <w:p>
      <w:pPr>
        <w:ind w:left="980" w:right="120" w:hanging="324"/>
        <w:spacing w:after="0" w:line="263" w:lineRule="auto"/>
        <w:tabs>
          <w:tab w:leader="none" w:pos="97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Second Quarter Fiscal Year 2021: Total revenue is expected to be between $495.0 million and $500.0 million and non-GAAP income from operations is expected to be between $130.0 million and $135.0 million. Non-GAAP diluted EPS is expected to be between $0.44 and $0.46 with approximately 299 million non-GAAP weighted average shares outstanding.</w:t>
      </w:r>
    </w:p>
    <w:p>
      <w:pPr>
        <w:spacing w:after="0" w:line="75" w:lineRule="exact"/>
        <w:rPr>
          <w:rFonts w:ascii="Arial" w:cs="Arial" w:eastAsia="Arial" w:hAnsi="Arial"/>
          <w:sz w:val="18"/>
          <w:szCs w:val="18"/>
          <w:b w:val="1"/>
          <w:bCs w:val="1"/>
          <w:color w:val="auto"/>
        </w:rPr>
      </w:pPr>
    </w:p>
    <w:p>
      <w:pPr>
        <w:ind w:left="980" w:right="20" w:hanging="324"/>
        <w:spacing w:after="0" w:line="275"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Full Fiscal Year 2021: Total revenue is expected to be between $1.775 billion and $1.800 billion. This revenue outlook takes into consideration the demand for remote work solutions for businesses. It also assumed increased churn in the second half of the fiscal year when compared to historic churn levels due to a higher percentage of customers who purchased monthly subscriptions in the first quarter. Non-GAAP income from operations is expected to be between $355.0 million and $380.0 million. Non-GAAP diluted EPS is expected to be between $1.21 and $1.29 with approximately 300 million non-GAAP weighted average shares outstanding.</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Earnings Call</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Zoom will host a Zoom Video Webinar for investors on June 2, 2020 at 2:30p.m. Pacific Time / 5:30 p.m. Eastern Time to discuss the company’s financial results and business highlights. Investors are invited to join the Zoom Video Webinar by visiting: https://investors.zoom.us/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Zoom Video Communications, Inc. (NASDAQ: ZM) brings teams together to get more done in a frictionless and secure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zoom.com and follow @zoom_us.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press release contains express and implied “forward-looking statements” within the meaning of the Private Securities Litigation Reform Act of 1995.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However, not all forward-looking statements contain these identifying words. These statements may relate to our market size and growth strategy, our estimated and projected costs, margins, revenue, expenditures and growth rates, our financial outlook, including our guidance for the second quarter fiscal year 2021 and full fiscal year 2021,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statements. These assumptions, uncertainties and risks include that, among others, our business, financial results and prospects would be harmed by any decline in new customers and hosts, renewals or upgrades, our limited operating history makes it difficult to evaluate our prospects and future results of operations, we operate in competitive markets, we do not expect to sustain our revenue growth rate in the future, there is continued uncertainty regarding the extent and duration of the impact of COVID-19 and the responses of government and private industry thereto, as well as the impact of COVID-19 on the overall economic environment, any or all of</w:t>
      </w:r>
    </w:p>
    <w:p>
      <w:pPr>
        <w:sectPr>
          <w:pgSz w:w="11900" w:h="16838" w:orient="portrait"/>
          <w:cols w:equalWidth="0" w:num="1">
            <w:col w:w="11200"/>
          </w:cols>
          <w:pgMar w:left="320" w:top="1003" w:right="379" w:bottom="1440" w:gutter="0" w:footer="0" w:header="0"/>
        </w:sectPr>
      </w:pPr>
    </w:p>
    <w:bookmarkStart w:id="5" w:name="page6"/>
    <w:bookmarkEnd w:id="5"/>
    <w:p>
      <w:pPr>
        <w:spacing w:after="0" w:line="238" w:lineRule="auto"/>
        <w:rPr>
          <w:sz w:val="20"/>
          <w:szCs w:val="20"/>
          <w:color w:val="auto"/>
        </w:rPr>
      </w:pPr>
      <w:r>
        <w:rPr>
          <w:rFonts w:ascii="Arial" w:cs="Arial" w:eastAsia="Arial" w:hAnsi="Arial"/>
          <w:sz w:val="18"/>
          <w:szCs w:val="18"/>
          <w:color w:val="auto"/>
        </w:rPr>
        <w:t>which will have an impact on demand for remote work solutions for businesses as well as overall distributed, face-to-face interactions and collaboration using Zoom, our business would be harmed by any significant interruptions, delays or outages in services from our co-located data centers, and failures in internet infrastructure or interference with broadband access could cause current or potential users to believe that our systems are unreliable.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annual report on Form 10-K for the year ended January 31, 2020.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Non-GAAP Income From Operations and Non-GAAP Operating Margins. Zoom defines non-GAAP income from operations as income from operations excluding stock-based compensation expense and related payroll taxes and expenses related to charitable donation of common stock. Zoom excludes stock-based compensation expense and expenses related to charitable donation of common stock because they are non-cash in nature and excluding these expenses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because we believe that excluding this item provides meaningful supplemental information regarding operational performance. In particular, this expense is dependent on the price of our common stock and other factors that are beyond our control and do not correlate to the operation of the business.</w:t>
      </w:r>
    </w:p>
    <w:p>
      <w:pPr>
        <w:spacing w:after="0" w:line="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expenses related to charitable donation of common stock, and undistributed earnings attributable to participating securities.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calculate non-GAAP net income per share, basic and diluted, Zoom uses a non-GAAP weighted-average share count. Zoom defines non-GAAP weighted-average shares used to compute non-GAAP net income per share, basic and diluted, as GAAP weighted average shares used to compute net income per share attributable to common stockholders, basic and diluted, adjusted to reflect the common stock issued in connection with the IPO, including the concurrent private placement, that are outstanding as of the end of the period as if they were outstanding as of the beginning of the period for comparability.</w:t>
      </w:r>
    </w:p>
    <w:p>
      <w:pPr>
        <w:spacing w:after="0" w:line="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Free Cash Flow.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Metrics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Zoom defines a customer as a separate and distinct buying entity, which can be a single paid host or an organization of any size (including a distinct unit of an organization) that has multiple paid hosts.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Zoom calculates net dollar expansion rate as of a period end by starting with the annual recurring revenue (“ARR”) from all customers with more than 10 employees as of 12 months prior (“Prior Period ARR”). Zoom defines ARR as the annualized</w:t>
      </w:r>
    </w:p>
    <w:p>
      <w:pPr>
        <w:sectPr>
          <w:pgSz w:w="11900" w:h="16838" w:orient="portrait"/>
          <w:cols w:equalWidth="0" w:num="1">
            <w:col w:w="11220"/>
          </w:cols>
          <w:pgMar w:left="320" w:top="895" w:right="35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revenue run rate of subscription agreements from all customers at a point in time. We then calculate the ARR from these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Global Media Relations Lead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press@zoom.us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 for Zoom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investors@zoom.us</w:t>
      </w:r>
    </w:p>
    <w:p>
      <w:pPr>
        <w:sectPr>
          <w:pgSz w:w="11900" w:h="16838" w:orient="portrait"/>
          <w:cols w:equalWidth="0" w:num="1">
            <w:col w:w="11160"/>
          </w:cols>
          <w:pgMar w:left="320" w:top="1003"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1"/>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271"/>
              <w:spacing w:after="0" w:line="153"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488,653</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283,134</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616,714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572,060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120,435</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Deferred contract acquisition costs, 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44,885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336,024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75,008</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1,782,957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1,095,522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contract acquisition costs,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57,138</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68,608</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22,332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2,067,709</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1,289,845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3,472</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122,692</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523,246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209,542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1,033,728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333,830</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Deferred revenue, noncurrent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20,994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64,792</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Other liabilities, noncurrent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36,286</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1,166,078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455,902</w:t>
            </w:r>
          </w:p>
        </w:tc>
        <w:tc>
          <w:tcPr>
            <w:tcW w:w="0" w:type="dxa"/>
            <w:vAlign w:val="bottom"/>
          </w:tcPr>
          <w:p>
            <w:pPr>
              <w:spacing w:after="0"/>
              <w:rPr>
                <w:sz w:val="1"/>
                <w:szCs w:val="1"/>
                <w:color w:val="auto"/>
              </w:rPr>
            </w:pPr>
          </w:p>
        </w:tc>
      </w:tr>
      <w:tr>
        <w:trPr>
          <w:trHeight w:val="250"/>
        </w:trPr>
        <w:tc>
          <w:tcPr>
            <w:tcW w:w="82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832,705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901,631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833,943</w:t>
            </w:r>
          </w:p>
        </w:tc>
        <w:tc>
          <w:tcPr>
            <w:tcW w:w="0" w:type="dxa"/>
            <w:vAlign w:val="bottom"/>
          </w:tcPr>
          <w:p>
            <w:pPr>
              <w:spacing w:after="0"/>
              <w:rPr>
                <w:sz w:val="1"/>
                <w:szCs w:val="1"/>
                <w:color w:val="auto"/>
              </w:rPr>
            </w:pPr>
          </w:p>
        </w:tc>
      </w:tr>
      <w:tr>
        <w:trPr>
          <w:trHeight w:val="263"/>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2,067,709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1,289,845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The amount of unbilled accounts receivable included within accounts receivable, net on the condensed consolidated balance sheets was $19.6 million and $12.5 million as of April 30, 2020 and January 31, 2020, respectively.</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121,988</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103,707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97,884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13,783</w:t>
            </w:r>
          </w:p>
        </w:tc>
        <w:tc>
          <w:tcPr>
            <w:tcW w:w="0" w:type="dxa"/>
            <w:vAlign w:val="bottom"/>
          </w:tcPr>
          <w:p>
            <w:pPr>
              <w:spacing w:after="0"/>
              <w:rPr>
                <w:sz w:val="1"/>
                <w:szCs w:val="1"/>
                <w:color w:val="auto"/>
              </w:rPr>
            </w:pPr>
          </w:p>
        </w:tc>
      </w:tr>
      <w:tr>
        <w:trPr>
          <w:trHeight w:val="243"/>
        </w:trPr>
        <w:tc>
          <w:tcPr>
            <w:tcW w:w="82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121,556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64,041</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53,130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37"/>
        </w:trPr>
        <w:tc>
          <w:tcPr>
            <w:tcW w:w="826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201,075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96,327</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Interest income and other, net</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27,036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6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Weighted-average shares used in computing net income per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279,891,111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109,708,898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295,184,958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136,428,379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27,075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2,214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28,777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6,662</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7,419</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3,324</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for accounts receivable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828</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1,533</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Charitable donation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Remeasurement gain on equity investment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(16,103)</w:t>
            </w:r>
          </w:p>
        </w:tc>
      </w:tr>
      <w:tr>
        <w:trPr>
          <w:trHeight w:val="243"/>
        </w:trPr>
        <w:tc>
          <w:tcPr>
            <w:tcW w:w="8200" w:type="dxa"/>
            <w:vAlign w:val="bottom"/>
          </w:tcPr>
          <w:p>
            <w:pPr>
              <w:ind w:left="4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(8,617)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contract acquisition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(14,434)</w:t>
            </w:r>
          </w:p>
        </w:tc>
      </w:tr>
      <w:tr>
        <w:trPr>
          <w:trHeight w:val="243"/>
        </w:trPr>
        <w:tc>
          <w:tcPr>
            <w:tcW w:w="82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4,373</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167,322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12,223</w:t>
            </w:r>
          </w:p>
        </w:tc>
      </w:tr>
      <w:tr>
        <w:trPr>
          <w:trHeight w:val="243"/>
        </w:trPr>
        <w:tc>
          <w:tcPr>
            <w:tcW w:w="820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322,862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23,557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lease liabilities,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37"/>
        </w:trPr>
        <w:tc>
          <w:tcPr>
            <w:tcW w:w="8200" w:type="dxa"/>
            <w:vAlign w:val="bottom"/>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258,965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22,236</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(207,546)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(23,312)</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28,890</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Sales of marketable securities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26,613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(6,897)</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Purchase of equity investment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convertible promissory note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rPr>
              <w:t>Collections of employee loans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of 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(63,034)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20"/>
              <w:spacing w:after="0"/>
              <w:rPr>
                <w:sz w:val="20"/>
                <w:szCs w:val="20"/>
                <w:color w:val="auto"/>
              </w:rPr>
            </w:pPr>
            <w:r>
              <w:rPr>
                <w:rFonts w:ascii="Arial" w:cs="Arial" w:eastAsia="Arial" w:hAnsi="Arial"/>
                <w:sz w:val="18"/>
                <w:szCs w:val="18"/>
                <w:color w:val="auto"/>
                <w:w w:val="98"/>
              </w:rPr>
              <w:t>Proceeds from international employee stock sales to be remitted to employees and tax authorities, net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218,540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exercise of stock options, net of repurchases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1,781</w:t>
            </w:r>
          </w:p>
        </w:tc>
      </w:tr>
      <w:tr>
        <w:trPr>
          <w:trHeight w:val="229"/>
        </w:trPr>
        <w:tc>
          <w:tcPr>
            <w:tcW w:w="8200" w:type="dxa"/>
            <w:vAlign w:val="bottom"/>
          </w:tcPr>
          <w:p>
            <w:pPr>
              <w:ind w:left="220"/>
              <w:spacing w:after="0"/>
              <w:rPr>
                <w:sz w:val="20"/>
                <w:szCs w:val="20"/>
                <w:color w:val="auto"/>
              </w:rPr>
            </w:pPr>
            <w:r>
              <w:rPr>
                <w:rFonts w:ascii="Arial" w:cs="Arial" w:eastAsia="Arial" w:hAnsi="Arial"/>
                <w:sz w:val="18"/>
                <w:szCs w:val="18"/>
                <w:color w:val="auto"/>
                <w:w w:val="94"/>
              </w:rPr>
              <w:t>Proceeds from initial public offering and private placement, net of underwriting discounts and commissions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8"/>
                <w:szCs w:val="18"/>
                <w:color w:val="auto"/>
              </w:rPr>
              <w:t>and other offering costs</w:t>
            </w:r>
          </w:p>
        </w:tc>
        <w:tc>
          <w:tcPr>
            <w:tcW w:w="3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543,471</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228,126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545,252</w:t>
            </w:r>
          </w:p>
        </w:tc>
      </w:tr>
      <w:tr>
        <w:trPr>
          <w:trHeight w:val="236"/>
        </w:trPr>
        <w:tc>
          <w:tcPr>
            <w:tcW w:w="82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424,057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566,169</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334,082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65,968</w:t>
            </w:r>
          </w:p>
        </w:tc>
      </w:tr>
      <w:tr>
        <w:trPr>
          <w:trHeight w:val="263"/>
        </w:trPr>
        <w:tc>
          <w:tcPr>
            <w:tcW w:w="82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758,139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632,137</w:t>
            </w: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April 30,</w:t>
            </w:r>
          </w:p>
        </w:tc>
      </w:tr>
      <w:tr>
        <w:trPr>
          <w:trHeight w:val="196"/>
        </w:trPr>
        <w:tc>
          <w:tcPr>
            <w:tcW w:w="8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income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1,557</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6,662</w:t>
            </w: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Charitable donation of common stock</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income from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54,631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8,219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and related payroll taxes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6,662</w:t>
            </w: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Charitable donation of common stock</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Undistributed earnings attributable to participating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2,016</w:t>
            </w:r>
          </w:p>
        </w:tc>
      </w:tr>
      <w:tr>
        <w:trPr>
          <w:trHeight w:val="263"/>
        </w:trPr>
        <w:tc>
          <w:tcPr>
            <w:tcW w:w="83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58,321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8,876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 per share - basic and diluted: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5"/>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GAAP net income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20" w:type="dxa"/>
            <w:vAlign w:val="bottom"/>
          </w:tcPr>
          <w:p>
            <w:pPr>
              <w:ind w:left="220"/>
              <w:spacing w:after="0"/>
              <w:rPr>
                <w:sz w:val="20"/>
                <w:szCs w:val="20"/>
                <w:color w:val="auto"/>
              </w:rPr>
            </w:pPr>
            <w:r>
              <w:rPr>
                <w:rFonts w:ascii="Arial" w:cs="Arial" w:eastAsia="Arial" w:hAnsi="Arial"/>
                <w:sz w:val="18"/>
                <w:szCs w:val="18"/>
                <w:color w:val="auto"/>
              </w:rPr>
              <w:t>GAAP net income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 per share - 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20" w:type="dxa"/>
            <w:vAlign w:val="bottom"/>
          </w:tcPr>
          <w:p>
            <w:pPr>
              <w:ind w:left="220"/>
              <w:spacing w:after="0"/>
              <w:rPr>
                <w:sz w:val="20"/>
                <w:szCs w:val="20"/>
                <w:color w:val="auto"/>
              </w:rPr>
            </w:pPr>
            <w:r>
              <w:rPr>
                <w:rFonts w:ascii="Arial" w:cs="Arial" w:eastAsia="Arial" w:hAnsi="Arial"/>
                <w:sz w:val="18"/>
                <w:szCs w:val="18"/>
                <w:color w:val="auto"/>
              </w:rPr>
              <w:t>Non-GAAP net income per share -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GAAP weighted-average shares used to compute net income per share - basic</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w w:val="99"/>
              </w:rPr>
              <w:t>279,891,111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w w:val="99"/>
              </w:rPr>
              <w:t>109,708,898</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Non-GAAP unweighted adjustment for common stock issued in connection with IPO</w:t>
            </w:r>
          </w:p>
        </w:tc>
        <w:tc>
          <w:tcPr>
            <w:tcW w:w="2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w w:val="99"/>
              </w:rPr>
              <w:t>153,728,601</w:t>
            </w: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weighted-average shares used to compute net income per share - basic</w:t>
            </w: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279,891,111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263,437,499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weighted-average shares used to compute net income per share - diluted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295,184,958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136,428,379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unweighted adjustment for common stock issued in connection with IPO</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153,728,601</w:t>
            </w:r>
          </w:p>
        </w:tc>
      </w:tr>
      <w:tr>
        <w:trPr>
          <w:trHeight w:val="264"/>
        </w:trPr>
        <w:tc>
          <w:tcPr>
            <w:tcW w:w="8320" w:type="dxa"/>
            <w:vAlign w:val="bottom"/>
          </w:tcPr>
          <w:p>
            <w:pPr>
              <w:ind w:left="20"/>
              <w:spacing w:after="0"/>
              <w:rPr>
                <w:sz w:val="20"/>
                <w:szCs w:val="20"/>
                <w:color w:val="auto"/>
              </w:rPr>
            </w:pPr>
            <w:r>
              <w:rPr>
                <w:rFonts w:ascii="Arial" w:cs="Arial" w:eastAsia="Arial" w:hAnsi="Arial"/>
                <w:sz w:val="18"/>
                <w:szCs w:val="18"/>
                <w:color w:val="auto"/>
              </w:rPr>
              <w:t>Non-GAAP weighted-average shares used to compute net income per share - diluted</w:t>
            </w: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295,184,958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290,156,980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8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258,965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22,236</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(6,897)</w:t>
            </w:r>
          </w:p>
        </w:tc>
      </w:tr>
      <w:tr>
        <w:trPr>
          <w:trHeight w:val="27"/>
        </w:trPr>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251,693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15,339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(63,034)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(1,319)</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228,126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545,252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2020-06-02T15:08:35Z</dcterms:created>
  <dcterms:modified xsi:type="dcterms:W3CDTF">2020-06-02T15:08:35Z</dcterms:modified>
</cp:coreProperties>
</file>