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937895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5, 2019</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000" w:type="dxa"/>
            <w:vAlign w:val="bottom"/>
          </w:tcPr>
          <w:p>
            <w:pPr>
              <w:jc w:val="center"/>
              <w:ind w:right="115"/>
              <w:spacing w:after="0"/>
              <w:rPr>
                <w:sz w:val="20"/>
                <w:szCs w:val="20"/>
                <w:color w:val="auto"/>
              </w:rPr>
            </w:pPr>
            <w:r>
              <w:rPr>
                <w:rFonts w:ascii="Arial" w:cs="Arial" w:eastAsia="Arial" w:hAnsi="Arial"/>
                <w:sz w:val="20"/>
                <w:szCs w:val="20"/>
                <w:b w:val="1"/>
                <w:bCs w:val="1"/>
                <w:color w:val="auto"/>
                <w:w w:val="91"/>
              </w:rPr>
              <w:t>Delaware</w:t>
            </w:r>
          </w:p>
        </w:tc>
        <w:tc>
          <w:tcPr>
            <w:tcW w:w="4820" w:type="dxa"/>
            <w:vAlign w:val="bottom"/>
          </w:tcPr>
          <w:p>
            <w:pPr>
              <w:jc w:val="center"/>
              <w:ind w:right="315"/>
              <w:spacing w:after="0"/>
              <w:rPr>
                <w:sz w:val="20"/>
                <w:szCs w:val="20"/>
                <w:color w:val="auto"/>
              </w:rPr>
            </w:pPr>
            <w:r>
              <w:rPr>
                <w:rFonts w:ascii="Arial" w:cs="Arial" w:eastAsia="Arial" w:hAnsi="Arial"/>
                <w:sz w:val="20"/>
                <w:szCs w:val="20"/>
                <w:b w:val="1"/>
                <w:bCs w:val="1"/>
                <w:color w:val="auto"/>
                <w:w w:val="89"/>
              </w:rPr>
              <w:t>001-38865</w:t>
            </w:r>
          </w:p>
        </w:tc>
        <w:tc>
          <w:tcPr>
            <w:tcW w:w="174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76"/>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3"/>
              </w:rPr>
              <w:t>(Commission File Number)</w:t>
            </w:r>
          </w:p>
        </w:tc>
        <w:tc>
          <w:tcPr>
            <w:tcW w:w="1740" w:type="dxa"/>
            <w:vAlign w:val="bottom"/>
          </w:tcPr>
          <w:p>
            <w:pPr>
              <w:jc w:val="center"/>
              <w:ind w:left="5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vMerge w:val="continue"/>
          </w:tcPr>
          <w:p>
            <w:pPr>
              <w:spacing w:after="0"/>
              <w:rPr>
                <w:sz w:val="16"/>
                <w:szCs w:val="16"/>
                <w:color w:val="auto"/>
              </w:rPr>
            </w:pPr>
          </w:p>
        </w:tc>
        <w:tc>
          <w:tcPr>
            <w:tcW w:w="1740" w:type="dxa"/>
            <w:vAlign w:val="bottom"/>
          </w:tcPr>
          <w:p>
            <w:pPr>
              <w:jc w:val="center"/>
              <w:ind w:left="5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3000" w:type="dxa"/>
            <w:vAlign w:val="bottom"/>
          </w:tcPr>
          <w:p>
            <w:pPr>
              <w:jc w:val="center"/>
              <w:ind w:right="95"/>
              <w:spacing w:after="0"/>
              <w:rPr>
                <w:sz w:val="20"/>
                <w:szCs w:val="20"/>
                <w:color w:val="auto"/>
              </w:rPr>
            </w:pPr>
            <w:r>
              <w:rPr>
                <w:rFonts w:ascii="Arial" w:cs="Arial" w:eastAsia="Arial" w:hAnsi="Arial"/>
                <w:sz w:val="20"/>
                <w:szCs w:val="20"/>
                <w:b w:val="1"/>
                <w:bCs w:val="1"/>
                <w:color w:val="auto"/>
                <w:w w:val="90"/>
              </w:rPr>
              <w:t>55 Almaden Boulevard, 6th Floor</w:t>
            </w:r>
          </w:p>
        </w:tc>
        <w:tc>
          <w:tcPr>
            <w:tcW w:w="4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0" w:type="dxa"/>
            <w:vAlign w:val="bottom"/>
          </w:tcPr>
          <w:p>
            <w:pPr>
              <w:jc w:val="center"/>
              <w:ind w:right="95"/>
              <w:spacing w:after="0"/>
              <w:rPr>
                <w:sz w:val="20"/>
                <w:szCs w:val="20"/>
                <w:color w:val="auto"/>
              </w:rPr>
            </w:pPr>
            <w:r>
              <w:rPr>
                <w:rFonts w:ascii="Arial" w:cs="Arial" w:eastAsia="Arial" w:hAnsi="Arial"/>
                <w:sz w:val="20"/>
                <w:szCs w:val="20"/>
                <w:b w:val="1"/>
                <w:bCs w:val="1"/>
                <w:color w:val="auto"/>
                <w:w w:val="88"/>
              </w:rPr>
              <w:t>San Jose, California</w:t>
            </w:r>
          </w:p>
        </w:tc>
        <w:tc>
          <w:tcPr>
            <w:tcW w:w="4820" w:type="dxa"/>
            <w:vAlign w:val="bottom"/>
          </w:tcPr>
          <w:p>
            <w:pPr>
              <w:spacing w:after="0"/>
              <w:rPr>
                <w:sz w:val="22"/>
                <w:szCs w:val="22"/>
                <w:color w:val="auto"/>
              </w:rPr>
            </w:pPr>
          </w:p>
        </w:tc>
        <w:tc>
          <w:tcPr>
            <w:tcW w:w="1740" w:type="dxa"/>
            <w:vAlign w:val="bottom"/>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14"/>
        </w:trPr>
        <w:tc>
          <w:tcPr>
            <w:tcW w:w="30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8"/>
                <w:szCs w:val="18"/>
                <w:color w:val="auto"/>
              </w:rPr>
            </w:pPr>
          </w:p>
        </w:tc>
        <w:tc>
          <w:tcPr>
            <w:tcW w:w="1740" w:type="dxa"/>
            <w:vAlign w:val="bottom"/>
          </w:tcPr>
          <w:p>
            <w:pPr>
              <w:jc w:val="center"/>
              <w:ind w:left="517"/>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7"/>
        </w:trPr>
        <w:tc>
          <w:tcPr>
            <w:tcW w:w="3000" w:type="dxa"/>
            <w:vAlign w:val="bottom"/>
          </w:tcPr>
          <w:p>
            <w:pPr>
              <w:spacing w:after="0"/>
              <w:rPr>
                <w:sz w:val="24"/>
                <w:szCs w:val="24"/>
                <w:color w:val="auto"/>
              </w:rPr>
            </w:pPr>
          </w:p>
        </w:tc>
        <w:tc>
          <w:tcPr>
            <w:tcW w:w="4820" w:type="dxa"/>
            <w:vAlign w:val="bottom"/>
          </w:tcPr>
          <w:p>
            <w:pPr>
              <w:jc w:val="center"/>
              <w:ind w:right="335"/>
              <w:spacing w:after="0"/>
              <w:rPr>
                <w:sz w:val="20"/>
                <w:szCs w:val="20"/>
                <w:color w:val="auto"/>
              </w:rPr>
            </w:pPr>
            <w:r>
              <w:rPr>
                <w:rFonts w:ascii="Arial" w:cs="Arial" w:eastAsia="Arial" w:hAnsi="Arial"/>
                <w:sz w:val="20"/>
                <w:szCs w:val="20"/>
                <w:b w:val="1"/>
                <w:bCs w:val="1"/>
                <w:color w:val="auto"/>
                <w:w w:val="90"/>
              </w:rPr>
              <w:t>(888) 799-9666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82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000" w:type="dxa"/>
            <w:vAlign w:val="bottom"/>
          </w:tcPr>
          <w:p>
            <w:pPr>
              <w:spacing w:after="0"/>
              <w:rPr>
                <w:sz w:val="24"/>
                <w:szCs w:val="24"/>
                <w:color w:val="auto"/>
              </w:rPr>
            </w:pPr>
          </w:p>
        </w:tc>
        <w:tc>
          <w:tcPr>
            <w:tcW w:w="4820" w:type="dxa"/>
            <w:vAlign w:val="bottom"/>
          </w:tcPr>
          <w:p>
            <w:pPr>
              <w:jc w:val="center"/>
              <w:ind w:right="355"/>
              <w:spacing w:after="0"/>
              <w:rPr>
                <w:sz w:val="20"/>
                <w:szCs w:val="20"/>
                <w:color w:val="auto"/>
              </w:rPr>
            </w:pPr>
            <w:r>
              <w:rPr>
                <w:rFonts w:ascii="Arial" w:cs="Arial" w:eastAsia="Arial" w:hAnsi="Arial"/>
                <w:sz w:val="20"/>
                <w:szCs w:val="20"/>
                <w:b w:val="1"/>
                <w:bCs w:val="1"/>
                <w:color w:val="auto"/>
                <w:w w:val="89"/>
              </w:rPr>
              <w:t>Not Applicable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82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3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 September 5, 2019, Zoom Video Communications, Inc. (the “Company”) issued a press release announcing its financial results for the three months ended July 31, 2019. A copy of the press release is furnished as Exhibit 99.1 to this report and is incorporated by reference.</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70"/>
        </w:trPr>
        <w:tc>
          <w:tcPr>
            <w:tcW w:w="1660" w:type="dxa"/>
            <w:vAlign w:val="bottom"/>
            <w:gridSpan w:val="2"/>
          </w:tcPr>
          <w:p>
            <w:pPr>
              <w:ind w:left="2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23"/>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6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September 5, 2019 of Zoom Video Communications, Inc.</w:t>
              </w:r>
            </w:hyperlink>
          </w:p>
        </w:tc>
        <w:tc>
          <w:tcPr>
            <w:tcW w:w="4160" w:type="dxa"/>
            <w:vAlign w:val="bottom"/>
          </w:tcPr>
          <w:p>
            <w:pPr>
              <w:spacing w:after="0"/>
              <w:rPr>
                <w:sz w:val="19"/>
                <w:szCs w:val="19"/>
                <w:color w:val="auto"/>
              </w:rPr>
            </w:pPr>
          </w:p>
        </w:tc>
      </w:tr>
    </w:tbl>
    <w:p>
      <w:pPr>
        <w:sectPr>
          <w:pgSz w:w="11900" w:h="16838" w:orient="portrait"/>
          <w:cols w:equalWidth="0" w:num="1">
            <w:col w:w="11400"/>
          </w:cols>
          <w:pgMar w:left="240" w:top="1107" w:right="2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360" w:val="left"/>
          <w:tab w:leader="none" w:pos="6060" w:val="left"/>
        </w:tabs>
        <w:rPr>
          <w:sz w:val="20"/>
          <w:szCs w:val="20"/>
          <w:color w:val="auto"/>
        </w:rPr>
      </w:pPr>
      <w:r>
        <w:rPr>
          <w:rFonts w:ascii="Arial" w:cs="Arial" w:eastAsia="Arial" w:hAnsi="Arial"/>
          <w:sz w:val="18"/>
          <w:szCs w:val="18"/>
          <w:color w:val="auto"/>
        </w:rPr>
        <w:t>Dated: September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940"/>
          </w:cols>
          <w:pgMar w:left="240" w:top="891"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Video Communications Reports Second Quarter Results for Fiscal Year 2020</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Second quarter total revenue of $145.8 million, up 96% year-over-year</w:t>
      </w:r>
    </w:p>
    <w:p>
      <w:pPr>
        <w:spacing w:after="0" w:line="23"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Customers contributing more than $100,000 in TTM revenue up 104% year-over-year</w:t>
      </w:r>
    </w:p>
    <w:p>
      <w:pPr>
        <w:spacing w:after="0" w:line="20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September 5, 2019 – Zoom Video Communications, Inc. (NASDAQ: ZM), a provider of video-first unified communications,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quarter ended July 31, 2019.</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“Zoom delivers happiness to our customers by providing a frictionless unified communications platform capable of transforming how teams communicate and collaborate. Our technology enables businesses to make decisions faster, strengthens engagement, and increases productivity. I am proud that we continue to build trust and create value for customers as evidenced by our strong combination of total revenue growth of 96% with increased profitability and free cash flow in Q2,” stated Eric S. Yuan, founder and chief executive officer of Zoom.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quarter was $145.8 million, up 96% year-over-year.</w:t>
      </w:r>
    </w:p>
    <w:p>
      <w:pPr>
        <w:spacing w:after="0" w:line="117" w:lineRule="exact"/>
        <w:rPr>
          <w:rFonts w:ascii="Arial" w:cs="Arial" w:eastAsia="Arial" w:hAnsi="Arial"/>
          <w:sz w:val="18"/>
          <w:szCs w:val="18"/>
          <w:b w:val="1"/>
          <w:bCs w:val="1"/>
          <w:color w:val="auto"/>
        </w:rPr>
      </w:pPr>
    </w:p>
    <w:p>
      <w:pPr>
        <w:ind w:left="980" w:right="160" w:hanging="324"/>
        <w:spacing w:after="0" w:line="261"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from Operations and Operating Margin: </w:t>
      </w:r>
      <w:r>
        <w:rPr>
          <w:rFonts w:ascii="Arial" w:cs="Arial" w:eastAsia="Arial" w:hAnsi="Arial"/>
          <w:sz w:val="18"/>
          <w:szCs w:val="18"/>
          <w:color w:val="auto"/>
        </w:rPr>
        <w:t>GAAP income from operations for the quarter was $2.3 million, compared to $3.4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second quarter of fiscal 2019. After adjusting for stock-based compensation expense and related payroll taxes, non-GAAP income from operations for the second quarter was $20.7 million, up from $4.5 million in the second quarter of fiscal 2019. For the second quarter, GAAP operating margin was 1.6% and non-GAAP operating margin was 14.2%.</w:t>
      </w:r>
    </w:p>
    <w:p>
      <w:pPr>
        <w:spacing w:after="0" w:line="180" w:lineRule="exact"/>
        <w:rPr>
          <w:rFonts w:ascii="Arial" w:cs="Arial" w:eastAsia="Arial" w:hAnsi="Arial"/>
          <w:sz w:val="18"/>
          <w:szCs w:val="18"/>
          <w:b w:val="1"/>
          <w:bCs w:val="1"/>
          <w:color w:val="auto"/>
        </w:rPr>
      </w:pPr>
    </w:p>
    <w:p>
      <w:pPr>
        <w:ind w:left="980" w:right="8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quarter was $5.5 million, or $0.02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compared to GAAP net income attributable to common stockholders of $0.5 million, or $0.00 per share in the second quarter of fiscal 2019.</w:t>
      </w:r>
    </w:p>
    <w:p>
      <w:pPr>
        <w:spacing w:after="0" w:line="72" w:lineRule="exact"/>
        <w:rPr>
          <w:rFonts w:ascii="Arial" w:cs="Arial" w:eastAsia="Arial" w:hAnsi="Arial"/>
          <w:sz w:val="18"/>
          <w:szCs w:val="18"/>
          <w:b w:val="1"/>
          <w:bCs w:val="1"/>
          <w:color w:val="auto"/>
        </w:rPr>
      </w:pPr>
    </w:p>
    <w:p>
      <w:pPr>
        <w:ind w:left="9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Non-GAAP net income for the quarter was $24.0 million, after adjusting for stock-based compensation expense and related payroll taxes and undistributed earnings attributable to participating securities, and non-GAAP net income per share was $0.08. In the second quarter of fiscal 2019, non-GAAP net income was $4.9 million, or $0.02 per share. The non-GAAP weighted average share count has been adjusted to reflect the shares of Class A common stock issued in connection with the Initial Public Offering (IPO), including the concurrent private placement, that are outstanding as of the end of the period as if they were outstanding as of the beginning of the period for comparability.</w:t>
      </w:r>
    </w:p>
    <w:p>
      <w:pPr>
        <w:spacing w:after="0" w:line="168"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Total cash, cash equivalents, and marketable securities as of July 31, 2019 was $755.3 million.</w:t>
      </w:r>
    </w:p>
    <w:p>
      <w:pPr>
        <w:spacing w:after="0" w:line="225" w:lineRule="exact"/>
        <w:rPr>
          <w:rFonts w:ascii="Arial" w:cs="Arial" w:eastAsia="Arial" w:hAnsi="Arial"/>
          <w:sz w:val="18"/>
          <w:szCs w:val="18"/>
          <w:b w:val="1"/>
          <w:bCs w:val="1"/>
          <w:color w:val="auto"/>
        </w:rPr>
      </w:pPr>
    </w:p>
    <w:p>
      <w:pPr>
        <w:ind w:left="980" w:right="420" w:hanging="324"/>
        <w:spacing w:after="0" w:line="282"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$31.2 million for the quarter, compared to $14.4 million in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2019. Free cash flow was $17.1 million, compared to $8.2 million in the second quarter of fiscal 2019.</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 acquiring new customers and expanding across existing customers. At the end of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2020, Zoom had:</w:t>
      </w:r>
    </w:p>
    <w:p>
      <w:pPr>
        <w:spacing w:after="0" w:line="5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Approximately 66,300 customers with more than 10 employees, up approximately 78% from the same quarter last 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466 customers contributing more than $100,000 in trailing 12 months revenue, up approximately 104% from the same quarter last year.</w:t>
      </w:r>
    </w:p>
    <w:p>
      <w:pPr>
        <w:spacing w:after="0" w:line="196" w:lineRule="exact"/>
        <w:rPr>
          <w:rFonts w:ascii="Arial" w:cs="Arial" w:eastAsia="Arial" w:hAnsi="Arial"/>
          <w:sz w:val="17"/>
          <w:szCs w:val="17"/>
          <w:b w:val="1"/>
          <w:bCs w:val="1"/>
          <w:color w:val="auto"/>
        </w:rPr>
      </w:pPr>
    </w:p>
    <w:p>
      <w:pPr>
        <w:ind w:left="980" w:hanging="324"/>
        <w:spacing w:after="0"/>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5th consecutive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third quarter fiscal 2020 and its full year fiscal 2020.</w:t>
      </w:r>
    </w:p>
    <w:p>
      <w:pPr>
        <w:sectPr>
          <w:pgSz w:w="11900" w:h="16838" w:orient="portrait"/>
          <w:cols w:equalWidth="0" w:num="1">
            <w:col w:w="11420"/>
          </w:cols>
          <w:pgMar w:left="240" w:top="895" w:right="239" w:bottom="1440" w:gutter="0" w:footer="0" w:header="0"/>
        </w:sectPr>
      </w:pPr>
    </w:p>
    <w:bookmarkStart w:id="4" w:name="page5"/>
    <w:bookmarkEnd w:id="4"/>
    <w:p>
      <w:pPr>
        <w:ind w:left="980" w:right="120" w:hanging="324"/>
        <w:spacing w:after="0" w:line="264"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Third Quarter Fiscal 2020: Total revenue is expected to be between $155.0 million and $156.0 million and non-GAAP income from operations is expected to be between $6.0 million and $7.0 million. Q3 non-GAAP EPS is expected to be approximately $0.03 with approximately 294 million non-GAAP weighted average shares outstanding.</w:t>
      </w:r>
    </w:p>
    <w:p>
      <w:pPr>
        <w:spacing w:after="0" w:line="73" w:lineRule="exact"/>
        <w:rPr>
          <w:rFonts w:ascii="Arial" w:cs="Arial" w:eastAsia="Arial" w:hAnsi="Arial"/>
          <w:sz w:val="18"/>
          <w:szCs w:val="18"/>
          <w:b w:val="1"/>
          <w:bCs w:val="1"/>
          <w:color w:val="auto"/>
        </w:rPr>
      </w:pPr>
    </w:p>
    <w:p>
      <w:pPr>
        <w:ind w:left="980" w:right="560" w:hanging="324"/>
        <w:spacing w:after="0" w:line="264"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Full Year Fiscal 2020: Total revenue is expected to be between $587 million and $590 million and non-GAAP income from operations is expected to be between $42 million and $45 million. Full year non-GAAP EPS is expected to be approximately $0.18 to $0.19 with approximately 293 million non-GAAP weighted average shares outstanding.</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are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supplemental financial presentation and other information can be accessed through Zoom’s investor relations website at investors.zoom.us.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Zoom will host a Zoom Video Webinar for investors on September 5, 2019 at 2:30p.m. Pacific Time / 5:30 p.m. Eastern Time to discuss the company’s financial results and business highlights. Investors are invited to join the Zoom Video Webinar by visiting: https://investors.zoom.us/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Zoom Video Communications, Inc. (NASDAQ: ZM) brings teams together to get more done in a frictionless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market size and growth strategy, our estimated and projected costs, margins, revenue, expenditures and growth rates, our future results of operations or financial condition,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would be harmed by any decline in new customers and hosts,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April 30, 2019.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ectPr>
          <w:pgSz w:w="11900" w:h="16838" w:orient="portrait"/>
          <w:cols w:equalWidth="0" w:num="1">
            <w:col w:w="11400"/>
          </w:cols>
          <w:pgMar w:left="240" w:top="1003" w:right="25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Non-GAAP Income From Operations. Zoom defines non-GAAP income from operations as income from operations excluding stock-based compensation expense and related payroll taxes.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because we believe that excluding this item provides meaningful supplemental information regarding operational performance. In particular, this expense is dependent on the price of our common stock and other factors that are beyond our control and do not correlate to the operation of the business.</w:t>
      </w:r>
    </w:p>
    <w:p>
      <w:pPr>
        <w:spacing w:after="0" w:line="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Priscilla Barolo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Manager, Communications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408.675.6738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1380"/>
          </w:cols>
          <w:pgMar w:left="240" w:top="1003"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3"/>
                <w:szCs w:val="13"/>
                <w:color w:val="auto"/>
              </w:rPr>
            </w:pPr>
          </w:p>
        </w:tc>
        <w:tc>
          <w:tcPr>
            <w:tcW w:w="120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112,777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63,613</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37"/>
        </w:trPr>
        <w:tc>
          <w:tcPr>
            <w:tcW w:w="84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916,059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1,069,923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354,565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115,122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152,341</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202,452</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159,552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1,069,923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354,565</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condensed consolidated balance sheets was $8.5 million and $7.2 million as of July 31, 2019 and January 31, 2019, respectively.</w:t>
      </w:r>
    </w:p>
    <w:p>
      <w:pPr>
        <w:sectPr>
          <w:pgSz w:w="11900" w:h="16838" w:orient="portrait"/>
          <w:cols w:equalWidth="0" w:num="1">
            <w:col w:w="11400"/>
          </w:cols>
          <w:pgMar w:left="240" w:top="89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70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July 31,</w:t>
            </w:r>
          </w:p>
        </w:tc>
        <w:tc>
          <w:tcPr>
            <w:tcW w:w="1100" w:type="dxa"/>
            <w:vAlign w:val="bottom"/>
            <w:tcBorders>
              <w:bottom w:val="single" w:sz="8" w:color="auto"/>
            </w:tcBorders>
          </w:tcPr>
          <w:p>
            <w:pPr>
              <w:spacing w:after="0"/>
              <w:rPr>
                <w:sz w:val="16"/>
                <w:szCs w:val="16"/>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134,596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24,633</w:t>
            </w:r>
          </w:p>
        </w:tc>
      </w:tr>
      <w:tr>
        <w:trPr>
          <w:trHeight w:val="27"/>
        </w:trPr>
        <w:tc>
          <w:tcPr>
            <w:tcW w:w="5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109,963</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13,313</w:t>
            </w: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77,315</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17,597</w:t>
            </w:r>
          </w:p>
        </w:tc>
      </w:tr>
      <w:tr>
        <w:trPr>
          <w:trHeight w:val="237"/>
        </w:trPr>
        <w:tc>
          <w:tcPr>
            <w:tcW w:w="530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108,225</w:t>
            </w:r>
          </w:p>
        </w:tc>
      </w:tr>
      <w:tr>
        <w:trPr>
          <w:trHeight w:val="27"/>
        </w:trPr>
        <w:tc>
          <w:tcPr>
            <w:tcW w:w="5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 before provision for income taxes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30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5"/>
              </w:rPr>
              <w:t>Weighted-average shares used in computing net income per share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7"/>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attributable to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271,813,141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83,330,741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192,130,510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81,999,734</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292,185,665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108,454,323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215,774,619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107,584,379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89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July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July 31,</w:t>
            </w:r>
          </w:p>
        </w:tc>
        <w:tc>
          <w:tcPr>
            <w:tcW w:w="92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2018</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2,485</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2,618</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Provision for accounts receivable allowances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(22,600)</w:t>
            </w: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(4,132)</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14,561</w:t>
            </w: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35,436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lease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80" w:type="dxa"/>
            <w:vAlign w:val="bottom"/>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17,110</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(478,487)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(30,276)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23,755</w:t>
            </w: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(10,027)</w:t>
            </w:r>
          </w:p>
        </w:tc>
      </w:tr>
      <w:tr>
        <w:trPr>
          <w:trHeight w:val="27"/>
        </w:trPr>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Proceeds from initial public offering and private placement, net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underwriting discounts and commissions and other offering costs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542,947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 net of repurchases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Principal payments on capital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5180" w:type="dxa"/>
            <w:vAlign w:val="bottom"/>
          </w:tcPr>
          <w:p>
            <w:pPr>
              <w:ind w:left="7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545,138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Net (decrease) increase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w w:val="98"/>
              </w:rPr>
              <w:t>Cash, cash equivalents, and restricted cash – beginning of period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36,821</w:t>
            </w:r>
          </w:p>
        </w:tc>
      </w:tr>
      <w:tr>
        <w:trPr>
          <w:trHeight w:val="27"/>
        </w:trPr>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89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6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July 31,</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July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GAAP net income per share - basic and diluted: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80" w:type="dxa"/>
            <w:vAlign w:val="bottom"/>
          </w:tcPr>
          <w:p>
            <w:pPr>
              <w:ind w:left="220"/>
              <w:spacing w:after="0"/>
              <w:rPr>
                <w:sz w:val="20"/>
                <w:szCs w:val="20"/>
                <w:color w:val="auto"/>
              </w:rPr>
            </w:pPr>
            <w:r>
              <w:rPr>
                <w:rFonts w:ascii="Arial" w:cs="Arial" w:eastAsia="Arial" w:hAnsi="Arial"/>
                <w:sz w:val="18"/>
                <w:szCs w:val="18"/>
                <w:color w:val="auto"/>
              </w:rPr>
              <w:t>GAAP net income per share -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80" w:type="dxa"/>
            <w:vAlign w:val="bottom"/>
          </w:tcPr>
          <w:p>
            <w:pPr>
              <w:ind w:left="2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w w:val="92"/>
              </w:rPr>
              <w:t>GAAP weighted-average shares used to compute net income per share -</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271,813,141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83,330,741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192,130,510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81,999,734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20"/>
              <w:spacing w:after="0"/>
              <w:rPr>
                <w:sz w:val="20"/>
                <w:szCs w:val="20"/>
                <w:color w:val="auto"/>
              </w:rPr>
            </w:pPr>
            <w:r>
              <w:rPr>
                <w:rFonts w:ascii="Arial" w:cs="Arial" w:eastAsia="Arial" w:hAnsi="Arial"/>
                <w:sz w:val="18"/>
                <w:szCs w:val="18"/>
                <w:color w:val="auto"/>
              </w:rPr>
              <w:t>Non-GAAP unweighted adjustment for common stock issued in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connection with IPO</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75,590,307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152,665,804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Non-GAAP weighted-average shares used to compute net income per</w:t>
            </w:r>
          </w:p>
        </w:tc>
        <w:tc>
          <w:tcPr>
            <w:tcW w:w="3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271,813,141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235,996,545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267,720,817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234,665,538</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 basic</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GAAP weighted-average shares used to compute net income per share -</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292,185,665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108,454,323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215,774,619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107,584,379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unweighted adjustment for common stock issued in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connection with IPO</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75,590,307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w w:val="95"/>
              </w:rPr>
              <w:t>Non-GAAP weighted-average shares used to compute net income per</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292,185,665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261,120,127</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291,364,926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260,250,183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share - diluted</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14,351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(448,484)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8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2019-12-28T06:42:56Z</dcterms:created>
  <dcterms:modified xsi:type="dcterms:W3CDTF">2019-12-28T06:42:56Z</dcterms:modified>
</cp:coreProperties>
</file>