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21, 2025</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Zoom Video Communications, Inc.</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May 21, 2025, Zoom Communications, Inc. (the “Company”) issued a press release announcing its financial results for the three months ended April 30, 2025. A copy of the press release is furnished as Exhibit 99.1 to this report and is incorporated by reference.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May 21, 2025 of Zoom Communications, Inc.</w:t>
            </w:r>
          </w:p>
        </w:tc>
        <w:tc>
          <w:tcPr>
            <w:tcW w:w="20" w:type="dxa"/>
            <w:vAlign w:val="bottom"/>
          </w:tcPr>
          <w:p>
            <w:pPr>
              <w:spacing w:after="0"/>
              <w:rPr>
                <w:sz w:val="15"/>
                <w:szCs w:val="15"/>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55"/>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7340" w:type="dxa"/>
            <w:vAlign w:val="bottom"/>
            <w:gridSpan w:val="2"/>
          </w:tcPr>
          <w:p>
            <w:pPr>
              <w:ind w:left="188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6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Dated: May 21, 2025</w:t>
            </w:r>
          </w:p>
        </w:tc>
        <w:tc>
          <w:tcPr>
            <w:tcW w:w="258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5"/>
        </w:trPr>
        <w:tc>
          <w:tcPr>
            <w:tcW w:w="33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27"/>
        </w:trPr>
        <w:tc>
          <w:tcPr>
            <w:tcW w:w="3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Zoom Communications Reports Financial Results for the First Quarter of Fiscal Year 2026</w:t>
      </w:r>
    </w:p>
    <w:p>
      <w:pPr>
        <w:spacing w:after="0" w:line="113" w:lineRule="exact"/>
        <w:rPr>
          <w:sz w:val="20"/>
          <w:szCs w:val="20"/>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total revenue of $1,174.7 million, up 2.9% year over year as reported and 3.4% in constant currency</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Enterprise revenue of $704.7 million, up 5.9%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GAAP operating margin of 20.6% and non-GAAP operating margin of 39.8%</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GAAP EPS of $0.81, up 18.7% year over year, and non-GAAP EPS of $1.43, up 6.0%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Number of customers contributing more than $100,000 in trailing 12 months revenue up 8.0%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Repurchased approximately 5.6 million shares of common stock in Q1, up from 4.3 million shares in Q4</w:t>
      </w:r>
    </w:p>
    <w:p>
      <w:pPr>
        <w:spacing w:after="0" w:line="220" w:lineRule="exact"/>
        <w:rPr>
          <w:sz w:val="20"/>
          <w:szCs w:val="20"/>
          <w:color w:val="auto"/>
        </w:rPr>
      </w:pPr>
    </w:p>
    <w:p>
      <w:pPr>
        <w:ind w:right="64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May 21, 2025 – Zoom Communications, Inc. (NASDAQ: ZM), today announced financial results for the first fiscal quarter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April 30, 2025.</w:t>
      </w:r>
    </w:p>
    <w:p>
      <w:pPr>
        <w:spacing w:after="0" w:line="4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delivered another solid quarter, exceeding guidance in both revenue and profitability — a testament to the strength of our platform and AI-first innovation,” said Eric S. Yuan, Zoom’s founder and CEO. “In an uncertain macro-economic environment, customers are turning to Zoom to drive efficiency, improve customer and employee experiences, and future-proof their businesses. We saw continued momentum in Zoom Customer Experience, Zoom Revenue Accelerator, and Workvivo as customers look to elevate CX, reinvigorate sales, and strengthen culture. In Q1, we launched multiple new products, maintained strong operational discipline, and accelerated our share repurchase activity, reinforcing our commitment to shareholder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Fiscal Year 2026 Financial Highlights:</w:t>
      </w:r>
    </w:p>
    <w:p>
      <w:pPr>
        <w:spacing w:after="0" w:line="205" w:lineRule="exact"/>
        <w:rPr>
          <w:sz w:val="20"/>
          <w:szCs w:val="20"/>
          <w:color w:val="auto"/>
        </w:rPr>
      </w:pPr>
    </w:p>
    <w:p>
      <w:pPr>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first quarter was $1,174.7 million, up 2.9% year over year.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$1,179.5 million, up 3.4% year over year. Enterprise revenue was $704.7 million, up 5.9% year over year, and Online revenue was $470.0 million, down 1.2% year over year.</w:t>
      </w:r>
    </w:p>
    <w:p>
      <w:pPr>
        <w:spacing w:after="0" w:line="56" w:lineRule="exact"/>
        <w:rPr>
          <w:rFonts w:ascii="Times New Roman" w:cs="Times New Roman" w:eastAsia="Times New Roman" w:hAnsi="Times New Roman"/>
          <w:sz w:val="17"/>
          <w:szCs w:val="17"/>
          <w:color w:val="auto"/>
        </w:rPr>
      </w:pPr>
    </w:p>
    <w:p>
      <w:pPr>
        <w:ind w:left="940" w:right="8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first quarter was $241.6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$203.0 million in the first quarter of fiscal year 2025. Non-GAAP income from operations, which adjusts for stock-based compensation expense and related payroll taxes, and acquisition-related expenses, was $467.3 million for the first quarter, compared to non-GAAP income from operations of $456.6 million in the first quarter of fiscal year 2025. For the first quarter, GAAP operating margin was 20.6% and non-GAAP operating margin was 39.8%.</w:t>
      </w:r>
    </w:p>
    <w:p>
      <w:pPr>
        <w:spacing w:after="0" w:line="169" w:lineRule="exact"/>
        <w:rPr>
          <w:rFonts w:ascii="Times New Roman" w:cs="Times New Roman" w:eastAsia="Times New Roman" w:hAnsi="Times New Roman"/>
          <w:sz w:val="17"/>
          <w:szCs w:val="17"/>
          <w:b w:val="1"/>
          <w:bCs w:val="1"/>
          <w:color w:val="auto"/>
        </w:rPr>
      </w:pPr>
    </w:p>
    <w:p>
      <w:pPr>
        <w:ind w:left="940" w:right="2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first quarter was $254.6 million, or $0.81 per share,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income of $216.3 million, or $0.69 per share, in the first quarter of fiscal year 2025. Non-GAAP net income for the first quarter, which adjusts for stock-based compensation expense and related payroll taxes, gains/losses on strategic investments, net, acquisition-related expenses, and the tax effects on non-GAAP adjustments, was $448.3 million, or $1.43 per share. In the first quarter of fiscal year 2025, non-GAAP net income was $426.3 million, or $1.35 per share.</w:t>
      </w:r>
    </w:p>
    <w:p>
      <w:pPr>
        <w:spacing w:after="0" w:line="169" w:lineRule="exact"/>
        <w:rPr>
          <w:rFonts w:ascii="Times New Roman" w:cs="Times New Roman" w:eastAsia="Times New Roman" w:hAnsi="Times New Roman"/>
          <w:sz w:val="17"/>
          <w:szCs w:val="17"/>
          <w:b w:val="1"/>
          <w:bCs w:val="1"/>
          <w:color w:val="auto"/>
        </w:rPr>
      </w:pPr>
    </w:p>
    <w:p>
      <w:pPr>
        <w:ind w:left="940" w:right="18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April 30, 2025 was $7.8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pacing w:after="0" w:line="39" w:lineRule="exact"/>
        <w:rPr>
          <w:rFonts w:ascii="Times New Roman" w:cs="Times New Roman" w:eastAsia="Times New Roman" w:hAnsi="Times New Roman"/>
          <w:sz w:val="17"/>
          <w:szCs w:val="17"/>
          <w:b w:val="1"/>
          <w:bCs w:val="1"/>
          <w:color w:val="auto"/>
        </w:rPr>
      </w:pPr>
    </w:p>
    <w:p>
      <w:pPr>
        <w:ind w:left="940" w:right="2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$489.3 million for the first quarter, compared to $588.2 million in the first quarter of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2025. Free cash flow, which is net cash provided by operating activities less purchases of property and equipment, was $463.4 million, compared to $569.7 million in the first quarter of fiscal year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At the end of the first quarter of fiscal year 2026, Zoom had:</w:t>
      </w:r>
    </w:p>
    <w:p>
      <w:pPr>
        <w:spacing w:after="0" w:line="132" w:lineRule="exact"/>
        <w:rPr>
          <w:sz w:val="20"/>
          <w:szCs w:val="20"/>
          <w:color w:val="auto"/>
        </w:rPr>
      </w:pPr>
    </w:p>
    <w:p>
      <w:pPr>
        <w:ind w:left="920" w:hanging="296"/>
        <w:spacing w:after="0"/>
        <w:tabs>
          <w:tab w:leader="none" w:pos="92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4,192 customers contributing more than $100,000 in trailing 12 months revenue, up 8.0% from the same quarter last fiscal year.</w:t>
      </w:r>
    </w:p>
    <w:p>
      <w:pPr>
        <w:sectPr>
          <w:pgSz w:w="11900" w:h="16838" w:orient="portrait"/>
          <w:cols w:equalWidth="0" w:num="1">
            <w:col w:w="11240"/>
          </w:cols>
          <w:pgMar w:left="320" w:top="1092" w:right="339" w:bottom="1440" w:gutter="0" w:footer="0" w:header="0"/>
        </w:sectPr>
      </w:pPr>
    </w:p>
    <w:bookmarkStart w:id="4" w:name="page5"/>
    <w:bookmarkEnd w:id="4"/>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98%.</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2.8% for the first quarter, down 40 bps from the same quarter last fiscal year.</w:t>
      </w:r>
    </w:p>
    <w:p>
      <w:pPr>
        <w:spacing w:after="0" w:line="114" w:lineRule="exact"/>
        <w:rPr>
          <w:rFonts w:ascii="Times New Roman" w:cs="Times New Roman" w:eastAsia="Times New Roman" w:hAnsi="Times New Roman"/>
          <w:sz w:val="17"/>
          <w:szCs w:val="17"/>
          <w:color w:val="auto"/>
        </w:rPr>
      </w:pPr>
    </w:p>
    <w:p>
      <w:pPr>
        <w:ind w:left="940" w:right="160" w:hanging="316"/>
        <w:spacing w:after="0" w:line="288"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total Online MRR from Online customers with a continual term of service of at least 16 months was 74.2%, up 40 bps year over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second quarter of fiscal year 2026 and its full fiscal year 2026.</w:t>
      </w:r>
    </w:p>
    <w:p>
      <w:pPr>
        <w:spacing w:after="0" w:line="119" w:lineRule="exact"/>
        <w:rPr>
          <w:sz w:val="20"/>
          <w:szCs w:val="20"/>
          <w:color w:val="auto"/>
        </w:rPr>
      </w:pPr>
    </w:p>
    <w:p>
      <w:pPr>
        <w:ind w:left="940" w:right="60" w:hanging="316"/>
        <w:spacing w:after="0" w:line="270"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Second Quarter Fiscal Year 2026: Total revenue is expected to be between $1.195 billion and $1.200 billion and revenue in constant currency is expected to be between $1.196 billion and $1.201 billion. Non-GAAP income from operations is expected to be between $460.0 million and $465.0 million. Non-GAAP diluted EPS is expected to be between $1.36 and $1.37 with approximately 310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jc w:val="both"/>
        <w:ind w:left="940" w:right="80" w:hanging="316"/>
        <w:spacing w:after="0" w:line="265"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2026: Total revenue is expected to be between $4.800 billion and $4.810 billion and revenue in constant currency is expected to be between $4.808 billion and $4.818 billion. Full fiscal year non-GAAP income from operations is expected to be between $1.865 billion and $1.875 billion. Full fiscal year non-GAAP diluted EPS is expected to be between $5.56 and $5.59 with approximately 312 million weighted average shares outstanding. Full fiscal year free cash flow is expected to be between $1.680 billion and $1.720 billion.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any impact from $1.2 billion of authorized share repurchase remaining as of April 30, 2025.</w:t>
      </w:r>
    </w:p>
    <w:p>
      <w:pPr>
        <w:spacing w:after="0" w:line="21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06"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May 21, 2025 at 2:00 p.m. Pacific Time / 5:00 p.m. Eastern Time to discuss the company’s financial results, business highlights and financial outlook. Investors are invited to join the Zoom Video Webinar by visiting: https://investors.zoom.com/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Zoom’s mission is to provide the AI-first work platform for human connection. Zoom Workplace — the company’s AI-powered, open collaboration platform built for modern work — will streamline communications, increase employee engagement, optimize in-person time, improve productivity, and offer customer choice with third-party apps and integrations. Zoom Workplace, powered by Zoom AI Companion, will include collaboration solutions like meetings, team chat, phone, scheduler, whiteboard, spaces, Workvivo, and more. Together with Zoom Workplace, Zoom’s Business Services for sales, marketing, and customer care teams, including Zoom Contact Center, strengthen customer relationships throughout the customer lifecycle. Founded in 2011, Zoom is publicly traded (NASDAQ:ZM) and headquartered in San Jose, California. Get more information at zoom.com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second quarter of fiscal year 2026 and full fiscal year 2026, Zoom’s market position, opportunities, and growth strategy, product initiatives, including future product and feature releases and the potential of agentic AI,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w:t>
      </w:r>
    </w:p>
    <w:p>
      <w:pPr>
        <w:sectPr>
          <w:pgSz w:w="11900" w:h="16838" w:orient="portrait"/>
          <w:cols w:equalWidth="0" w:num="1">
            <w:col w:w="11200"/>
          </w:cols>
          <w:pgMar w:left="320" w:top="963" w:right="379" w:bottom="1440" w:gutter="0" w:footer="0" w:header="0"/>
        </w:sectPr>
      </w:pPr>
    </w:p>
    <w:bookmarkStart w:id="5" w:name="page6"/>
    <w:bookmarkEnd w:id="5"/>
    <w:p>
      <w:pPr>
        <w:ind w:right="80"/>
        <w:spacing w:after="0" w:line="257" w:lineRule="auto"/>
        <w:rPr>
          <w:sz w:val="20"/>
          <w:szCs w:val="20"/>
          <w:color w:val="auto"/>
        </w:rPr>
      </w:pPr>
      <w:r>
        <w:rPr>
          <w:rFonts w:ascii="Times New Roman" w:cs="Times New Roman" w:eastAsia="Times New Roman" w:hAnsi="Times New Roman"/>
          <w:sz w:val="17"/>
          <w:szCs w:val="17"/>
          <w:color w:val="auto"/>
        </w:rPr>
        <w:t>operations given our limited operating history, competition from other providers of communications platforms, the effect of macroeconomic conditions on our business, including geopolitical tensions, tariffs and escalating trade tensions, interest rate fluctuations, inflationary pressures and market and foreign currency exchange rate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annual report on Form 10-K for the fiscal year ended January 31, 2025.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and acquisition-related expenses.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spacing w:after="0" w:line="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as GAAP net income adjusted to exclude stock-based compensation expense and related payroll taxes, acquisition-related expenses, gains/losses on strategic investments, net,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spacing w:after="0" w:line="28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spacing w:after="0" w:line="6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w:t>
      </w:r>
    </w:p>
    <w:p>
      <w:pPr>
        <w:sectPr>
          <w:pgSz w:w="11900" w:h="16838" w:orient="portrait"/>
          <w:cols w:equalWidth="0" w:num="1">
            <w:col w:w="11240"/>
          </w:cols>
          <w:pgMar w:left="320" w:top="963" w:right="339" w:bottom="1440" w:gutter="0" w:footer="0" w:header="0"/>
        </w:sectPr>
      </w:pPr>
    </w:p>
    <w:bookmarkStart w:id="6" w:name="page7"/>
    <w:bookmarkEnd w:id="6"/>
    <w:p>
      <w:pPr>
        <w:ind w:right="300"/>
        <w:spacing w:after="0" w:line="288" w:lineRule="auto"/>
        <w:rPr>
          <w:sz w:val="20"/>
          <w:szCs w:val="20"/>
          <w:color w:val="auto"/>
        </w:rPr>
      </w:pPr>
      <w:r>
        <w:rPr>
          <w:rFonts w:ascii="Times New Roman" w:cs="Times New Roman" w:eastAsia="Times New Roman" w:hAnsi="Times New Roman"/>
          <w:sz w:val="17"/>
          <w:szCs w:val="17"/>
          <w:color w:val="auto"/>
        </w:rPr>
        <w:t>revenue in constant currency information as a framework for assessing how Zoom's underlying businesses performed period to period, excluding the effects of foreign currency fluctuations.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Eveslage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1,228,847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1,349,380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6,563,976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6,442,329</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495,228</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188,358</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200,679</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8,666,777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8,675,974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123,464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330,475</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55,900</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591,481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749,759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154,073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10,951,896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558,562</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1,409,217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1,336,387</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1,897,373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1,903,294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37,406</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95,363</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2,049,528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2,053,337</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4,832,800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5,130,271</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4,990</w:t>
            </w:r>
          </w:p>
        </w:tc>
      </w:tr>
      <w:tr>
        <w:trPr>
          <w:trHeight w:val="220"/>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4,054,121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3,799,518</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8,902,368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8,935,084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10,951,896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$108.1 million and $118.5 million as of April 30, 2025 and January 31, 2025, respectively.</w:t>
      </w:r>
    </w:p>
    <w:p>
      <w:pPr>
        <w:sectPr>
          <w:pgSz w:w="11900" w:h="16838" w:orient="portrait"/>
          <w:cols w:equalWidth="0" w:num="1">
            <w:col w:w="11240"/>
          </w:cols>
          <w:pgMar w:left="320" w:top="856"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1,141,234</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278,402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273,302</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896,313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867,932</w:t>
            </w: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205,558</w:t>
            </w: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348,008</w:t>
            </w:r>
          </w:p>
        </w:tc>
      </w:tr>
      <w:tr>
        <w:trPr>
          <w:trHeight w:val="22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111,344</w:t>
            </w:r>
          </w:p>
        </w:tc>
      </w:tr>
      <w:tr>
        <w:trPr>
          <w:trHeight w:val="21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654,721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664,910</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203,022</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17,354</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315,765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291,964</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75,656</w:t>
            </w:r>
          </w:p>
        </w:tc>
      </w:tr>
      <w:tr>
        <w:trPr>
          <w:trHeight w:val="187"/>
        </w:trPr>
        <w:tc>
          <w:tcPr>
            <w:tcW w:w="824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254,603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216,308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8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2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0.81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0.69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5"/>
        </w:trPr>
        <w:tc>
          <w:tcPr>
            <w:tcW w:w="82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304,908,652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308,700,582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312,783,861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315,360,678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856"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8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254,603</w:t>
            </w:r>
          </w:p>
        </w:tc>
        <w:tc>
          <w:tcPr>
            <w:tcW w:w="1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216,308</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229,425</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68,125</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26,667</w:t>
            </w:r>
          </w:p>
        </w:tc>
      </w:tr>
      <w:tr>
        <w:trPr>
          <w:trHeight w:val="21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w:t>
            </w: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strategic investments, net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(17,354)</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6,782</w:t>
            </w: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7,237</w:t>
            </w:r>
          </w:p>
        </w:tc>
      </w:tr>
      <w:tr>
        <w:trPr>
          <w:trHeight w:val="21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5,368</w:t>
            </w: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(17,668)</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12,260</w:t>
            </w:r>
          </w:p>
        </w:tc>
      </w:tr>
      <w:tr>
        <w:trPr>
          <w:trHeight w:val="204"/>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35,839</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(40,128)</w:t>
            </w:r>
          </w:p>
        </w:tc>
      </w:tr>
      <w:tr>
        <w:trPr>
          <w:trHeight w:val="204"/>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7,276</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w:t>
            </w:r>
          </w:p>
        </w:tc>
      </w:tr>
      <w:tr>
        <w:trPr>
          <w:trHeight w:val="204"/>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77,964</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w:t>
            </w:r>
          </w:p>
        </w:tc>
      </w:tr>
      <w:tr>
        <w:trPr>
          <w:trHeight w:val="197"/>
        </w:trPr>
        <w:tc>
          <w:tcPr>
            <w:tcW w:w="81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588,191</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(867,911)</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1,033,279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776,941</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(18,508)</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strategic investments</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4,654</w:t>
            </w:r>
          </w:p>
        </w:tc>
      </w:tr>
      <w:tr>
        <w:trPr>
          <w:trHeight w:val="197"/>
        </w:trPr>
        <w:tc>
          <w:tcPr>
            <w:tcW w:w="81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(125,130)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(107,824)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1,016</w:t>
            </w:r>
          </w:p>
        </w:tc>
      </w:tr>
      <w:tr>
        <w:trPr>
          <w:trHeight w:val="21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employee equity transactions to be remitted to employees and tax authorities, net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6,581</w:t>
            </w: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(150,048)</w:t>
            </w:r>
          </w:p>
        </w:tc>
      </w:tr>
      <w:tr>
        <w:trPr>
          <w:trHeight w:val="21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18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(490,530)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(142,451)</w:t>
            </w: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(6,852)</w:t>
            </w:r>
          </w:p>
        </w:tc>
      </w:tr>
      <w:tr>
        <w:trPr>
          <w:trHeight w:val="19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331,064</w:t>
            </w: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1,361,417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1,565,380</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1,246,872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1,896,444</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610"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241,592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203,022</w:t>
            </w:r>
          </w:p>
        </w:tc>
        <w:tc>
          <w:tcPr>
            <w:tcW w:w="0" w:type="dxa"/>
            <w:vAlign w:val="bottom"/>
          </w:tcPr>
          <w:p>
            <w:pPr>
              <w:spacing w:after="0"/>
              <w:rPr>
                <w:sz w:val="1"/>
                <w:szCs w:val="1"/>
                <w:color w:val="auto"/>
              </w:rPr>
            </w:pP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216,730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242,874</w:t>
            </w:r>
          </w:p>
        </w:tc>
        <w:tc>
          <w:tcPr>
            <w:tcW w:w="0" w:type="dxa"/>
            <w:vAlign w:val="bottom"/>
          </w:tcPr>
          <w:p>
            <w:pPr>
              <w:spacing w:after="0"/>
              <w:rPr>
                <w:sz w:val="1"/>
                <w:szCs w:val="1"/>
                <w:color w:val="auto"/>
              </w:rPr>
            </w:pPr>
          </w:p>
        </w:tc>
      </w:tr>
      <w:tr>
        <w:trPr>
          <w:trHeight w:val="220"/>
        </w:trPr>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9,004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10,701</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467,326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456,597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17.8 %</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40.0 %</w:t>
            </w:r>
          </w:p>
        </w:tc>
        <w:tc>
          <w:tcPr>
            <w:tcW w:w="0" w:type="dxa"/>
            <w:vAlign w:val="bottom"/>
          </w:tcPr>
          <w:p>
            <w:pPr>
              <w:spacing w:after="0"/>
              <w:rPr>
                <w:sz w:val="1"/>
                <w:szCs w:val="1"/>
                <w:color w:val="auto"/>
              </w:rPr>
            </w:pPr>
          </w:p>
        </w:tc>
      </w:tr>
      <w:tr>
        <w:trPr>
          <w:trHeight w:val="258"/>
        </w:trPr>
        <w:tc>
          <w:tcPr>
            <w:tcW w:w="8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254,603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216,308</w:t>
            </w:r>
          </w:p>
        </w:tc>
        <w:tc>
          <w:tcPr>
            <w:tcW w:w="0" w:type="dxa"/>
            <w:vAlign w:val="bottom"/>
          </w:tcPr>
          <w:p>
            <w:pPr>
              <w:spacing w:after="0"/>
              <w:rPr>
                <w:sz w:val="1"/>
                <w:szCs w:val="1"/>
                <w:color w:val="auto"/>
              </w:rPr>
            </w:pP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216,730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242,874</w:t>
            </w:r>
          </w:p>
        </w:tc>
        <w:tc>
          <w:tcPr>
            <w:tcW w:w="0" w:type="dxa"/>
            <w:vAlign w:val="bottom"/>
          </w:tcPr>
          <w:p>
            <w:pPr>
              <w:spacing w:after="0"/>
              <w:rPr>
                <w:sz w:val="1"/>
                <w:szCs w:val="1"/>
                <w:color w:val="auto"/>
              </w:rPr>
            </w:pPr>
          </w:p>
        </w:tc>
      </w:tr>
      <w:tr>
        <w:trPr>
          <w:trHeight w:val="220"/>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(gains) on strategic investments, net</w:t>
            </w:r>
          </w:p>
        </w:tc>
        <w:tc>
          <w:tcPr>
            <w:tcW w:w="28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13,619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(17,354)</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9,004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10,701</w:t>
            </w:r>
          </w:p>
        </w:tc>
        <w:tc>
          <w:tcPr>
            <w:tcW w:w="0" w:type="dxa"/>
            <w:vAlign w:val="bottom"/>
          </w:tcPr>
          <w:p>
            <w:pPr>
              <w:spacing w:after="0"/>
              <w:rPr>
                <w:sz w:val="1"/>
                <w:szCs w:val="1"/>
                <w:color w:val="auto"/>
              </w:rPr>
            </w:pPr>
          </w:p>
        </w:tc>
      </w:tr>
      <w:tr>
        <w:trPr>
          <w:trHeight w:val="220"/>
        </w:trPr>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(45,663)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(26,211)</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448,293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426,318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0.70</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4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rPr>
              <w:t>GAAP net income per share - diluted</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rPr>
              <w:t>0.81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and non-GAAP weighted-average shares used to compute net income per share - basic</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304,908,652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308,700,582</w:t>
            </w:r>
          </w:p>
        </w:tc>
        <w:tc>
          <w:tcPr>
            <w:tcW w:w="0" w:type="dxa"/>
            <w:vAlign w:val="bottom"/>
          </w:tcPr>
          <w:p>
            <w:pPr>
              <w:spacing w:after="0"/>
              <w:rPr>
                <w:sz w:val="1"/>
                <w:szCs w:val="1"/>
                <w:color w:val="auto"/>
              </w:rPr>
            </w:pP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and non-GAAP weighted-average shares used to compute net income per share - diluted</w:t>
            </w:r>
          </w:p>
        </w:tc>
        <w:tc>
          <w:tcPr>
            <w:tcW w:w="28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312,783,861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315,360,678</w:t>
            </w: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489,261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588,191</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(25,910)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(18,508)</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463,351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569,683</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(125,130)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(107,824)</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(490,530)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(142,451)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51.5 %</w:t>
            </w:r>
          </w:p>
        </w:tc>
        <w:tc>
          <w:tcPr>
            <w:tcW w:w="0" w:type="dxa"/>
            <w:vAlign w:val="bottom"/>
          </w:tcPr>
          <w:p>
            <w:pPr>
              <w:spacing w:after="0"/>
              <w:rPr>
                <w:sz w:val="1"/>
                <w:szCs w:val="1"/>
                <w:color w:val="auto"/>
              </w:rPr>
            </w:pP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49.9 %</w:t>
            </w: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0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1"/>
                <w:szCs w:val="11"/>
                <w:color w:val="auto"/>
              </w:rPr>
            </w:pPr>
          </w:p>
        </w:tc>
        <w:tc>
          <w:tcPr>
            <w:tcW w:w="1440" w:type="dxa"/>
            <w:vAlign w:val="bottom"/>
          </w:tcPr>
          <w:p>
            <w:pPr>
              <w:jc w:val="right"/>
              <w:ind w:right="56"/>
              <w:spacing w:after="0" w:line="129" w:lineRule="exact"/>
              <w:rPr>
                <w:sz w:val="20"/>
                <w:szCs w:val="20"/>
                <w:color w:val="auto"/>
              </w:rPr>
            </w:pPr>
            <w:r>
              <w:rPr>
                <w:rFonts w:ascii="Times New Roman" w:cs="Times New Roman" w:eastAsia="Times New Roman" w:hAnsi="Times New Roman"/>
                <w:sz w:val="14"/>
                <w:szCs w:val="14"/>
                <w:b w:val="1"/>
                <w:bCs w:val="1"/>
                <w:color w:val="auto"/>
                <w:w w:val="96"/>
              </w:rPr>
              <w:t>YoY Revenue Growth</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1,174,715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0"/>
        </w:trPr>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4,762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1,179,477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2025-05-21T15:10:37Z</dcterms:created>
  <dcterms:modified xsi:type="dcterms:W3CDTF">2025-05-21T15:10:37Z</dcterms:modified>
</cp:coreProperties>
</file>