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154305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46"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197485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40"/>
          <w:szCs w:val="40"/>
          <w:b w:val="1"/>
          <w:bCs w:val="1"/>
          <w:color w:val="auto"/>
        </w:rPr>
        <w:t>Zoom Communications, Inc.</w:t>
      </w:r>
    </w:p>
    <w:p>
      <w:pPr>
        <w:spacing w:after="0" w:line="4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4"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ALMADEN BLVD., 6TH FLOOR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JOSE, CALIFORNIA 95113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10:00 A.M. PACIFIC TIME ON THURSDAY, JUNE 12, 2025</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 of Zoom Communications, Inc.:</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cordially invite you to attend the 2025 annual meeting of stockholders (the “Annual Meeting”) of Zoom Communications, Inc., a Delaware corporation, which will be held as a virtual meeting on </w:t>
      </w:r>
      <w:r>
        <w:rPr>
          <w:rFonts w:ascii="Times New Roman" w:cs="Times New Roman" w:eastAsia="Times New Roman" w:hAnsi="Times New Roman"/>
          <w:sz w:val="18"/>
          <w:szCs w:val="18"/>
          <w:b w:val="1"/>
          <w:bCs w:val="1"/>
          <w:color w:val="auto"/>
        </w:rPr>
        <w:t>Thursday, June 12,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 10:00 a.m. Pacific Time</w:t>
      </w:r>
      <w:r>
        <w:rPr>
          <w:rFonts w:ascii="Times New Roman" w:cs="Times New Roman" w:eastAsia="Times New Roman" w:hAnsi="Times New Roman"/>
          <w:sz w:val="18"/>
          <w:szCs w:val="18"/>
          <w:color w:val="auto"/>
        </w:rPr>
        <w:t>. You can attend the Annual Meeting via a live interactive webcast on the internet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www.virtualshareholdermeeting.com/ZM2025 where you will be able to view the meeting live, submit questions (before and during the meeting) and vote online.</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are holding the Annual Meeting for the following purposes, as more fully described in the accompanying proxy statement:</w:t>
      </w:r>
    </w:p>
    <w:p>
      <w:pPr>
        <w:spacing w:after="0" w:line="54"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nominees for Class III directors named in the accompanying proxy statement to serve until the 2028 annual meeting of stockholders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our fiscal year ending January 31, 2026;</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solicit an advisory vote to approve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may properly come before the Annual Meeting or any adjournments or postponements thereof.</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April 14, 2025 as the record date for the Annual Meeting (the “Record Date”). Only stockholders of record on April 14, 2025 are entitled to notice of and to vote at the Annual Meeting. Further information regarding voting rights and the matters to be voted upon is presented in the accompanying proxy statement.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or about May 1, 2025,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w:t>
      </w:r>
    </w:p>
    <w:p>
      <w:pPr>
        <w:spacing w:after="0" w:line="68"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appreciate your continued support of Zoom.</w:t>
      </w:r>
    </w:p>
    <w:p>
      <w:pPr>
        <w:spacing w:after="0" w:line="26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35560</wp:posOffset>
            </wp:positionV>
            <wp:extent cx="260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Eric S. Yuan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President, Chief Executive Officer and Chairman of the</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Board</w:t>
      </w:r>
    </w:p>
    <w:p>
      <w:pPr>
        <w:spacing w:after="0" w:line="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6480" w:type="dxa"/>
            <w:vAlign w:val="bottom"/>
            <w:gridSpan w:val="4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640" w:type="dxa"/>
            <w:vAlign w:val="bottom"/>
            <w:gridSpan w:val="3"/>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BOARD OF DIRECTORS AND CORPORATE GOVERNANCE</w:t>
            </w:r>
          </w:p>
        </w:tc>
        <w:tc>
          <w:tcPr>
            <w:tcW w:w="1640" w:type="dxa"/>
            <w:vAlign w:val="bottom"/>
            <w:gridSpan w:val="3"/>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Nominees for Director</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6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Continuing Directors</w:t>
            </w:r>
          </w:p>
        </w:tc>
        <w:tc>
          <w:tcPr>
            <w:tcW w:w="6320" w:type="dxa"/>
            <w:vAlign w:val="bottom"/>
            <w:gridSpan w:val="41"/>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6300" w:type="dxa"/>
            <w:vAlign w:val="bottom"/>
            <w:gridSpan w:val="40"/>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94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Lead Independent Director</w:t>
            </w:r>
          </w:p>
        </w:tc>
        <w:tc>
          <w:tcPr>
            <w:tcW w:w="6000" w:type="dxa"/>
            <w:vAlign w:val="bottom"/>
            <w:gridSpan w:val="3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Board and Stockholder Meetings and Committees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4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3480" w:type="dxa"/>
            <w:vAlign w:val="bottom"/>
            <w:gridSpan w:val="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4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Considerations in Evaluating Director Nominees</w:t>
            </w:r>
          </w:p>
        </w:tc>
        <w:tc>
          <w:tcPr>
            <w:tcW w:w="3480" w:type="dxa"/>
            <w:vAlign w:val="bottom"/>
            <w:gridSpan w:val="9"/>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32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Stockholder Recommendations for Nominations to the Board of Directors</w:t>
            </w:r>
          </w:p>
        </w:tc>
        <w:tc>
          <w:tcPr>
            <w:tcW w:w="2620" w:type="dxa"/>
            <w:vAlign w:val="bottom"/>
            <w:gridSpan w:val="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32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2620" w:type="dxa"/>
            <w:vAlign w:val="bottom"/>
            <w:gridSpan w:val="6"/>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52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2420" w:type="dxa"/>
            <w:vAlign w:val="bottom"/>
            <w:gridSpan w:val="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52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Risk Management</w:t>
            </w:r>
          </w:p>
        </w:tc>
        <w:tc>
          <w:tcPr>
            <w:tcW w:w="2420" w:type="dxa"/>
            <w:vAlign w:val="bottom"/>
            <w:gridSpan w:val="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Prohibition on Hedging, Short Sales and Pledging</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Environmental, Social, and Governance (“ESG”)</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5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Non-Employee Director Compensation</w:t>
            </w:r>
          </w:p>
        </w:tc>
        <w:tc>
          <w:tcPr>
            <w:tcW w:w="4420" w:type="dxa"/>
            <w:vAlign w:val="bottom"/>
            <w:gridSpan w:val="18"/>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6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4480" w:type="dxa"/>
            <w:vAlign w:val="bottom"/>
            <w:gridSpan w:val="20"/>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4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Nominees</w:t>
            </w:r>
          </w:p>
        </w:tc>
        <w:tc>
          <w:tcPr>
            <w:tcW w:w="4480" w:type="dxa"/>
            <w:vAlign w:val="bottom"/>
            <w:gridSpan w:val="2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4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2 RATIFICATION OF APPOINTMENT OF INDEPENDENT REGISTERED PUBLIC</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460" w:type="dxa"/>
            <w:vAlign w:val="bottom"/>
            <w:tcBorders>
              <w:top w:val="single" w:sz="8" w:color="0000EE"/>
            </w:tcBorders>
            <w:gridSpan w:val="4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4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5"/>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Auditor Independence</w:t>
            </w:r>
          </w:p>
        </w:tc>
        <w:tc>
          <w:tcPr>
            <w:tcW w:w="6340" w:type="dxa"/>
            <w:vAlign w:val="bottom"/>
            <w:gridSpan w:val="42"/>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Policy on Pre-Approval of Audit and Permissible Non-Audit Services of Independent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440" w:type="dxa"/>
            <w:vAlign w:val="bottom"/>
            <w:tcBorders>
              <w:top w:val="single" w:sz="8" w:color="0000EE"/>
            </w:tcBorders>
            <w:gridSpan w:val="46"/>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500" w:type="dxa"/>
            <w:vAlign w:val="bottom"/>
            <w:gridSpan w:val="2"/>
          </w:tcPr>
          <w:p>
            <w:pPr>
              <w:spacing w:after="0"/>
              <w:rPr>
                <w:sz w:val="17"/>
                <w:szCs w:val="17"/>
                <w:color w:val="auto"/>
              </w:rPr>
            </w:pPr>
          </w:p>
        </w:tc>
        <w:tc>
          <w:tcPr>
            <w:tcW w:w="300" w:type="dxa"/>
            <w:vAlign w:val="bottom"/>
            <w:gridSpan w:val="5"/>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6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NO. 3 ADVISORY VOTE ON EXECUTIVE COMPENSATION</w:t>
            </w:r>
          </w:p>
        </w:tc>
        <w:tc>
          <w:tcPr>
            <w:tcW w:w="2440" w:type="dxa"/>
            <w:vAlign w:val="bottom"/>
            <w:gridSpan w:val="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6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2440" w:type="dxa"/>
            <w:vAlign w:val="bottom"/>
            <w:gridSpan w:val="5"/>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4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9"/>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84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COMPENSATION DISCUSSION AND ANALYSIS</w:t>
            </w:r>
          </w:p>
        </w:tc>
        <w:tc>
          <w:tcPr>
            <w:tcW w:w="4280" w:type="dxa"/>
            <w:vAlign w:val="bottom"/>
            <w:gridSpan w:val="1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6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Executive Summary</w:t>
            </w:r>
          </w:p>
        </w:tc>
        <w:tc>
          <w:tcPr>
            <w:tcW w:w="4280" w:type="dxa"/>
            <w:vAlign w:val="bottom"/>
            <w:gridSpan w:val="15"/>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28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Advisory Vote on Executive Compensation and Stockholder Engagement</w:t>
            </w:r>
          </w:p>
        </w:tc>
        <w:tc>
          <w:tcPr>
            <w:tcW w:w="2660" w:type="dxa"/>
            <w:vAlign w:val="bottom"/>
            <w:gridSpan w:val="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28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Compensation Objectives and Philosophy</w:t>
            </w:r>
          </w:p>
        </w:tc>
        <w:tc>
          <w:tcPr>
            <w:tcW w:w="2660" w:type="dxa"/>
            <w:vAlign w:val="bottom"/>
            <w:gridSpan w:val="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Elements of Executive Compensation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How We Determine Executive Compensation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Factors Used in Determining Executive Compensation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92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Fiscal 2025 Executive Compensation Program</w:t>
            </w:r>
          </w:p>
        </w:tc>
        <w:tc>
          <w:tcPr>
            <w:tcW w:w="4020" w:type="dxa"/>
            <w:vAlign w:val="bottom"/>
            <w:gridSpan w:val="13"/>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Features of Our Executive Compensation Program</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0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Tax and Accounting Implications</w:t>
            </w:r>
          </w:p>
        </w:tc>
        <w:tc>
          <w:tcPr>
            <w:tcW w:w="3860" w:type="dxa"/>
            <w:vAlign w:val="bottom"/>
            <w:gridSpan w:val="1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Other Compensation Policies and Practices</w:t>
            </w:r>
          </w:p>
        </w:tc>
        <w:tc>
          <w:tcPr>
            <w:tcW w:w="4840" w:type="dxa"/>
            <w:vAlign w:val="bottom"/>
            <w:gridSpan w:val="2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Compensation Risk Assessment</w:t>
            </w:r>
          </w:p>
        </w:tc>
        <w:tc>
          <w:tcPr>
            <w:tcW w:w="4840" w:type="dxa"/>
            <w:vAlign w:val="bottom"/>
            <w:gridSpan w:val="2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4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Compensation Committee Report</w:t>
            </w:r>
          </w:p>
        </w:tc>
        <w:tc>
          <w:tcPr>
            <w:tcW w:w="5520" w:type="dxa"/>
            <w:vAlign w:val="bottom"/>
            <w:gridSpan w:val="31"/>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9"/>
          </w:tcPr>
          <w:p>
            <w:pPr>
              <w:spacing w:after="0" w:line="189" w:lineRule="exact"/>
              <w:rPr>
                <w:sz w:val="20"/>
                <w:szCs w:val="20"/>
                <w:color w:val="auto"/>
              </w:rPr>
            </w:pPr>
            <w:r>
              <w:rPr>
                <w:rFonts w:ascii="Times New Roman" w:cs="Times New Roman" w:eastAsia="Times New Roman" w:hAnsi="Times New Roman"/>
                <w:sz w:val="18"/>
                <w:szCs w:val="18"/>
                <w:color w:val="0000EE"/>
              </w:rPr>
              <w:t>TABULAR EXECUTIVE COMPENSATION DISCLOSURE</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5720" w:type="dxa"/>
            <w:vAlign w:val="bottom"/>
            <w:gridSpan w:val="35"/>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Grants of Plan-Based Awards for Fiscal Year 2025</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2025 Fiscal Year-End</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7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Option Exercises and Stock Vested in Fiscal 2025</w:t>
            </w:r>
          </w:p>
        </w:tc>
        <w:tc>
          <w:tcPr>
            <w:tcW w:w="4180" w:type="dxa"/>
            <w:vAlign w:val="bottom"/>
            <w:gridSpan w:val="1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Employment, Severance and Change in Control Agreements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366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79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Pay Ratio</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402(v) Pay Versus Performance</w:t>
            </w:r>
          </w:p>
        </w:tc>
        <w:tc>
          <w:tcPr>
            <w:tcW w:w="2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2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Policies and Procedures for Related Person Transactions</w:t>
            </w:r>
          </w:p>
        </w:tc>
        <w:tc>
          <w:tcPr>
            <w:tcW w:w="3880" w:type="dxa"/>
            <w:vAlign w:val="bottom"/>
            <w:tcBorders>
              <w:bottom w:val="single" w:sz="8" w:color="CCEEFF"/>
            </w:tcBorders>
            <w:gridSpan w:val="4"/>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Certain Related Person Transactions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46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6660" w:type="dxa"/>
            <w:vAlign w:val="bottom"/>
            <w:tcBorders>
              <w:bottom w:val="single" w:sz="8" w:color="CCEEFF"/>
            </w:tcBorders>
            <w:gridSpan w:val="10"/>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52</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Fiscal Year 2025 Annual Report and SEC Filings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52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APPENDIX A</w:t>
            </w:r>
          </w:p>
        </w:tc>
        <w:tc>
          <w:tcPr>
            <w:tcW w:w="7060" w:type="dxa"/>
            <w:vAlign w:val="bottom"/>
            <w:gridSpan w:val="11"/>
          </w:tcPr>
          <w:p>
            <w:pPr>
              <w:spacing w:after="0"/>
              <w:rPr>
                <w:sz w:val="16"/>
                <w:szCs w:val="16"/>
                <w:color w:val="auto"/>
              </w:rPr>
            </w:pPr>
          </w:p>
        </w:tc>
        <w:tc>
          <w:tcPr>
            <w:tcW w:w="3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A-1</w:t>
            </w: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FOR 2025 ANNUAL MEETING OF STOCKHOLDERS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TO BE HELD AT 10:00 A.M. PACIFIC TIME ON THURSDAY, JUNE 12, 2025</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providing you with these proxy materials in connection with the solicitation of proxies by our board of directors (the “Board of Directors” or “Board”) for use at the 2025 annual meeting of stockholders of Zoom Communications, Inc., a Delaware corporation (the “Company”), and any postponements, adjournments or continuations thereof (the “Annual Meeting”). The Annual Meeting will be held as a virtual meeting on Thursday, June 12, 2025 at 10:00 a.m. Pacific Time via a live interactive webcast on the internet at www.virtualshareholdermeeting.com/ZM2025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May 1, 2025 to all stockholders entitled to vote at the Annual Meeting.</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list of stockholders entitled to vote will be available for 10 days prior to the Annual Meeting at our headquarters, 55 Almaden Blvd., 6th Floor, San Jose, California 95113. If you would like to view the stockholder list, please contact our Investor Relations department via email at investors@zoom.us or at 1-888-799-9666 to schedule an appointment.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incorporated by reference into this proxy statement and references to our website address in this proxy statement are inactive textual references only.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Annual Meeting will be held solely in a virtual format, which will be conducted via a live video webcast and online stockholder tools. We are using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will be able to attend the virtual Annual Meeting online, submit your questions during the meeting and vote your shares electronically at the virtual meeting by visiting www.virtualshareholdermeeting.com/ZM2025.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 the check-in procedures. If you encounter any difficulties accessing the virtual meeting during the check-in or course of the Annual Meeting, please call the technical support number that will be posted on the Annual Meeting website log-in page.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119"/>
        <w:spacing w:after="0"/>
        <w:rPr>
          <w:sz w:val="20"/>
          <w:szCs w:val="20"/>
          <w:color w:val="auto"/>
        </w:rPr>
      </w:pPr>
      <w:r>
        <w:rPr>
          <w:rFonts w:ascii="Times New Roman" w:cs="Times New Roman" w:eastAsia="Times New Roman" w:hAnsi="Times New Roman"/>
          <w:sz w:val="17"/>
          <w:szCs w:val="17"/>
          <w:b w:val="1"/>
          <w:bCs w:val="1"/>
          <w:color w:val="auto"/>
        </w:rPr>
        <w:t>What matters am I voting on?</w:t>
      </w:r>
    </w:p>
    <w:p>
      <w:pPr>
        <w:spacing w:after="0" w:line="160" w:lineRule="exact"/>
        <w:rPr>
          <w:sz w:val="20"/>
          <w:szCs w:val="20"/>
          <w:color w:val="auto"/>
        </w:rPr>
      </w:pPr>
    </w:p>
    <w:p>
      <w:pPr>
        <w:jc w:val="center"/>
        <w:ind w:right="6099"/>
        <w:spacing w:after="0"/>
        <w:rPr>
          <w:sz w:val="20"/>
          <w:szCs w:val="20"/>
          <w:color w:val="auto"/>
        </w:rPr>
      </w:pPr>
      <w:r>
        <w:rPr>
          <w:rFonts w:ascii="Times New Roman" w:cs="Times New Roman" w:eastAsia="Times New Roman" w:hAnsi="Times New Roman"/>
          <w:sz w:val="18"/>
          <w:szCs w:val="18"/>
          <w:color w:val="auto"/>
        </w:rPr>
        <w:t>You will be voting on:</w:t>
      </w:r>
    </w:p>
    <w:p>
      <w:pPr>
        <w:spacing w:after="0" w:line="117" w:lineRule="exact"/>
        <w:rPr>
          <w:sz w:val="20"/>
          <w:szCs w:val="20"/>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three nominees for Class III directors named herein to serve until our 2028 annual meeting of stockholders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KPMG LLP as our independent registered public accounting firm for our fiscal year ending January 31,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named executive officers, as disclosed in this proxy statement in accordance with SEC rules;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Annual Meeting or any adjournments or postponements thereof.</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I vote on these proposals?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recommends a vote:</w:t>
      </w:r>
    </w:p>
    <w:p>
      <w:pPr>
        <w:spacing w:after="0" w:line="117"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Michael Fenger, William R. McDermott, and Santiago Subotovsky as Class III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our fiscal year ending January 31, 2026;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advisory approval of the compensation of our named executive officers, as disclosed in this proxy statement in accordance with SEC rules.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Holders of either class of our common stock as of the close of business on April 14, 2025 (the “Record Date”) may vote at the Annual Meeting. As of the Record Date, there were 262,605,541 shares of our Class A common stock outstanding and 42,292,570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bank or other nominee, you 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including any requirements to obtain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7"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24 hours a day, seven days a week, until 11:59 p.m. Eastern Time on June 11, 2025 (have your Notice or proxy card in hand when you visit the website);</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until 11:59 p.m. Eastern Time on June 11, 2025 at 1-800-690-6903 (be sure to have your Notice or proxy card in hand when you call);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so it is received prior to the Annual Meeting (if you received printed proxy materials);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virtual Annual Meeting by visiting www.virtualshareholdermeeting.com/ZM2025, where stockholders may vote and submit questions (before and during) the Annual Meeting (have your Notice or proxy card in hand when you visit the website).</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Even if you plan to attend the Annual Meeting online, we recommend that you also vote by proxy prior to the Annual Meeting so that your vote will be counted if you later decide not to attend the Annual Meeting.</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vote required to approve each proposal?</w:t>
      </w:r>
    </w:p>
    <w:p>
      <w:pPr>
        <w:spacing w:after="0" w:line="119" w:lineRule="exact"/>
        <w:rPr>
          <w:sz w:val="20"/>
          <w:szCs w:val="20"/>
          <w:color w:val="auto"/>
        </w:rPr>
      </w:pPr>
    </w:p>
    <w:p>
      <w:pPr>
        <w:jc w:val="both"/>
        <w:ind w:left="1000" w:right="299" w:hanging="348"/>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The election of directors requires a plurality of the voting power of the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present virtually or represented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The ratification of the appointment of KPMG LLP as our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for our fiscal year ending January 31, 2026, requires the affirmative vote of a majority of the voting power of the shares of our common stock present virtually or represented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3</w:t>
      </w:r>
      <w:r>
        <w:rPr>
          <w:rFonts w:ascii="Times New Roman" w:cs="Times New Roman" w:eastAsia="Times New Roman" w:hAnsi="Times New Roman"/>
          <w:sz w:val="18"/>
          <w:szCs w:val="18"/>
          <w:color w:val="auto"/>
        </w:rPr>
        <w:t>: Advisory approval of the compensation of our named executive officers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voting power of the shares of our common stock present virtually or represented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to properly hold an annual meeting of stockholders and conduct business under our amended and restated bylaws and Delaware law. The presence, virtually or represented by proxy, of a majority of the voting power of the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any time before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by:</w:t>
      </w:r>
    </w:p>
    <w:p>
      <w:pPr>
        <w:spacing w:after="0" w:line="9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Secretary of Zoom Communications, Inc., in writing received at the following address by the close of business on the business day immediately preceding the Annual Meeting, at Zoom Communications, Inc., 55 Almaden Blvd., 6th Floor, San Jose, California 95113; or</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virtual Annual Meeting (although attendance at the Annual Meeting will not, by itself, revoke a proxy).</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are a street name stockholder, your broker, bank or other nominee can provide you with instructions on how to change your vote.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Eric S. Yuan and Michelle Chang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May 1, 2025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online, by telephone, or by other means of communication. Our directors and employees will not be paid any additional compensation for soliciting proxies.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may my brokerage firm or other intermediary vote my shares if I fail to provide timely directions?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the sole “routine” matter being voted on at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Annual Meeting: the proposal to ratify the appointment of KPMG LLP as our independent registered public accounting firm for our fiscal year ending January 31, 2026. Your broker will not have discretion to vote on any other proposals, which are “non-routine” matters, absent direction from you.</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314"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Zoom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 Almaden Blvd., 6th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1-888-799-9666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investors@zoom.us</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306"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2026 annual meeting of stockholders, our Secretary must receive the written proposal at our principal executive offices not later than January 1,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Zoom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 Almaden Blvd., 6th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delivered timely written notice to our Secretary, which notice must contain the information specified in our amended and restated bylaws. To be timely for our 2026 annual meeting of stockholders, our Secretary must receive the written notice at our principal executive offices:</w:t>
      </w:r>
    </w:p>
    <w:p>
      <w:pPr>
        <w:spacing w:after="0" w:line="68"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12, 2026;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March 14, 2026.</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In the event that we hold the 2026 annual meeting of stockholders more than 30 days before or more than 70 days after the one-year anniversary of the Annual Meeting, notice of a stockholder proposal that is not intended to be included in our proxy statement must be received no earlier than the close of business on the 120th day before the 2026 annual meeting of stockholders and no later than the close of business on the later of the following two dates:</w:t>
      </w:r>
    </w:p>
    <w:p>
      <w:pPr>
        <w:spacing w:after="0" w:line="295"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the 2026 annual meeting of stockholders;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our 2026 annual meeting of stockholders is first made.</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Recommendations of Director Candidates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Holders of our common stock also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“Stockholder Proposals” for stockholder proposals that are not intended to be included in a proxy statement.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may contact our Secretary at the address set forth above for a copy of the relevant amended and restated bylaw provisions regarding the requirements for making stockholder proposals and nominating director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currently composed of ten members. Nine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spacing w:after="0" w:line="75"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names, ages as of March 31, 2025, and certain other information for each of the members of our Board of Directors with terms expiring at the Annual Meeting (three of whom are also nominees for election as a director at the Annual Meeting) and for each of the continuing members of our Board of Directors: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with Terms Expiring at the Annual</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3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20" w:type="dxa"/>
            <w:vAlign w:val="bottom"/>
          </w:tcPr>
          <w:p>
            <w:pPr>
              <w:spacing w:after="0"/>
              <w:rPr>
                <w:sz w:val="12"/>
                <w:szCs w:val="12"/>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For Which</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Meeting/Nominees</w:t>
            </w: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4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Michael Fenger</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6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83"/>
        </w:trPr>
        <w:tc>
          <w:tcPr>
            <w:tcW w:w="34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William R. McDermott</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83"/>
        </w:trPr>
        <w:tc>
          <w:tcPr>
            <w:tcW w:w="34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Janet Napolitano</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6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34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Santiago Subotovsky</w:t>
            </w:r>
            <w:r>
              <w:rPr>
                <w:rFonts w:ascii="Times New Roman" w:cs="Times New Roman" w:eastAsia="Times New Roman" w:hAnsi="Times New Roman"/>
                <w:sz w:val="29"/>
                <w:szCs w:val="29"/>
                <w:color w:val="auto"/>
                <w:vertAlign w:val="superscript"/>
              </w:rPr>
              <w:t>(2)(3)</w:t>
            </w:r>
          </w:p>
        </w:tc>
        <w:tc>
          <w:tcPr>
            <w:tcW w:w="1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2014</w:t>
            </w:r>
          </w:p>
        </w:tc>
        <w:tc>
          <w:tcPr>
            <w:tcW w:w="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c>
          <w:tcPr>
            <w:tcW w:w="10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2011</w:t>
            </w:r>
          </w:p>
        </w:tc>
        <w:tc>
          <w:tcPr>
            <w:tcW w:w="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 and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Board</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Gassner</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2015</w:t>
            </w:r>
          </w:p>
        </w:tc>
        <w:tc>
          <w:tcPr>
            <w:tcW w:w="6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34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Lieut. Gen. H.R. McMaster</w:t>
            </w:r>
            <w:r>
              <w:rPr>
                <w:rFonts w:ascii="Times New Roman" w:cs="Times New Roman" w:eastAsia="Times New Roman" w:hAnsi="Times New Roman"/>
                <w:sz w:val="29"/>
                <w:szCs w:val="29"/>
                <w:color w:val="auto"/>
                <w:vertAlign w:val="superscript"/>
              </w:rPr>
              <w:t>(3)(4)</w:t>
            </w:r>
          </w:p>
        </w:tc>
        <w:tc>
          <w:tcPr>
            <w:tcW w:w="10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34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Jonathan Chadwick</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6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34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Cindy Hoots</w:t>
            </w:r>
            <w:r>
              <w:rPr>
                <w:rFonts w:ascii="Times New Roman" w:cs="Times New Roman" w:eastAsia="Times New Roman" w:hAnsi="Times New Roman"/>
                <w:sz w:val="29"/>
                <w:szCs w:val="29"/>
                <w:color w:val="auto"/>
                <w:vertAlign w:val="superscript"/>
              </w:rPr>
              <w:t>(1)(4)</w:t>
            </w:r>
          </w:p>
        </w:tc>
        <w:tc>
          <w:tcPr>
            <w:tcW w:w="1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Dan Scheinman</w:t>
            </w:r>
            <w:r>
              <w:rPr>
                <w:rFonts w:ascii="Times New Roman" w:cs="Times New Roman" w:eastAsia="Times New Roman" w:hAnsi="Times New Roman"/>
                <w:sz w:val="25"/>
                <w:szCs w:val="25"/>
                <w:color w:val="auto"/>
                <w:vertAlign w:val="superscript"/>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w:t>
            </w:r>
          </w:p>
        </w:tc>
        <w:tc>
          <w:tcPr>
            <w:tcW w:w="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2013</w:t>
            </w:r>
          </w:p>
        </w:tc>
        <w:tc>
          <w:tcPr>
            <w:tcW w:w="6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Cybersecurity Risk Management Committee</w:t>
      </w:r>
    </w:p>
    <w:p>
      <w:pPr>
        <w:spacing w:after="0" w:line="42"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Nominating and Corporate Governance Committee determined not to nominate Ms. Napolitano for re-election at the Annual Meeting</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Michael Fenger</w:t>
      </w:r>
      <w:r>
        <w:rPr>
          <w:rFonts w:ascii="Times New Roman" w:cs="Times New Roman" w:eastAsia="Times New Roman" w:hAnsi="Times New Roman"/>
          <w:sz w:val="18"/>
          <w:szCs w:val="18"/>
          <w:color w:val="auto"/>
        </w:rPr>
        <w:t>. Mr. Fenger has served as a member of our Board of Directors since August 2024. Mr. Fenger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the Vice President, Worldwide Sales at Apple Inc. (“Apple”), a technology company, since 2019, and previously as its Vice President, Global iPhone Sales. Before joining Apple, he held senior positions at General Electric Company, a high-tech industrial conglomerate, and Motorola, Inc., a telecommunications company, where he helped develop and execute strategy for sales, operations, marketing, and supply chain management in the Americas, Europe, and Greater China. Mr. Fenger holds a BA in economics from Miami University.</w:t>
      </w:r>
    </w:p>
    <w:p>
      <w:pPr>
        <w:spacing w:after="0" w:line="7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believe Mr. Fenger is qualified to serve as a member of our Board of Directors because of his extensive leadership experience in public companies in the technology sector.</w:t>
      </w:r>
    </w:p>
    <w:p>
      <w:pPr>
        <w:spacing w:after="0" w:line="5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William R. McDermott</w:t>
      </w:r>
      <w:r>
        <w:rPr>
          <w:rFonts w:ascii="Times New Roman" w:cs="Times New Roman" w:eastAsia="Times New Roman" w:hAnsi="Times New Roman"/>
          <w:sz w:val="18"/>
          <w:szCs w:val="18"/>
          <w:color w:val="auto"/>
        </w:rPr>
        <w:t>. Mr. McDermott has served as a member of our Board of Directors since March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McDermott has served as the Chief Executive Officer and a member of the board of directors of ServiceNow since November 2019 and was appointed Chairman of ServiceNow’s board of directors in October 2022. From 2010 through 2014, Mr. McDermott served as Co-Chief Executive Officer, and from 2014 until October 2019, as sole Chief Executive Officer, of SAP SE (“SAP”), a multinational software company providing enterprise software. Mr. McDermott joined SAP in 2002 as Chief Executive Officer of SAP America, Inc., and served on the SAP Executive Board from 2008 until October 2019. Prior to joining SAP, Mr. McDermott served as Executive Vice President of Worldwide Sales and Operations at Siebel Systems, Inc. from 2001 to 2002 and served as President of Gartner, Inc. from 2000 to 2001. Mr. McDermott previously served on the boards of directors of Fisker Inc., 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automotive technology company, Under Armour, Inc., a sporting goods company, ANSYS, Inc., a provider of engineering and simulation software and technologies, and SecureWorks Corp., a provider of intelligence-driven information security solutions. Mr. McDermott holds a B.A. in business management from Dowling College and an M.B.A from Northwestern University’s Kellogg School of Management, and has completed the Executive Development Program at the Wharton School of Business.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believe Mr. McDermott is qualified to serve as a member of our Board of Directors because of his significant expertise as a Chief Executive Officer in the technology industry and service on the boards of directors of various public companies.</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Santiago Subotovsky</w:t>
      </w:r>
      <w:r>
        <w:rPr>
          <w:rFonts w:ascii="Times New Roman" w:cs="Times New Roman" w:eastAsia="Times New Roman" w:hAnsi="Times New Roman"/>
          <w:sz w:val="18"/>
          <w:szCs w:val="18"/>
          <w:color w:val="auto"/>
        </w:rPr>
        <w:t>. Mr. Subotovsky has served as a member of our Board of Directors since December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Subotovsky is a General Partner at Emergence Capital, a venture capital firm, and has been with that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7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believe Mr. Subotovsky is qualified to serve on our Board of Directors because of his market knowledge and his experience serving as a director of various private companies.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Eric S. Yuan</w:t>
      </w:r>
      <w:r>
        <w:rPr>
          <w:rFonts w:ascii="Times New Roman" w:cs="Times New Roman" w:eastAsia="Times New Roman" w:hAnsi="Times New Roman"/>
          <w:sz w:val="18"/>
          <w:szCs w:val="18"/>
          <w:color w:val="auto"/>
        </w:rPr>
        <w:t>. Mr. Yuan is the founder of our Company and has served as the Chairman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President and Chief Executive Officer since June 2011. From May 2007 to June 2011, Mr. Yuan served as Corporate Vice President of Engineering at Cisco. Mr. Yuan served in various roles, most recently as Vice President of Engineering, at WebEx Communications, Inc. (“WebEx”), an internet company, from August 1997 until its acquisition by Cisco in May 2007. Mr. Yuan currently serves on the board of directors of Intuit, Inc., a financial software company. Mr. Yuan holds a Bachelor’s degree in Applied Math from Shandong University of Science &amp; Technology and a Master’s degree in engineering from China University of Mining &amp; Technology.</w:t>
      </w:r>
    </w:p>
    <w:p>
      <w:pPr>
        <w:spacing w:after="0" w:line="7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Mr. Yuan was selected to serve on our Board of Directors because of the perspective and experience he brings as our founder, as well as his extensive experience with technology companies.</w:t>
      </w:r>
    </w:p>
    <w:p>
      <w:pPr>
        <w:spacing w:after="0" w:line="5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Peter Gassner</w:t>
      </w:r>
      <w:r>
        <w:rPr>
          <w:rFonts w:ascii="Times New Roman" w:cs="Times New Roman" w:eastAsia="Times New Roman" w:hAnsi="Times New Roman"/>
          <w:sz w:val="18"/>
          <w:szCs w:val="18"/>
          <w:color w:val="auto"/>
        </w:rPr>
        <w:t>. Mr. Gassner has served as a member of our Board of Directors since October 2015.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2007, Mr. Gassner has served as Chief Executive Officer and a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previously served on the board of directors of Guidewire Software, Inc., a software publisher. Mr. Gassner holds a B.S. in Computer Science from Oregon State University.</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Lieut. Gen. H.R. McMaster, U.S. Army, retired</w:t>
      </w:r>
      <w:r>
        <w:rPr>
          <w:rFonts w:ascii="Times New Roman" w:cs="Times New Roman" w:eastAsia="Times New Roman" w:hAnsi="Times New Roman"/>
          <w:sz w:val="18"/>
          <w:szCs w:val="18"/>
          <w:color w:val="auto"/>
        </w:rPr>
        <w:t>. General McMaster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May 2020. Since 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34 years until his retirement in June 2018. From February 2017 to April 2018, General McMaster was the 26th Assistant to the President for National Security Affairs. He previously served on the board of NRx Pharmaceuticals, Inc. General McMaster holds a B.S. from the United States Military Academy at West Point and a M.A. and Ph.D. in History from the University of North Carolina at Chapel Hill.</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believe General McMaster is qualified to serve as a member of our Board of Directors because of his significant experience in leading large organizations, his knowledge of foreign affairs, and his expertise in strategic assessment and planning.</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Jonathan Chadwick</w:t>
      </w:r>
      <w:r>
        <w:rPr>
          <w:rFonts w:ascii="Times New Roman" w:cs="Times New Roman" w:eastAsia="Times New Roman" w:hAnsi="Times New Roman"/>
          <w:sz w:val="18"/>
          <w:szCs w:val="18"/>
          <w:color w:val="auto"/>
        </w:rPr>
        <w:t>. Mr. Chadwick has served as a member of our Board of Directors since September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April 2016, Mr. Chadwick has been a private investor. From November 2012 to April 2016, Mr. Chadwick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from October 2011 until November 2012, as a Corporate Vice President of Microsoft Corporation, a technology company, after its acquisition of Skype Communication S.a.r.l.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(“Cisco”), a multinational technology company. He also worked for Coopers &amp; Lybrand, an accounting firm (now PricewaterhouseCoopers) in various roles in the United States and United Kingdom. He currently serves on the boards of directors of ServiceNow, Inc. (“ServiceNow”), a digital workflow company, Confluent, Inc., a data infrastructure company, Samsara Inc., an IoT software company, and various private companies. He previously served on the board of directors of Elastic N.V., a search and data analysis company, Cognizant Technology Solutions Corporation, an IT business services provider, and F5 Networks, Inc., an application networking delivery company. Mr. Chadwick qualified as a Chartered Accountant in England and holds a B.Sc. degree in Electrical and Electronic Engineering from the University of Bath.</w:t>
      </w:r>
    </w:p>
    <w:p>
      <w:pPr>
        <w:spacing w:after="0" w:line="88"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3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Cindy Hoots</w:t>
      </w:r>
      <w:r>
        <w:rPr>
          <w:rFonts w:ascii="Times New Roman" w:cs="Times New Roman" w:eastAsia="Times New Roman" w:hAnsi="Times New Roman"/>
          <w:sz w:val="18"/>
          <w:szCs w:val="18"/>
          <w:color w:val="auto"/>
        </w:rPr>
        <w:t>. Ms. Hoots has served as a member of our Board of Directors since January 2023. Ms. Hoots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Digital Officer and Chief Information Officer at AstraZeneca PLC, a pharmaceutical company, since January 2020. From January 2018 to December 2019, she served as Global Vice President of Technology of Unilever PLC, a multinational consumer goods company. Prior to joining Unilever, Ms. Hoots served as Vice President of Next Generation Products, Commercial and Digital Transformation at British American Tobacco plc, a multinational tobacco manufacturing company, from 2016 to 2018. Ms. Hoots holds a B.S. in computer information systems from DeVry Institute of Technology.</w:t>
      </w:r>
    </w:p>
    <w:p>
      <w:pPr>
        <w:spacing w:after="0" w:line="7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believe Ms. Hoots is qualified to serve as a member of our Board of Directors because of her significant cybersecurity and technology expertise.</w:t>
      </w:r>
    </w:p>
    <w:p>
      <w:pPr>
        <w:spacing w:after="0" w:line="5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Dan Scheinman</w:t>
      </w:r>
      <w:r>
        <w:rPr>
          <w:rFonts w:ascii="Times New Roman" w:cs="Times New Roman" w:eastAsia="Times New Roman" w:hAnsi="Times New Roman"/>
          <w:sz w:val="18"/>
          <w:szCs w:val="18"/>
          <w:color w:val="auto"/>
        </w:rPr>
        <w:t>. Mr. Scheinman has served as a member of our Board of Directors since January 2013.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2011, Mr. Scheinman has been an angel investor. From January 1997 to April 2011, Mr. Scheinman served in various roles at Cisco, most recently as Senior Vice President, Cisco Media Solutions Group. He currently serves on the boards of directors of Arista Networks, Inc., a cloud networking company, SentinelOne, Inc., a cybersecurity company, and several private companies. Mr. Scheinman holds a B.A. degree in Politics from Brandeis University and a J.D. from the Duke University School of Law.</w:t>
      </w:r>
    </w:p>
    <w:p>
      <w:pPr>
        <w:spacing w:after="0" w:line="7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believe Mr. Scheinman is qualified to serve as a member of our Board of Directors because of his significant knowledge of our Company and the technology industry.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listing standards of The Nasdaq Stock Market, independent directors must comprise a majority of a listed company’s board of directors. In addition, the Nasdaq rules require that, subject to specified exceptions, each member of a listed company’s audit, compensation, and nominating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Mses. Hoots and Napolitano, General McMaster, and each of Messrs. Chadwick, Fenger, Gassner, McDermott, Scheinman, and Subotovsky do not have a relationship with the company that would interfere with the exercise of independent judgment in carrying out the responsibilities of a director, and that each of these directors is “independent” as that term is defined under the applicable rules and regulations of the SEC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“Certain Relationships and Related Party Transactions.”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Eric S. Yuan currently serves as both the Chairman of our Board of Directors and as our Chief Executive Officer. Our independent directors, led by our Lead Independent Director,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coordinates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and Stockholder Meetings and Committees</w:t>
      </w:r>
    </w:p>
    <w:p>
      <w:pPr>
        <w:spacing w:after="0" w:line="121"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During our fiscal year ended January 31, 2025, our Board of Directors held four meetings (including regularly scheduled and special meetings), and each incumbent director attended at least 75% of the aggregate of (i) the total number of meetings of our Board of Directors held during the period for which he or she has been a director and</w:t>
      </w:r>
    </w:p>
    <w:p>
      <w:pPr>
        <w:spacing w:after="0" w:line="1" w:lineRule="exact"/>
        <w:rPr>
          <w:sz w:val="20"/>
          <w:szCs w:val="20"/>
          <w:color w:val="auto"/>
        </w:rPr>
      </w:pPr>
    </w:p>
    <w:p>
      <w:pPr>
        <w:ind w:left="300" w:right="319" w:hanging="8"/>
        <w:spacing w:after="0" w:line="260" w:lineRule="auto"/>
        <w:tabs>
          <w:tab w:leader="none" w:pos="5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of our Board of Directors on which he or she served during the periods that he or she served.</w:t>
      </w:r>
    </w:p>
    <w:p>
      <w:pPr>
        <w:spacing w:after="0" w:line="73"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encourage our directors to attend our annual meeting of stockholders. Five of our nine then-serving directors attended the annual meeting of stockholders in 2024. The four directors who were unable to attend had pre-existing scheduling conflicts.</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Cybersecurity Risk Management Committee. The composition and responsibilities of each of the committees of our Board of Directors is described below. Members will serve on these committees until their resignation or until otherwise determined by our Board of Directors.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Messrs. Chadwick and Scheinman and Ms. Hoots.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director who served on our Audit Committee during fiscal year 2025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to be performed by the independent registered public accounting firm.</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2025, our Audit Committee held four meetings.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Messrs. McDermott, Scheinman and Subotovsky. The chair of our Compensation Committee is Mr. Scheinman. Our Board of Directors has determined that each member of the Compensation Committee is independent, under the listing standards of The Nasdaq Stock Market, and each member of the Compensation Committee is a “non-employee director” as defined in Rule 16b-3 promulgated under the Exchange Act.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72"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2025, our Compensation Committee held four meetings.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Fenger, General McMaster and Mr. Subotovsky.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17"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related matters;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Company’s practices and initiatives with respect to environmental, social and governance (“ESG”) matters expected to have a significant impact on our Company’s performance, business activities or reputation;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Company’s succession planning process for our Chief Executive Officer and other members our executive management team, and assisting our Board of Directors in evaluating potential successors for these roles.</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The Nasdaq Stock Market. A copy of the charter of our Nominating and Corporate Governance Committee is available on our website at https://investors.zoom.us/corporate-governance. During our fiscal year ended January 31, 2025, our Nominating and Corporate Governance Committee held four meetings.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Committee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Committee consists of Ms. Hoots, General McMaster and Ms. Napolitano. The chair of our Cybersecurity Risk Management Committee is Ms. Hoots.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Cybersecurity Risk Management Committee include:</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effectiveness of our policies and procedures with respect to our information technology and network systems, including encryption, network security and data security, as well as access to such systems;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on our policies and procedures in preparation for responding to any data security incidents;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of internal and external risks related to our information technology systems and processes, including encryption, network security, data security, risk management frameworks, and any internal or third-party audits of such systems and processes.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copy of the charter of our Cybersecurity Risk Management Committee is available on our website at https://investors.zoom.us/corporate-governance. During our fiscal year ended January 31, 2025, our Cybersecurity Risk Management Committee held four meetings.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mentioned above, our Compensation Committee consists of Messrs. McDermott, Scheinman and Subotovsky and no other person served as a member of our Compensation Committee during the year ended January 31, 2025. 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it should be a diverse body, and our Nominating and Corporate Governance Committee considers a broad range of backgrounds and experiences. As set forth in our Corporate Governance Guidelines, in making determinations regarding nominations of directors, our Nominating and Corporate Governance Committee considers, among other factors, diversity of personal background, professional experience, education, skills, and other individual qualities and attributes that contribute to the total mix of viewpoints and experience represented on the Board.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 Where a third-party search firm is engaged and requested to furnish a list of possible director candidates to us, such firm will be instructed to include a diverse slate of candidates.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Chief Legal Officer or our Legal Department in writing at Zoom Communications, Inc., 55 Almaden Blvd., 6th Floor, San Jose, California 95113.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spacing w:after="0" w:line="8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nominate directors for election at an annual meeting of stockholders. Any nomination must comply with the requirements set forth in our amended and restated bylaws. See “Questions and Answers About These Proxy Materials and Voting—What is the deadline to propose actions for consideration at next year’s annual meeting of stockholders or to nominate individuals to serve as directors?” above for more information.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Chief Legal Officer at Zoom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Chief Legal Officer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https://investors.zoom.us/corporate-governance. We will post amendments to our Code of Business Conduct and Ethics or waivers of our Code of Business Conduct and Ethics for directors and executive officers on the same website.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 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at such other times as they deem appropriate.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Committee and our Board of Directors address the primary cybersecurity risks associated with our business. Our Cybersecurity Risk Management Committee assists our Board of Directors in fulfilling its oversight responsibility.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Cybersecurity Risk Management Committee actively engages in such activities as (i) considering input from the Zoom cybersecurity team and others to better understand the threats to the security of Zoom’s services and their impact on Zoom’s business and</w:t>
      </w:r>
    </w:p>
    <w:p>
      <w:pPr>
        <w:spacing w:after="0" w:line="1" w:lineRule="exact"/>
        <w:rPr>
          <w:sz w:val="20"/>
          <w:szCs w:val="20"/>
          <w:color w:val="auto"/>
        </w:rPr>
      </w:pPr>
    </w:p>
    <w:p>
      <w:pPr>
        <w:jc w:val="both"/>
        <w:ind w:left="300" w:right="299" w:hanging="8"/>
        <w:spacing w:after="0" w:line="253" w:lineRule="auto"/>
        <w:tabs>
          <w:tab w:leader="none" w:pos="5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methods for validating the effectiveness of Zoom’s cybersecurity efforts. In particular, our Chief Information Security Officer provides regular briefings to our senior management and our Cybersecurity Risk Management Committee concerning relevant cybersecurity risks and the processes we have implemented to address them. Our Cybersecurity Risk Management Committee, and our Board of Directors also receive various reports, summaries, and presentations related to cybersecurity threats, risks, and mitigations.</w:t>
      </w:r>
    </w:p>
    <w:p>
      <w:pPr>
        <w:spacing w:after="0" w:line="7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compliance related risks. In addition, among other matters, management provides our Audit Committee periodic reports on our compliance programs and investment policy and practices.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January 31, 2025. In addition, it is the Company’s intent to comply with applicable laws and regulations relating to insider trading.</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Prohibition on Hedging, Short Sales and Pledging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and agents (such as consultants and independent contractors) from engaging in 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 Further, our insider trading policy provides that our directors and executive officers may only trade in our securities through a 10b5-1 trading plan.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Environmental, social and governance (“ESG”) considerations are woven throughout our business and we are committed to maintaining a strong sustainability and ESG program and providing transparent disclosures of our initiatives. The Nominating and Corporate Governance Committee has oversight of our practices and initiatives with respect to ESG matters expected to have a significant impact on the business. The sustainability and ESG program reports into Compliance and Ethics within the Legal organization, and focuses on customer engagement, reporting and disclosure and operational execution. We plan to release our fiscal year 2025 Impact Report, which aligns with the Sustainability Accounting Standards Board (SASB) reporting standards, and will include information regarding our ESG initiatives and policies, our environmental performance, governance practices, and our customer and our community engagement. This report, along with further information about our ESG initiatives and policies, will be available on our website. Content available on our website is not incorporated herein and is not part of this proxy statement.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maintain a Non-Employee Director Compensation Policy that provides for cash and equity compensation to directors who are not also serving as an employee or consultant to us (each an “Eligible Director”). The Non-Employee Director Compensation Policy was originally approved by our Board of Directors and effective in May 2019. Our Compensation Committee and Board of Directors periodically review the compensation for our Eligible Directors, with the assistance of their independent compensation consultant, Aon’s Human Capital Solutions practice (formerly known as Radford), a division of Aon plc (“Aon”), including by reference to the peer group of companies used for executive compensation purposes and general trends and best practices in our industry for director compensation. When updating the Non-Employee Director Compensation Policy, our Compensation Committee and Board of Directors carefully consider market data analysis and recommendations from Aon, as well as the increased demands on, and time commitment required by, our directors.</w:t>
      </w:r>
    </w:p>
    <w:p>
      <w:pPr>
        <w:spacing w:after="0" w:line="8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current Non-Employee Director Compensation Policy (which was also effective for fiscal 2025) is described below.</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Annual Cash Compensation</w:t>
      </w:r>
    </w:p>
    <w:p>
      <w:pPr>
        <w:spacing w:after="0" w:line="117"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Service Retainer: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$45,000</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or Lead Independent Director (in lieu of above): $65,000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Member Service Retainer: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$12,500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360" w:hanging="348"/>
        <w:spacing w:after="0"/>
        <w:tabs>
          <w:tab w:leader="none" w:pos="2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$10,000</w:t>
      </w:r>
    </w:p>
    <w:p>
      <w:pPr>
        <w:spacing w:after="0" w:line="117" w:lineRule="exact"/>
        <w:rPr>
          <w:rFonts w:ascii="Times New Roman" w:cs="Times New Roman" w:eastAsia="Times New Roman" w:hAnsi="Times New Roman"/>
          <w:sz w:val="18"/>
          <w:szCs w:val="18"/>
          <w:color w:val="auto"/>
        </w:rPr>
      </w:pPr>
    </w:p>
    <w:p>
      <w:pPr>
        <w:ind w:left="2360" w:hanging="348"/>
        <w:spacing w:after="0"/>
        <w:tabs>
          <w:tab w:leader="none" w:pos="2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117" w:lineRule="exact"/>
        <w:rPr>
          <w:rFonts w:ascii="Times New Roman" w:cs="Times New Roman" w:eastAsia="Times New Roman" w:hAnsi="Times New Roman"/>
          <w:sz w:val="18"/>
          <w:szCs w:val="18"/>
          <w:color w:val="auto"/>
        </w:rPr>
      </w:pPr>
    </w:p>
    <w:p>
      <w:pPr>
        <w:ind w:left="2360" w:hanging="348"/>
        <w:spacing w:after="0"/>
        <w:tabs>
          <w:tab w:leader="none" w:pos="2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Cybersecurity Risk Management Committee: $10,000</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Service Retainer (in lieu of Committee Member Service Retainer):</w:t>
      </w:r>
    </w:p>
    <w:p>
      <w:pPr>
        <w:spacing w:after="0" w:line="117" w:lineRule="exact"/>
        <w:rPr>
          <w:rFonts w:ascii="Times New Roman" w:cs="Times New Roman" w:eastAsia="Times New Roman" w:hAnsi="Times New Roman"/>
          <w:sz w:val="18"/>
          <w:szCs w:val="18"/>
          <w:color w:val="auto"/>
        </w:rPr>
      </w:pPr>
    </w:p>
    <w:p>
      <w:pPr>
        <w:ind w:left="2360" w:hanging="348"/>
        <w:spacing w:after="0"/>
        <w:tabs>
          <w:tab w:leader="none" w:pos="2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$27,500</w:t>
      </w:r>
    </w:p>
    <w:p>
      <w:pPr>
        <w:spacing w:after="0" w:line="117" w:lineRule="exact"/>
        <w:rPr>
          <w:rFonts w:ascii="Times New Roman" w:cs="Times New Roman" w:eastAsia="Times New Roman" w:hAnsi="Times New Roman"/>
          <w:sz w:val="18"/>
          <w:szCs w:val="18"/>
          <w:color w:val="auto"/>
        </w:rPr>
      </w:pPr>
    </w:p>
    <w:p>
      <w:pPr>
        <w:ind w:left="2360" w:hanging="348"/>
        <w:spacing w:after="0"/>
        <w:tabs>
          <w:tab w:leader="none" w:pos="2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$20,000</w:t>
      </w:r>
    </w:p>
    <w:p>
      <w:pPr>
        <w:spacing w:after="0" w:line="117" w:lineRule="exact"/>
        <w:rPr>
          <w:rFonts w:ascii="Times New Roman" w:cs="Times New Roman" w:eastAsia="Times New Roman" w:hAnsi="Times New Roman"/>
          <w:sz w:val="18"/>
          <w:szCs w:val="18"/>
          <w:color w:val="auto"/>
        </w:rPr>
      </w:pPr>
    </w:p>
    <w:p>
      <w:pPr>
        <w:ind w:left="2360" w:hanging="348"/>
        <w:spacing w:after="0"/>
        <w:tabs>
          <w:tab w:leader="none" w:pos="2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$10,000</w:t>
      </w:r>
    </w:p>
    <w:p>
      <w:pPr>
        <w:spacing w:after="0" w:line="117" w:lineRule="exact"/>
        <w:rPr>
          <w:rFonts w:ascii="Times New Roman" w:cs="Times New Roman" w:eastAsia="Times New Roman" w:hAnsi="Times New Roman"/>
          <w:sz w:val="18"/>
          <w:szCs w:val="18"/>
          <w:color w:val="auto"/>
        </w:rPr>
      </w:pPr>
    </w:p>
    <w:p>
      <w:pPr>
        <w:ind w:left="2360" w:hanging="348"/>
        <w:spacing w:after="0"/>
        <w:tabs>
          <w:tab w:leader="none" w:pos="2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Cybersecurity Risk Management Committee: $20,000</w:t>
      </w:r>
    </w:p>
    <w:p>
      <w:pPr>
        <w:spacing w:after="0" w:line="1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117"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Under the Non-Employee Director Compensation Policy terms in place for fiscal 2025, each Eligible Director is eligible to receive a restricted stock unit (“RSU”) calculated based on a grant value of $275,000 (the “Target RSU”). The RSU is automatically granted to each Eligible Director at the following times and is pro-rated as described below. All of the RSUs granted under the Non-Employee Director Compensation Policy are granted under the 2019 Equity Incentive Plan (the “2019 Plan”).</w:t>
      </w:r>
    </w:p>
    <w:p>
      <w:pPr>
        <w:spacing w:after="0" w:line="73"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Initial Appointment: </w:t>
      </w:r>
      <w:r>
        <w:rPr>
          <w:rFonts w:ascii="Times New Roman" w:cs="Times New Roman" w:eastAsia="Times New Roman" w:hAnsi="Times New Roman"/>
          <w:sz w:val="18"/>
          <w:szCs w:val="18"/>
          <w:color w:val="auto"/>
        </w:rPr>
        <w:t>At the time an Eligible Director is first elected or appointed to the Board of Directors,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such Eligible Director’s initial election or appointment to the Board (the “Eligibility Date”), such Eligible Director receives the Target RSU (the “Initial Grant”), pro-rated by the percentage (not to exceed 100%) obtained by dividing the total number of expected calendar days remaining until the first annual meeting of the Company’s stockholders (the “annual meeting”) occurring after the Eligibility Date by 365. The Initial Grant fully vests as of the day immediately preceding the first annual meeting date (or, if sooner, the one-year anniversary of the grant date of the Initial Grant), subject to the Eligible Director’s continuous service (as defined in the 2019 Plan) through each such applicable vesting date. If an Eligible Director is first elected or appointed to the Board of Directors on the date of an annual meeting, such Eligible Director receives the Annual Grant (defined below) instead of an Initial Grant.</w:t>
      </w:r>
    </w:p>
    <w:p>
      <w:pPr>
        <w:spacing w:after="0" w:line="80"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Re-Election: </w:t>
      </w:r>
      <w:r>
        <w:rPr>
          <w:rFonts w:ascii="Times New Roman" w:cs="Times New Roman" w:eastAsia="Times New Roman" w:hAnsi="Times New Roman"/>
          <w:sz w:val="18"/>
          <w:szCs w:val="18"/>
          <w:color w:val="auto"/>
        </w:rPr>
        <w:t>On the date of each of our annual meetings of stockholders, commencing on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date as described below, each Eligible Director who is (i) nominated at such annual meeting to be re-elected to the Board of Directors to serve a three-year term and (ii) continues to serve as a non-employee member of the Board of Directors following such annual meeting is granted the Target RSUs (each, an “Annual Grant”).</w:t>
      </w:r>
    </w:p>
    <w:p>
      <w:pPr>
        <w:spacing w:after="0" w:line="7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All RSUs granted pursuant to the Non-Employee Director Compensation Policy will accelerate and vest in full upon (i) the Eligible Director’s death or disability (as defined in the 2019 Plan) or (ii) a change in control (as defined in the 2019 Plan), subject to the Eligible Director’s continuous service through such date.</w:t>
      </w:r>
    </w:p>
    <w:p>
      <w:pPr>
        <w:spacing w:after="0" w:line="68"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The number of shares underlying each RSU granted under the Non-Employee Director Compensation Policy is determined by dividing the applicable grant value for such RSU (as pro-rated if applicable) by a 60-trading day trailing average closing stock price of our Class A common stock. The Compensation Committee uses the 60-trading day trailing average closing price, rather than a single day stock price on the date of grant, in order to provide a more stabilized stock value less susceptible to possible swings in the market. The Compensation Committee understands that this process can result in the ultimate grant date value of an award as required to be reported in the Director Compensation Table under Financial Accounting Standard Board ASC Topic 718 (“ASC 718”) being higher or lower than the Target RSU value, but has considered, in consultation with Aon, various approaches to granting equity awards, each of which have advantages and disadvantages, and determined that the process described above is the most appropriate for Zoom at this time.</w:t>
      </w:r>
    </w:p>
    <w:p>
      <w:pPr>
        <w:spacing w:after="0" w:line="2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Non-Employee Director Compensation for Fiscal Year 2025</w:t>
      </w:r>
    </w:p>
    <w:p>
      <w:pPr>
        <w:spacing w:after="0" w:line="119"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that was earned by each of our non-employee directors in our fiscal year ended January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0" w:type="dxa"/>
            <w:vAlign w:val="bottom"/>
          </w:tcPr>
          <w:p>
            <w:pPr>
              <w:spacing w:after="0"/>
              <w:rPr>
                <w:sz w:val="13"/>
                <w:szCs w:val="13"/>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6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ind w:right="116"/>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(1)(3)</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Chadwick</w:t>
            </w:r>
          </w:p>
        </w:tc>
        <w:tc>
          <w:tcPr>
            <w:tcW w:w="28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72,500</w:t>
            </w:r>
          </w:p>
        </w:tc>
        <w:tc>
          <w:tcPr>
            <w:tcW w:w="98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252,676</w:t>
            </w:r>
          </w:p>
        </w:tc>
        <w:tc>
          <w:tcPr>
            <w:tcW w:w="7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325,176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20" w:name="page21"/>
    <w:bookmarkEnd w:id="2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540" w:type="dxa"/>
            <w:vAlign w:val="bottom"/>
            <w:tcBorders>
              <w:top w:val="single" w:sz="8" w:color="0000EE"/>
            </w:tcBorders>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0" w:type="dxa"/>
            <w:vAlign w:val="bottom"/>
          </w:tcPr>
          <w:p>
            <w:pPr>
              <w:spacing w:after="0"/>
              <w:rPr>
                <w:sz w:val="24"/>
                <w:szCs w:val="24"/>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4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(1)(3)</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90"/>
        </w:trPr>
        <w:tc>
          <w:tcPr>
            <w:tcW w:w="560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Michael Fenger</w:t>
            </w:r>
            <w:r>
              <w:rPr>
                <w:rFonts w:ascii="Times New Roman" w:cs="Times New Roman" w:eastAsia="Times New Roman" w:hAnsi="Times New Roman"/>
                <w:sz w:val="29"/>
                <w:szCs w:val="29"/>
                <w:color w:val="auto"/>
                <w:vertAlign w:val="superscript"/>
              </w:rPr>
              <w:t>(2)</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22,011</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262,183</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284,194</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Gassner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45,000</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297,676</w:t>
            </w:r>
          </w:p>
        </w:tc>
        <w:tc>
          <w:tcPr>
            <w:tcW w:w="0" w:type="dxa"/>
            <w:vAlign w:val="bottom"/>
          </w:tcPr>
          <w:p>
            <w:pPr>
              <w:spacing w:after="0"/>
              <w:rPr>
                <w:sz w:val="1"/>
                <w:szCs w:val="1"/>
                <w:color w:val="auto"/>
              </w:rPr>
            </w:pPr>
          </w:p>
        </w:tc>
      </w:tr>
      <w:tr>
        <w:trPr>
          <w:trHeight w:val="247"/>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Cindy Hoots</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77,500</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330,176</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R. McDermott</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55,000</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307,676</w:t>
            </w:r>
          </w:p>
        </w:tc>
        <w:tc>
          <w:tcPr>
            <w:tcW w:w="0" w:type="dxa"/>
            <w:vAlign w:val="bottom"/>
          </w:tcPr>
          <w:p>
            <w:pPr>
              <w:spacing w:after="0"/>
              <w:rPr>
                <w:sz w:val="1"/>
                <w:szCs w:val="1"/>
                <w:color w:val="auto"/>
              </w:rPr>
            </w:pPr>
          </w:p>
        </w:tc>
      </w:tr>
      <w:tr>
        <w:trPr>
          <w:trHeight w:val="247"/>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Lieut. Gen. H.R. McMaster</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60,000</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312,676</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Janet Napolitano</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55,000</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307,676</w:t>
            </w:r>
          </w:p>
        </w:tc>
        <w:tc>
          <w:tcPr>
            <w:tcW w:w="0" w:type="dxa"/>
            <w:vAlign w:val="bottom"/>
          </w:tcPr>
          <w:p>
            <w:pPr>
              <w:spacing w:after="0"/>
              <w:rPr>
                <w:sz w:val="1"/>
                <w:szCs w:val="1"/>
                <w:color w:val="auto"/>
              </w:rPr>
            </w:pPr>
          </w:p>
        </w:tc>
      </w:tr>
      <w:tr>
        <w:trPr>
          <w:trHeight w:val="247"/>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Scheinman</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97,500</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350,176</w:t>
            </w: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Santiago Subotovsky</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65,000</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252,676</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317,676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211455</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7" w:lineRule="exact"/>
        <w:rPr>
          <w:sz w:val="20"/>
          <w:szCs w:val="20"/>
          <w:color w:val="auto"/>
        </w:rPr>
      </w:pPr>
    </w:p>
    <w:p>
      <w:pPr>
        <w:jc w:val="both"/>
        <w:ind w:left="640" w:right="299" w:hanging="348"/>
        <w:spacing w:after="0" w:line="228"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grant date fair value of RSUs granted to our directors during the fiscal year ended January 31, 2025 under our 2019 Plan, computed in accordance with ASC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2025. This amount does not reflect the actual economic value that may be realized by the non-employee director. Each of the RSUs reflected in the table above, with the exception of Mr. Fenger’s RSUs, represent the Annual Grant granted to each relevant director on the date of our 2024 annual meeting of stockholders pursuant to our Non-Employee Director Compensation Policy. Mr. Fenger’s RSUs represent the Initial Grant granted to him pursuant to our Non-Employee Director Compensation Policy following the date of his appointment to our Board in August 2024.</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Fenger was appointed to our Board in August 2024.</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information on the aggregate number of shares of our Class A common stock underlying outstanding and unexercised stock options and unvested RSUs held by our non-employee directors as of January 31, 2025:</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0" w:type="dxa"/>
            <w:vAlign w:val="bottom"/>
          </w:tcPr>
          <w:p>
            <w:pPr>
              <w:spacing w:after="0"/>
              <w:rPr>
                <w:sz w:val="1"/>
                <w:szCs w:val="1"/>
                <w:color w:val="auto"/>
              </w:rPr>
            </w:pPr>
          </w:p>
        </w:tc>
      </w:tr>
      <w:tr>
        <w:trPr>
          <w:trHeight w:val="149"/>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Chadwick</w:t>
            </w:r>
          </w:p>
        </w:tc>
        <w:tc>
          <w:tcPr>
            <w:tcW w:w="12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Michael Fenger</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3,738</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Gassner</w:t>
            </w:r>
          </w:p>
        </w:tc>
        <w:tc>
          <w:tcPr>
            <w:tcW w:w="12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Cindy Hoots</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 McDermott</w:t>
            </w:r>
          </w:p>
        </w:tc>
        <w:tc>
          <w:tcPr>
            <w:tcW w:w="12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Lieut. Gen. H.R. McMaster</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Napolitano</w:t>
            </w:r>
          </w:p>
        </w:tc>
        <w:tc>
          <w:tcPr>
            <w:tcW w:w="12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Dan Scheinman</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Subotovsky</w:t>
            </w:r>
          </w:p>
        </w:tc>
        <w:tc>
          <w:tcPr>
            <w:tcW w:w="12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4,361</w:t>
            </w: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Mr. Yuan, our Chief Executive Officer, is also a director but does not receive any additional compensation for his service as a director. See the section titled “Executive Compensation” for additional information about the compensation paid to Mr. Yuan.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ten members. In accordance with our amended and restated certificate of incorporation, our Board of Directors is divided into three staggered classes of directors. At the Annual Meeting, three Class III directors will be elected for a three-year term to succeed the same class whose term is then expiring.</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such director’s earlier death, resignation or removal. This classification of our Board of Directors may have the effect of delaying or preventing changes in control of our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There are currently four directors in Class III, Michael Fenger, William R. McDermott, Santiago Subotovsky, and Janet Napolitano, all of whose terms of office are set to expire at the Annual Meeting. Our Nominating and Corporate Governance Committee recommended, and our Board of Directors nominated, Michael Fenger, William R. McDermott, and Santiago Subotovsky for re-election to our Board of Directors at the Annual Meeting, but our Nominating and Corporate Governance Committee did not recommend, and our Board of Directors did not nominate, Ms. Napolitano for re-election. Our Board of Directors approved a reduction in the number of directors constituting the full Board of Directors from ten to nine, effective immediately prior to the Annual Meeting.</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elected, each of Messrs. Fenger, McDermott and Subotovsky will serve as Class III directors until our 2028 annual meeting of stockholders and until their successors are duly elected and qualified. Each of the nominees is currently a director of our Company. Mr. Fenger has not previously been elected by our stockholders. Mr. Fenger was among various candidates recommended from the professional networks of our Board of Directors and management. After performing further evaluation of Mr. Fenger’s particular experience, qualifications, attributes, and skills, the Nominating and Corporate Governance Committee recommended him for election to the Board. For information concerning the nominees, please see the section titled “Board of Directors and Corporate Governance.”</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or vote by telephone or over the Internet but do not give instructions with respect to the voting of directors, your shares will be voted “For” the election of Michael Fenger, William R. McDermott, and Santiago Subotovsky. Each person nominated for election has agreed to serve if elected, and our management has no reason to believe that any nominee will be unable to serve;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OF THE NOMINEES NAMED ABOVE.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KPMG LLP (“KPMG”), independent registered public accountants, to audit our consolidated financial statements for our fiscal year ending January 31, 2026. During our fiscal year ended January 31, 2025, KPMG served as our independent registered public accounting firm.</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2026.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our stockholders do not ratify the appointment of KPMG, our Board of Directors may reconsider the appointment.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our Company by KPMG for our fiscal years ended January 31, 2025 and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0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3"/>
        </w:trPr>
        <w:tc>
          <w:tcPr>
            <w:tcW w:w="6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64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2"/>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1"/>
        </w:trPr>
        <w:tc>
          <w:tcPr>
            <w:tcW w:w="642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$5,496,956</w:t>
            </w:r>
          </w:p>
        </w:tc>
        <w:tc>
          <w:tcPr>
            <w:tcW w:w="120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rPr>
              <w:t>$5,208,072</w:t>
            </w: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$5,496,956</w:t>
            </w:r>
          </w:p>
        </w:tc>
        <w:tc>
          <w:tcPr>
            <w:tcW w:w="120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rPr>
              <w:t>$5,208,072</w:t>
            </w:r>
          </w:p>
        </w:tc>
      </w:tr>
      <w:tr>
        <w:trPr>
          <w:trHeight w:val="54"/>
        </w:trPr>
        <w:tc>
          <w:tcPr>
            <w:tcW w:w="64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professional services provided in connection with the audit of our annual consolidated financial statements (which was an integrated audit for fiscal years 2025 and 2024), the review of our unaudited quarterly consolidated financial statements, foreign statutory audits and services that are normally provided by KPMG LLP in connection with statutory and regulatory filings or engagements.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Pursuant to its charter and the policy described further below, our Audit Committee pre-approves audit and non-audit services rendered by our independent registered public accounting firm, KPMG.</w:t>
      </w:r>
    </w:p>
    <w:p>
      <w:pPr>
        <w:spacing w:after="0" w:line="306"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2024 and 2025 were pre-approved by our Audit Committee and our Audit Committee determined that the provision of such services did not impair KPMG’s independence.</w:t>
      </w:r>
    </w:p>
    <w:p>
      <w:pPr>
        <w:spacing w:after="0" w:line="1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THE RATIFICATION OF THE APPOINTMENT OF KPMG LLP.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focused on pay-for-performance principles and strongly aligned with our shareholders’ interests. Compensation of our named executive officers is designed to enable us to attract and retain talented and experienced executives to lead our Company successfully in a competitive environment.</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Accordingly, our Board of Directors is asking the stockholders to indicate their support for the compensation of our named executive officers as described in this proxy statement by casting a non-binding advisory vote “FOR” the following resolution:</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us or our Board of Directors. Nevertheless, the views expressed by the stockholders, whether through this vote or otherwise, are important to management and our Board of Directors, and, accordingly, our Board of Directors and the Compensation Committee intend to consider the results of this vote in making determinations in the future regarding executive compensation arrangements.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next scheduled say-on-pay vote will be held at the 2026 annual meeting of stockholders.</w:t>
      </w:r>
    </w:p>
    <w:p>
      <w:pPr>
        <w:spacing w:after="0" w:line="15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ADVISORY VOTE ON EXECUTIVE COMPENSATION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Directors comprised solely of independent directors as required by the listing standards of The Nasdaq Stock Market and rules and regulations of the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Company’s financial reporting process, the management of the company is responsible for</w:t>
      </w:r>
    </w:p>
    <w:p>
      <w:pPr>
        <w:spacing w:after="0" w:line="27" w:lineRule="exact"/>
        <w:rPr>
          <w:sz w:val="20"/>
          <w:szCs w:val="20"/>
          <w:color w:val="auto"/>
        </w:rPr>
      </w:pPr>
    </w:p>
    <w:p>
      <w:pPr>
        <w:jc w:val="both"/>
        <w:ind w:left="300" w:right="299" w:hanging="8"/>
        <w:spacing w:after="0" w:line="251" w:lineRule="auto"/>
        <w:tabs>
          <w:tab w:leader="none" w:pos="5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internal controls and (ii) preparing the Company’s consolidated financial statements. The Company’s independent registered public accounting firm, KPMG LLP (“KPMG”), is responsible for performing an independent audit of the Company’s consolidated financial statements and internal control over financial reporting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spacing w:after="0" w:line="8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KPMG;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KPMG the matters required to be discussed by the applicable requirements of the Public Company Accounting Oversight Board and the Securities and Exchange Commission;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written disclosures and the letter from KPMG required by applicable requirements of the Public Company Accounting Oversight Board regarding the independent accountant’s communications with the Audit Committee concerning independence, and has discussed with KPMG its independence.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KPMG described above, the Audit Committee recommended to the Board of Directors that the audited financial statements be included in the Annual Report on Form 10-K for the fiscal year ended January 31, 2025 for filing with the Securities and Exchange Commission.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Jonathan Chadwick (Chair)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Cindy Hoots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 Scheinman</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identifies certain information about our executive officers as of March 31, 2025. Our executive officers are appointed by, and serve at the discretion of, our Board of Directors. There are no family relationships among any of our directors or executive officers.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7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55</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Aparna Bawa</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47</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7"/>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50</w:t>
            </w:r>
          </w:p>
        </w:tc>
        <w:tc>
          <w:tcPr>
            <w:tcW w:w="100" w:type="dxa"/>
            <w:vAlign w:val="bottom"/>
            <w:shd w:val="clear" w:color="auto" w:fill="CCEEFF"/>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57</w:t>
            </w: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Product and Engineering</w:t>
            </w:r>
          </w:p>
        </w:tc>
      </w:tr>
    </w:tbl>
    <w:p>
      <w:pPr>
        <w:spacing w:after="0" w:line="137"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Eric S. Yuan</w:t>
      </w:r>
      <w:r>
        <w:rPr>
          <w:rFonts w:ascii="Times New Roman" w:cs="Times New Roman" w:eastAsia="Times New Roman" w:hAnsi="Times New Roman"/>
          <w:sz w:val="18"/>
          <w:szCs w:val="18"/>
          <w:color w:val="auto"/>
        </w:rPr>
        <w:t>. Biographical information for Mr. Yuan is presented Under “Board of Directors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above.</w:t>
      </w:r>
    </w:p>
    <w:p>
      <w:pPr>
        <w:spacing w:after="0" w:line="5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Aparna Bawa</w:t>
      </w:r>
      <w:r>
        <w:rPr>
          <w:rFonts w:ascii="Times New Roman" w:cs="Times New Roman" w:eastAsia="Times New Roman" w:hAnsi="Times New Roman"/>
          <w:sz w:val="18"/>
          <w:szCs w:val="18"/>
          <w:color w:val="auto"/>
        </w:rPr>
        <w:t>. Ms. Bawa has served as our Chief Operating Officer since May 2020 and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from February 2024 to February 2025. She previously served as our interim Chief Legal Officer from May 2020 to February 2024, our Chief Legal Officer August 2019 to May 2020, our General Counsel from September 2018 to May 2020, and as our Secretary from December 2018 to November 2020.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80"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Michelle Chang</w:t>
      </w:r>
      <w:r>
        <w:rPr>
          <w:rFonts w:ascii="Times New Roman" w:cs="Times New Roman" w:eastAsia="Times New Roman" w:hAnsi="Times New Roman"/>
          <w:sz w:val="18"/>
          <w:szCs w:val="18"/>
          <w:color w:val="auto"/>
        </w:rPr>
        <w:t>. Ms. Chang has served as our Chief Financial Officer since October 2024. Prior to joining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Chang served in various leadership positions at Microsoft Corporation, a technology company, over 20 years, including the Chief Financial Officer and Corporate Vice President of the Commercial Sales and Partner Organization from August 2022 until October 2024 and Chief Financial Officer of Modern Workplace and Security from November 2017 to August 2022. Ms. Chang holds a B.A. in Business-Accounting from the University of Washington.</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Velchamy Sankarlingam</w:t>
      </w:r>
      <w:r>
        <w:rPr>
          <w:rFonts w:ascii="Times New Roman" w:cs="Times New Roman" w:eastAsia="Times New Roman" w:hAnsi="Times New Roman"/>
          <w:sz w:val="18"/>
          <w:szCs w:val="18"/>
          <w:color w:val="auto"/>
        </w:rPr>
        <w:t>. Mr. Sankarlingam has served as our President of Product and Engineering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2020. Prior to joining us, Mr. Sankarlingam was at VMware, a provider of cloud computing and virtualization software and services, from June 2010 to June 2020, where he served various roles, most recently as Senior Vice President, Cloud Services Development and Operations. Prior to that, he served in various positions at Cisco Webex from June 2003 to June 2010. Mr. Sankarlingam has also worked at IBM, Accenture, Standard Microsystems and Network Computing Devices. Mr. Sankarlingam holds a B.E. in Electronics and Communication Engineering from College of Engineering, Guindy, Chennai in India, a M.S. in Computer Science from Northern Illinois University, a M.S. in Business and Policy from Stony Brook University and completed the Stanford Executive Program at Stanford University.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and objectives, discusses our executive compensation policies and analyzes how and why our Compensation Committee arrived at specific compensation decisions for the fiscal year ended January 31, 2025, or fiscal 2025, for the individuals listed below, collectively referred to as our “named executive officers” or “NEOs.”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fiscal 2025 are:</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2"/>
                <w:szCs w:val="22"/>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296"/>
        </w:trPr>
        <w:tc>
          <w:tcPr>
            <w:tcW w:w="2580" w:type="dxa"/>
            <w:vAlign w:val="bottom"/>
          </w:tcPr>
          <w:p>
            <w:pPr>
              <w:spacing w:after="0" w:line="295" w:lineRule="exact"/>
              <w:rPr>
                <w:sz w:val="20"/>
                <w:szCs w:val="20"/>
                <w:color w:val="auto"/>
              </w:rPr>
            </w:pPr>
            <w:r>
              <w:rPr>
                <w:rFonts w:ascii="Times New Roman" w:cs="Times New Roman" w:eastAsia="Times New Roman" w:hAnsi="Times New Roman"/>
                <w:sz w:val="18"/>
                <w:szCs w:val="18"/>
                <w:color w:val="auto"/>
              </w:rPr>
              <w:t>Michelle Chang</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80"/>
        </w:trPr>
        <w:tc>
          <w:tcPr>
            <w:tcW w:w="2580" w:type="dxa"/>
            <w:vAlign w:val="bottom"/>
          </w:tcPr>
          <w:p>
            <w:pPr>
              <w:spacing w:after="0" w:line="280" w:lineRule="exact"/>
              <w:rPr>
                <w:sz w:val="20"/>
                <w:szCs w:val="20"/>
                <w:color w:val="auto"/>
              </w:rPr>
            </w:pPr>
            <w:r>
              <w:rPr>
                <w:rFonts w:ascii="Times New Roman" w:cs="Times New Roman" w:eastAsia="Times New Roman" w:hAnsi="Times New Roman"/>
                <w:sz w:val="18"/>
                <w:szCs w:val="18"/>
                <w:color w:val="auto"/>
              </w:rPr>
              <w:t>Kelly Steckelberg</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Financial Officer</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Aparna Bawa</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2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Product and Engineering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Aside from the individuals described above, we did not have any other executive officers (as defined in Rule 3b-7 under the Exchange Act) serving at the end of fiscal 2025 and we did not have any other executive officers serving during fiscal 2025 who would otherwise qualify as “named executive officers” pursuant to SEC rules and guidance.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Chang commenced employment as our Chief Financial Officer on October 7, 2024.</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Steckelberg ceased providing services as our Chief Financial Officer on October 7, 2024 and transitioned to an advisory role, which terminated on November 26, 2024.</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years following our initial public offering in 2019, our business grew rapidly as we expanded from a video communications tool to a full collaboration platform. Our growth was further fueled during the COVID-19 pandemic when we mobilized as a company to keep the world connected. We grew significantly in size to manage this demand while enabling continued innovation. The emergence from pandemic, and subsequent economic downturn in years thereafter, presented headwinds. We continue to transform our compensation program to reflect our evolution into a more mature stage business. We remain committed to a straightforward, transparent compensation structure, designed to best motivate our executive officers and drive long-term value creation for our stockholders. While our compensation historically favored equity over cash compensation, we are shifting our executive compensation program to increase performance cash bonus opportunities and decrease annual equity compensation in fiscal 2026 and fiscal 2027 in order to better reflect market practices.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Fiscal 2025 Performance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fiscal 2025, we sharpened our focus as an AI-first work platform, refining our strategy and reinforcing our core values in the face of ongoing macroeconomic pressures to position ourselves for long-term success. This year, we took proactive measures to reestablish three key strategic priorities, which are now guiding our organization: expanding our AI capabilities to drive customer value, rapidly innovating within Zoom Workplace and building upon our momentum with new products such as Contact Center and Workvivo. With our proven product innovation, maturing go-to-market engine and fine-tuned financial discipline, we are primed to drive sustainable growth and additional value for our customers and stockholders.</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fiscal 2025 business results provide context for stockholders reviewing our executive compensation disclosures:</w:t>
      </w:r>
    </w:p>
    <w:p>
      <w:pPr>
        <w:spacing w:after="0" w:line="50" w:lineRule="exact"/>
        <w:rPr>
          <w:sz w:val="20"/>
          <w:szCs w:val="20"/>
          <w:color w:val="auto"/>
        </w:rPr>
      </w:pPr>
    </w:p>
    <w:p>
      <w:pPr>
        <w:ind w:left="1000" w:hanging="348"/>
        <w:spacing w:after="0"/>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fiscal year was $4,665.4 million, up 3.1% year over year.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3"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GAAP income from operations for the fiscal year was $813.3 million, up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income from operations of $525.3 million for fiscal 2024. Non-GAAP income from operations for the fiscal year was $1,837.9 million, up from $1,774.9 million for fiscal 2024.</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Net cash provided by operating activities was $1,945.3 million for the fiscal year, up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$1,598.8 million for fiscal 2024.</w:t>
      </w:r>
    </w:p>
    <w:p>
      <w:pPr>
        <w:spacing w:after="0" w:line="39" w:lineRule="exact"/>
        <w:rPr>
          <w:rFonts w:ascii="Times New Roman" w:cs="Times New Roman" w:eastAsia="Times New Roman" w:hAnsi="Times New Roman"/>
          <w:sz w:val="18"/>
          <w:szCs w:val="18"/>
          <w:color w:val="auto"/>
        </w:rPr>
      </w:pPr>
    </w:p>
    <w:p>
      <w:pPr>
        <w:ind w:left="460" w:right="299" w:hanging="175"/>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See Appendix A to this proxy statement for information regarding our use of non-GAAP income from operations, including a reconciliation to its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-240665</wp:posOffset>
            </wp:positionV>
            <wp:extent cx="822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Fiscal 2025 Executive Compensation Program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Compensation Committee closely considers our performance, business strategy and our transformation as a Company in making executive compensation decisions. The Compensation Committee develops compensation programs that it thinks are the most appropriate to drive results for our Company and our stockholders, and to ensure that our pay program aligns compensation with stockholder interests and our Company performance over the long-term. During the six years since we first became a public company, our business has transformed significantly, and our compensation programs have also continued to evolve and transform to be appropriate for a company of our size and stage of business. As such, our compensation has varied and our practices may differ from the typical practices of public companies that have been operating for longer periods of time in a less volatile and dynamic environment.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on our operational and financial performance, and in light of the other factors described in this Compensation Discussion and Analysis, the Compensation Committee made the following named executive officer compensation decisions for fiscal 2025:</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For fiscal 2025, the base salaries of each of our named executive officers (other than Ms. Chang)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set at the same base salary amount in place for fiscal 2023, after being temporarily reduced for fiscal 2024 as part of the Company’s restructuring plan in 2023. Ms. Chang’s base salary was determined in connection with her commencement of employment in October 2024 based on market data for her position.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Annual Performance Incentive</w:t>
      </w:r>
      <w:r>
        <w:rPr>
          <w:rFonts w:ascii="Times New Roman" w:cs="Times New Roman" w:eastAsia="Times New Roman" w:hAnsi="Times New Roman"/>
          <w:sz w:val="18"/>
          <w:szCs w:val="18"/>
          <w:color w:val="auto"/>
        </w:rPr>
        <w:t>: Target incentive award opportunities for fiscal 2025 continued to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 of base salary for each named executive officer other than Ms. Chang. Ms. Chang’s target incentive of 90% of base salary was set in October 2024 when she commenced employment with us, reflecting market data for her position and our intention to increase our other named executive officers’ bonus targets in the future to more closely align with market amounts and practices. We structured our fiscal 2025 performance incentive program to be based on two rigorous financial performance goals that drive our business: revenue and non-GAAP income from operations. We paid cash incentives to our NEOs under such program based solely on achievement against such financial metrics, resulting in a payout at 106.3% of each named executive officer’s target annual incentive (prorated, in the case of Ms. Chang).</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We introduced performance-vesting equity awards into the equity compensation program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employees. In April 2024, we granted 100% of the annual RSU bonus awards to all of our NEOs serving at such time in the form of performance-vesting RSUs that vest based upon achievement of two key financial performance goals aligned with our annual incentive program. In April 2025, the Compensation Committee determined that the performance goals were achieved, and the awards vested in full. We also granted a four-year “refresh” RSU award to Mr. Sankarlingam and a four-year new hire RSU award to Ms. Chang, each of which is intended to be equivalent to four years of typical annual market-based grants.</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Total Compensation</w:t>
      </w:r>
      <w:r>
        <w:rPr>
          <w:rFonts w:ascii="Times New Roman" w:cs="Times New Roman" w:eastAsia="Times New Roman" w:hAnsi="Times New Roman"/>
          <w:sz w:val="18"/>
          <w:szCs w:val="18"/>
          <w:color w:val="auto"/>
        </w:rPr>
        <w:t>: Total compensation reported for our CEO for fiscal 2025 is approximately 87%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in fiscal 2024 and approximately 96% lower than in fiscal 2023, based on total compensation as reported in the Summary Compensation Table. This reduction in total compensation is primarily attributable to the decrease in the value of equity compensation awarded to our CEO. Specifically, we did not grant supplemental equity awards in fiscal 2025 (we have sunsetted our supplemental grant program), and we did not grant a new four-year “refresh” equity award to our CEO in fiscal 2025 (our CEO last received a four-year “refresh” award in fiscal 2023).</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Early Fiscal 2026 Executive Compensation Changes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fiscal 2026, we continued to shift towards delivering a greater portion of short-term performance incentive compensation in the form of more market-based cash opportunities rather than annual equity awards. We granted performance-vesting RSU awards in April 2025 with target grant date values equal to half of the target values applicable to the fiscal 2025 performance-vesting RSUs granted to Mr. Yuan, Ms. Bawa and Mr. Sankarlingam. In addition, in accordance with our intent to increase target incentive award opportunities, effective February 1, 2025, Mr. Yuan’s bonus target was increased to 64% and Ms. Bawa’s and Mr. Sankarlingam’s bonus targets were both increased to 49%. Ms. Chang did not receive a performance-vesting equity award for fiscal 2026 and her bonus target remained unchanged, given that her new hire compensation package already included an annual target bonus amount that was significantly higher than the other named executive officers’ amounts and aligned with market data for her role.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assess the effectiveness of our executive compensation program from time to time and review risk mitigation and governance matters, which include maintaining the following best practices:</w:t>
      </w:r>
    </w:p>
    <w:p>
      <w:pPr>
        <w:sectPr>
          <w:pgSz w:w="11900" w:h="16838" w:orient="portrait"/>
          <w:cols w:equalWidth="0" w:num="1">
            <w:col w:w="9019"/>
          </w:cols>
          <w:pgMar w:left="1440" w:top="114" w:right="1440" w:bottom="1440" w:gutter="0" w:footer="0" w:header="0"/>
        </w:sectPr>
      </w:pP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61" w:lineRule="exact"/>
        <w:rPr>
          <w:sz w:val="20"/>
          <w:szCs w:val="20"/>
          <w:color w:val="auto"/>
        </w:rPr>
      </w:pP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Emphasize long-term equity incentives</w:t>
      </w:r>
    </w:p>
    <w:p>
      <w:pPr>
        <w:spacing w:after="0" w:line="29" w:lineRule="exact"/>
        <w:rPr>
          <w:rFonts w:ascii="MS PGothic" w:cs="MS PGothic" w:eastAsia="MS PGothic" w:hAnsi="MS PGothic"/>
          <w:sz w:val="18"/>
          <w:szCs w:val="18"/>
          <w:color w:val="auto"/>
        </w:rPr>
      </w:pPr>
    </w:p>
    <w:p>
      <w:pPr>
        <w:ind w:left="720" w:right="240" w:hanging="428"/>
        <w:spacing w:after="0" w:line="249"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Tie performance cash incentive opportunities to defined business objectives and include</w:t>
      </w:r>
    </w:p>
    <w:p>
      <w:pPr>
        <w:ind w:left="7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reasonable cap</w:t>
      </w:r>
    </w:p>
    <w:p>
      <w:pPr>
        <w:spacing w:after="0" w:line="9" w:lineRule="exact"/>
        <w:rPr>
          <w:rFonts w:ascii="MS PGothic" w:cs="MS PGothic" w:eastAsia="MS PGothic" w:hAnsi="MS PGothic"/>
          <w:sz w:val="18"/>
          <w:szCs w:val="18"/>
          <w:color w:val="auto"/>
        </w:rPr>
      </w:pPr>
    </w:p>
    <w:p>
      <w:pPr>
        <w:ind w:left="720" w:right="160" w:hanging="428"/>
        <w:spacing w:after="0" w:line="258"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transparent disclosure of performance incentive targets and payout structure</w:t>
      </w: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Assess risks of our compensation program</w:t>
      </w:r>
    </w:p>
    <w:p>
      <w:pPr>
        <w:spacing w:after="0" w:line="37" w:lineRule="exact"/>
        <w:rPr>
          <w:rFonts w:ascii="MS PGothic" w:cs="MS PGothic" w:eastAsia="MS PGothic" w:hAnsi="MS PGothic"/>
          <w:sz w:val="18"/>
          <w:szCs w:val="18"/>
          <w:color w:val="auto"/>
        </w:rPr>
      </w:pPr>
    </w:p>
    <w:p>
      <w:pPr>
        <w:ind w:left="720" w:hanging="428"/>
        <w:spacing w:after="0" w:line="249" w:lineRule="auto"/>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a Compensation Committee comprised entirely of independent directors</w:t>
      </w: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Retain an independent compensation advisor</w:t>
      </w:r>
    </w:p>
    <w:p>
      <w:pPr>
        <w:spacing w:after="0" w:line="37" w:lineRule="exact"/>
        <w:rPr>
          <w:rFonts w:ascii="MS PGothic" w:cs="MS PGothic" w:eastAsia="MS PGothic" w:hAnsi="MS PGothic"/>
          <w:sz w:val="18"/>
          <w:szCs w:val="18"/>
          <w:color w:val="auto"/>
        </w:rPr>
      </w:pPr>
    </w:p>
    <w:p>
      <w:pPr>
        <w:ind w:left="720" w:hanging="428"/>
        <w:spacing w:after="0"/>
        <w:tabs>
          <w:tab w:leader="none" w:pos="72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-1572260</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61" w:lineRule="exact"/>
        <w:rPr>
          <w:sz w:val="20"/>
          <w:szCs w:val="20"/>
          <w:color w:val="auto"/>
        </w:rPr>
      </w:pPr>
    </w:p>
    <w:p>
      <w:pPr>
        <w:ind w:left="428" w:hanging="428"/>
        <w:spacing w:after="0"/>
        <w:tabs>
          <w:tab w:leader="none" w:pos="428"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guaranteed “single-trigger”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26060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 w:lineRule="exact"/>
        <w:rPr>
          <w:sz w:val="20"/>
          <w:szCs w:val="20"/>
          <w:color w:val="auto"/>
        </w:rPr>
      </w:pPr>
    </w:p>
    <w:p>
      <w:pPr>
        <w:ind w:left="428" w:hanging="428"/>
        <w:spacing w:after="0"/>
        <w:tabs>
          <w:tab w:leader="none" w:pos="4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w:t>
      </w:r>
    </w:p>
    <w:p>
      <w:pPr>
        <w:spacing w:after="0" w:line="2" w:lineRule="exact"/>
        <w:rPr>
          <w:sz w:val="20"/>
          <w:szCs w:val="20"/>
          <w:color w:val="auto"/>
        </w:rPr>
      </w:pPr>
    </w:p>
    <w:p>
      <w:pPr>
        <w:ind w:left="428" w:right="879" w:hanging="428"/>
        <w:spacing w:after="0" w:line="268" w:lineRule="auto"/>
        <w:tabs>
          <w:tab w:leader="none" w:pos="428" w:val="left"/>
        </w:tabs>
        <w:numPr>
          <w:ilvl w:val="0"/>
          <w:numId w:val="3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tax reimbursements or tax gross-ups on severance or change in control payments</w:t>
      </w:r>
    </w:p>
    <w:p>
      <w:pPr>
        <w:ind w:left="428" w:right="359" w:hanging="428"/>
        <w:spacing w:after="0" w:line="258" w:lineRule="auto"/>
        <w:tabs>
          <w:tab w:leader="none" w:pos="428"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special executive welfare or health benefits, or special executive retirement plans</w:t>
      </w:r>
    </w:p>
    <w:p>
      <w:pPr>
        <w:ind w:left="428" w:hanging="428"/>
        <w:spacing w:after="0"/>
        <w:tabs>
          <w:tab w:leader="none" w:pos="428"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guaranteed salary increases or bonuses</w:t>
      </w:r>
    </w:p>
    <w:p>
      <w:pPr>
        <w:spacing w:after="0" w:line="37" w:lineRule="exact"/>
        <w:rPr>
          <w:rFonts w:ascii="MS PGothic" w:cs="MS PGothic" w:eastAsia="MS PGothic" w:hAnsi="MS PGothic"/>
          <w:sz w:val="18"/>
          <w:szCs w:val="18"/>
          <w:color w:val="auto"/>
        </w:rPr>
      </w:pPr>
    </w:p>
    <w:p>
      <w:pPr>
        <w:ind w:left="428" w:hanging="428"/>
        <w:spacing w:after="0"/>
        <w:tabs>
          <w:tab w:leader="none" w:pos="428"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hedging or pledging of our stock</w:t>
      </w:r>
    </w:p>
    <w:p>
      <w:pPr>
        <w:spacing w:after="0" w:line="875" w:lineRule="exact"/>
        <w:rPr>
          <w:sz w:val="20"/>
          <w:szCs w:val="20"/>
          <w:color w:val="auto"/>
        </w:rPr>
      </w:pPr>
    </w:p>
    <w:p>
      <w:pPr>
        <w:sectPr>
          <w:pgSz w:w="11900" w:h="16838" w:orient="portrait"/>
          <w:cols w:equalWidth="0" w:num="2">
            <w:col w:w="4220" w:space="392"/>
            <w:col w:w="4407"/>
          </w:cols>
          <w:pgMar w:left="1440" w:top="114" w:right="1440" w:bottom="1440" w:gutter="0" w:footer="0" w:header="0"/>
          <w:type w:val="continuous"/>
        </w:sectPr>
      </w:pP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 and Stockholder Engagement</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Last year we sought our fourth say-on-pay advisory vote from our stockholders regarding our executive officer compensation program and received a support level of approximately 81.7%.</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values the views of our stockholders. As such, we solicit input from our stockholders throughout the year. The Compensation Committee reviews the advisory vote results and feedback from our stockholder engagement activities when making executive compensation decisions. In fiscal 2024 and fiscal 2025, we engaged in a dialogue and had informative discussions with several of our institutional stockholders, including one of our largest institutional investors (based on holdings of our Class A common stock), to gain a better understanding of their views regarding our executive compensation program, as well as other governance matters. The feedback from our stockholders and the compensation changes we made over the past two years in response to such feedback and as a result of last year’s say-on-pay advisory vote are described in the table below.</w:t>
      </w:r>
    </w:p>
    <w:p>
      <w:pPr>
        <w:sectPr>
          <w:pgSz w:w="11900" w:h="16838" w:orient="portrait"/>
          <w:cols w:equalWidth="0" w:num="1">
            <w:col w:w="9019"/>
          </w:cols>
          <w:pgMar w:left="1440" w:top="114" w:right="1440" w:bottom="1440" w:gutter="0" w:footer="0" w:header="0"/>
          <w:type w:val="continuous"/>
        </w:sectPr>
      </w:pP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1645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Stockholders generally expressed a desire to better understand our equity compensation program.</w:t>
      </w:r>
    </w:p>
    <w:p>
      <w:pPr>
        <w:spacing w:after="0" w:line="374" w:lineRule="exact"/>
        <w:rPr>
          <w:sz w:val="20"/>
          <w:szCs w:val="20"/>
          <w:color w:val="auto"/>
        </w:rPr>
      </w:pPr>
    </w:p>
    <w:p>
      <w:pPr>
        <w:jc w:val="both"/>
        <w:ind w:left="300" w:right="20"/>
        <w:spacing w:after="0" w:line="261" w:lineRule="auto"/>
        <w:rPr>
          <w:sz w:val="20"/>
          <w:szCs w:val="20"/>
          <w:color w:val="auto"/>
        </w:rPr>
      </w:pPr>
      <w:r>
        <w:rPr>
          <w:rFonts w:ascii="Times New Roman" w:cs="Times New Roman" w:eastAsia="Times New Roman" w:hAnsi="Times New Roman"/>
          <w:sz w:val="18"/>
          <w:szCs w:val="18"/>
          <w:color w:val="auto"/>
        </w:rPr>
        <w:t>Stockholders expressed concerns regarding our supplemental grant program and four-year “refresh” grants.</w:t>
      </w:r>
    </w:p>
    <w:p>
      <w:pPr>
        <w:spacing w:after="0" w:line="180" w:lineRule="exact"/>
        <w:rPr>
          <w:sz w:val="20"/>
          <w:szCs w:val="20"/>
          <w:color w:val="auto"/>
        </w:rPr>
      </w:pPr>
    </w:p>
    <w:p>
      <w:pPr>
        <w:jc w:val="both"/>
        <w:ind w:left="300" w:right="140"/>
        <w:spacing w:after="0" w:line="289" w:lineRule="auto"/>
        <w:rPr>
          <w:sz w:val="20"/>
          <w:szCs w:val="20"/>
          <w:color w:val="auto"/>
        </w:rPr>
      </w:pPr>
      <w:r>
        <w:rPr>
          <w:rFonts w:ascii="Times New Roman" w:cs="Times New Roman" w:eastAsia="Times New Roman" w:hAnsi="Times New Roman"/>
          <w:sz w:val="17"/>
          <w:szCs w:val="17"/>
          <w:color w:val="auto"/>
        </w:rPr>
        <w:t>Stockholders requested that we consider granting performance-vesting equity awards.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we responded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right="499"/>
        <w:spacing w:after="0" w:line="261" w:lineRule="auto"/>
        <w:rPr>
          <w:sz w:val="20"/>
          <w:szCs w:val="20"/>
          <w:color w:val="auto"/>
        </w:rPr>
      </w:pPr>
      <w:r>
        <w:rPr>
          <w:rFonts w:ascii="Times New Roman" w:cs="Times New Roman" w:eastAsia="Times New Roman" w:hAnsi="Times New Roman"/>
          <w:sz w:val="18"/>
          <w:szCs w:val="18"/>
          <w:color w:val="auto"/>
        </w:rPr>
        <w:t>We continue to evolve our equity compensation program. In this proxy statement, we have continued to include expanded disclosure regarding our equity compensation program and how we believe it, along with our cash incentive program, aligns pay with company performance.</w:t>
      </w:r>
    </w:p>
    <w:p>
      <w:pPr>
        <w:spacing w:after="0" w:line="180"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We sunsetted our supplemental grant program such that no employees (including NEOs) receive supplemental grants after January 2024. The Compensation Committee will continue to evaluate our equity compensation program, including our four-year “refresh” grants.</w:t>
      </w:r>
    </w:p>
    <w:p>
      <w:pPr>
        <w:spacing w:after="0" w:line="180" w:lineRule="exact"/>
        <w:rPr>
          <w:sz w:val="20"/>
          <w:szCs w:val="20"/>
          <w:color w:val="auto"/>
        </w:rPr>
      </w:pPr>
    </w:p>
    <w:p>
      <w:pPr>
        <w:ind w:right="439"/>
        <w:spacing w:after="0" w:line="256" w:lineRule="auto"/>
        <w:rPr>
          <w:sz w:val="20"/>
          <w:szCs w:val="20"/>
          <w:color w:val="auto"/>
        </w:rPr>
      </w:pPr>
      <w:r>
        <w:rPr>
          <w:rFonts w:ascii="Times New Roman" w:cs="Times New Roman" w:eastAsia="Times New Roman" w:hAnsi="Times New Roman"/>
          <w:sz w:val="18"/>
          <w:szCs w:val="18"/>
          <w:color w:val="auto"/>
        </w:rPr>
        <w:t>For fiscal 2025, we introduced performance-vesting RSUs to replace our annual RSU bonus awards. Performance-vesting RSUs were only eligible to vest (with a cap of 100% of target) based upon achievement of two rigorous financial performance metrics. We continued to grant performance-vesting RSUs to our NEOs in fiscal 2026 (other than to our newly hired NEO, Ms. Chang).</w:t>
      </w:r>
    </w:p>
    <w:p>
      <w:pPr>
        <w:spacing w:after="0" w:line="187" w:lineRule="exact"/>
        <w:rPr>
          <w:sz w:val="20"/>
          <w:szCs w:val="20"/>
          <w:color w:val="auto"/>
        </w:rPr>
      </w:pPr>
    </w:p>
    <w:p>
      <w:pPr>
        <w:sectPr>
          <w:pgSz w:w="11900" w:h="16838" w:orient="portrait"/>
          <w:cols w:equalWidth="0" w:num="2">
            <w:col w:w="2700" w:space="400"/>
            <w:col w:w="5919"/>
          </w:cols>
          <w:pgMar w:left="1440" w:top="114" w:right="1440" w:bottom="1440" w:gutter="0" w:footer="0" w:header="0"/>
          <w:type w:val="continuous"/>
        </w:sectPr>
      </w:pPr>
    </w:p>
    <w:p>
      <w:pPr>
        <w:ind w:left="300"/>
        <w:spacing w:after="0" w:line="277" w:lineRule="auto"/>
        <w:rPr>
          <w:sz w:val="20"/>
          <w:szCs w:val="20"/>
          <w:color w:val="auto"/>
        </w:rPr>
      </w:pPr>
      <w:r>
        <w:rPr>
          <w:rFonts w:ascii="Times New Roman" w:cs="Times New Roman" w:eastAsia="Times New Roman" w:hAnsi="Times New Roman"/>
          <w:sz w:val="17"/>
          <w:szCs w:val="17"/>
          <w:color w:val="auto"/>
        </w:rPr>
        <w:t>Stockholders expressed concern regarding our equity compensation dilution and requested that we consider a more market standard cash bonus program.</w:t>
      </w:r>
    </w:p>
    <w:p>
      <w:pPr>
        <w:spacing w:after="0" w:line="20" w:lineRule="exact"/>
        <w:rPr>
          <w:sz w:val="20"/>
          <w:szCs w:val="20"/>
          <w:color w:val="auto"/>
        </w:rPr>
      </w:pPr>
      <w:r>
        <w:rPr>
          <w:sz w:val="20"/>
          <w:szCs w:val="20"/>
          <w:color w:val="auto"/>
        </w:rPr>
        <w:br w:type="column"/>
      </w:r>
    </w:p>
    <w:p>
      <w:pPr>
        <w:ind w:right="299"/>
        <w:spacing w:after="0" w:line="254" w:lineRule="auto"/>
        <w:rPr>
          <w:sz w:val="20"/>
          <w:szCs w:val="20"/>
          <w:color w:val="auto"/>
        </w:rPr>
      </w:pPr>
      <w:r>
        <w:rPr>
          <w:rFonts w:ascii="Times New Roman" w:cs="Times New Roman" w:eastAsia="Times New Roman" w:hAnsi="Times New Roman"/>
          <w:sz w:val="18"/>
          <w:szCs w:val="18"/>
          <w:color w:val="auto"/>
        </w:rPr>
        <w:t>We are shifting our executive compensation practices to increase performance cash bonus opportunities and decrease annual equity compensation grants over the next two years. In fiscal 2025, we determined Ms. Chang’s new hire compensation package with this intended shift in mind. In fiscal 2026, we granted performance-vesting equity awards with target grant date values equal to half of the target values applicable to the fiscal 2025 performance-vesting equity awards. We will continue to evaluate the amount and form of our equity compensation program.</w:t>
      </w:r>
    </w:p>
    <w:p>
      <w:pPr>
        <w:spacing w:after="0" w:line="200" w:lineRule="exact"/>
        <w:rPr>
          <w:sz w:val="20"/>
          <w:szCs w:val="20"/>
          <w:color w:val="auto"/>
        </w:rPr>
      </w:pPr>
    </w:p>
    <w:p>
      <w:pPr>
        <w:sectPr>
          <w:pgSz w:w="11900" w:h="16838" w:orient="portrait"/>
          <w:cols w:equalWidth="0" w:num="2">
            <w:col w:w="2800" w:space="300"/>
            <w:col w:w="5919"/>
          </w:cols>
          <w:pgMar w:left="1440" w:top="114" w:right="1440"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will monitor and continually evaluate our compensation program going forward in light of our stockholders’ views and our transforming business needs and expects to continue to consider the outcome of our say-on-pay votes and our stockholders’ views when making future compensation decisions for our named executive officers.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Zoom’s compensation philosophy is to employ market-competitive compensation programs and relevant total rewards offerings that reflect Zoom’s culture and values in order to deliver happiness to its employees and recognize their value to our organization.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compensation program aims to achieve the following main objectives:</w:t>
      </w:r>
    </w:p>
    <w:p>
      <w:pPr>
        <w:spacing w:after="0" w:line="117"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top talent;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motivate and reward for achievement of our key performance goals that increase stockholder value over the long term;</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 market-based compensation structure that balances internal equity and that reflects our culture and values;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stockholders.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aims to take a holistic approach to compensation and generally consists of, and is intended to strike a balance among, the following three principal components: base salary, performance-based incentive compensation, and equity incentive compensation. We also provide our executive officers with severance and change-in-control related payments and benefits, as well as benefits available to all our employees, including retirement benefits under our 401(k) plan and participation in various employee health and welfare benefit plans. The following chart summarizes the three main elements of our executive compensation program, their objectives, and key features.</w:t>
      </w:r>
    </w:p>
    <w:p>
      <w:pPr>
        <w:sectPr>
          <w:pgSz w:w="11900" w:h="16838" w:orient="portrait"/>
          <w:cols w:equalWidth="0" w:num="1">
            <w:col w:w="9019"/>
          </w:cols>
          <w:pgMar w:left="1440" w:top="114" w:right="1440" w:bottom="1440" w:gutter="0" w:footer="0" w:header="0"/>
        </w:sectPr>
      </w:pPr>
    </w:p>
    <w:p>
      <w:pPr>
        <w:spacing w:after="0" w:line="209" w:lineRule="exact"/>
        <w:rPr>
          <w:sz w:val="20"/>
          <w:szCs w:val="20"/>
          <w:color w:val="auto"/>
        </w:rPr>
      </w:pPr>
    </w:p>
    <w:p>
      <w:pPr>
        <w:ind w:left="300"/>
        <w:spacing w:after="0"/>
        <w:tabs>
          <w:tab w:leader="none" w:pos="2640" w:val="left"/>
        </w:tabs>
        <w:rPr>
          <w:sz w:val="20"/>
          <w:szCs w:val="20"/>
          <w:color w:val="auto"/>
        </w:rPr>
      </w:pPr>
      <w:r>
        <w:rPr>
          <w:rFonts w:ascii="Times New Roman" w:cs="Times New Roman" w:eastAsia="Times New Roman" w:hAnsi="Times New Roman"/>
          <w:sz w:val="14"/>
          <w:szCs w:val="14"/>
          <w:b w:val="1"/>
          <w:bCs w:val="1"/>
          <w:color w:val="auto"/>
        </w:rPr>
        <w:t>Element</w:t>
      </w:r>
      <w:r>
        <w:rPr>
          <w:sz w:val="20"/>
          <w:szCs w:val="20"/>
          <w:color w:val="auto"/>
        </w:rPr>
        <w:tab/>
      </w:r>
      <w:r>
        <w:rPr>
          <w:rFonts w:ascii="Times New Roman" w:cs="Times New Roman" w:eastAsia="Times New Roman" w:hAnsi="Times New Roman"/>
          <w:sz w:val="14"/>
          <w:szCs w:val="14"/>
          <w:b w:val="1"/>
          <w:bCs w:val="1"/>
          <w:color w:val="auto"/>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24688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7"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Base Salary</w:t>
      </w:r>
      <w:r>
        <w:rPr>
          <w:sz w:val="20"/>
          <w:szCs w:val="20"/>
          <w:color w:val="auto"/>
        </w:rPr>
        <w:tab/>
      </w:r>
      <w:r>
        <w:rPr>
          <w:rFonts w:ascii="Times New Roman" w:cs="Times New Roman" w:eastAsia="Times New Roman" w:hAnsi="Times New Roman"/>
          <w:sz w:val="18"/>
          <w:szCs w:val="18"/>
          <w:color w:val="auto"/>
        </w:rPr>
        <w:t>Provides financial stability and</w:t>
      </w:r>
    </w:p>
    <w:p>
      <w:pPr>
        <w:spacing w:after="0" w:line="31" w:lineRule="exact"/>
        <w:rPr>
          <w:sz w:val="20"/>
          <w:szCs w:val="20"/>
          <w:color w:val="auto"/>
        </w:rPr>
      </w:pPr>
    </w:p>
    <w:p>
      <w:pPr>
        <w:jc w:val="both"/>
        <w:ind w:left="1800" w:hanging="1511"/>
        <w:spacing w:after="0" w:line="255"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(fixed cash)</w:t>
      </w:r>
      <w:r>
        <w:rPr>
          <w:sz w:val="20"/>
          <w:szCs w:val="20"/>
          <w:color w:val="auto"/>
        </w:rPr>
        <w:tab/>
      </w:r>
      <w:r>
        <w:rPr>
          <w:rFonts w:ascii="Times New Roman" w:cs="Times New Roman" w:eastAsia="Times New Roman" w:hAnsi="Times New Roman"/>
          <w:sz w:val="18"/>
          <w:szCs w:val="18"/>
          <w:color w:val="auto"/>
        </w:rPr>
        <w:t>security through a fixed amount of cash for performing job responsibilities.</w:t>
      </w:r>
    </w:p>
    <w:p>
      <w:pPr>
        <w:spacing w:after="0" w:line="209" w:lineRule="exact"/>
        <w:rPr>
          <w:sz w:val="20"/>
          <w:szCs w:val="20"/>
          <w:color w:val="auto"/>
        </w:rPr>
      </w:pPr>
    </w:p>
    <w:p>
      <w:pPr>
        <w:ind w:left="300"/>
        <w:spacing w:after="0"/>
        <w:tabs>
          <w:tab w:leader="none" w:pos="1780" w:val="left"/>
          <w:tab w:leader="none" w:pos="2700" w:val="left"/>
          <w:tab w:leader="none" w:pos="3160" w:val="left"/>
          <w:tab w:leader="none" w:pos="3940" w:val="left"/>
        </w:tabs>
        <w:rPr>
          <w:sz w:val="20"/>
          <w:szCs w:val="20"/>
          <w:color w:val="auto"/>
        </w:rPr>
      </w:pPr>
      <w:r>
        <w:rPr>
          <w:rFonts w:ascii="Times New Roman" w:cs="Times New Roman" w:eastAsia="Times New Roman" w:hAnsi="Times New Roman"/>
          <w:sz w:val="18"/>
          <w:szCs w:val="18"/>
          <w:b w:val="1"/>
          <w:bCs w:val="1"/>
          <w:color w:val="auto"/>
        </w:rPr>
        <w:t>Performance</w:t>
      </w:r>
      <w:r>
        <w:rPr>
          <w:sz w:val="20"/>
          <w:szCs w:val="20"/>
          <w:color w:val="auto"/>
        </w:rPr>
        <w:tab/>
      </w:r>
      <w:r>
        <w:rPr>
          <w:rFonts w:ascii="Times New Roman" w:cs="Times New Roman" w:eastAsia="Times New Roman" w:hAnsi="Times New Roman"/>
          <w:sz w:val="18"/>
          <w:szCs w:val="18"/>
          <w:color w:val="auto"/>
        </w:rPr>
        <w:t>Motivates</w:t>
        <w:tab/>
        <w:t>and</w:t>
        <w:tab/>
        <w:t>rewards</w:t>
        <w:tab/>
        <w:t>for</w:t>
      </w:r>
    </w:p>
    <w:p>
      <w:pPr>
        <w:spacing w:after="0" w:line="31" w:lineRule="exact"/>
        <w:rPr>
          <w:sz w:val="20"/>
          <w:szCs w:val="20"/>
          <w:color w:val="auto"/>
        </w:rPr>
      </w:pPr>
    </w:p>
    <w:p>
      <w:pPr>
        <w:ind w:left="30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Incentive</w:t>
      </w:r>
      <w:r>
        <w:rPr>
          <w:sz w:val="20"/>
          <w:szCs w:val="20"/>
          <w:color w:val="auto"/>
        </w:rPr>
        <w:tab/>
      </w:r>
      <w:r>
        <w:rPr>
          <w:rFonts w:ascii="Times New Roman" w:cs="Times New Roman" w:eastAsia="Times New Roman" w:hAnsi="Times New Roman"/>
          <w:sz w:val="18"/>
          <w:szCs w:val="18"/>
          <w:color w:val="auto"/>
        </w:rPr>
        <w:t>attaining performance goals that</w:t>
      </w:r>
    </w:p>
    <w:p>
      <w:pPr>
        <w:spacing w:after="0" w:line="9" w:lineRule="exact"/>
        <w:rPr>
          <w:sz w:val="20"/>
          <w:szCs w:val="20"/>
          <w:color w:val="auto"/>
        </w:rPr>
      </w:pPr>
    </w:p>
    <w:p>
      <w:pPr>
        <w:jc w:val="both"/>
        <w:ind w:left="1800" w:hanging="1511"/>
        <w:spacing w:after="0" w:line="260"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(at-risk cash)</w:t>
      </w:r>
      <w:r>
        <w:rPr>
          <w:sz w:val="20"/>
          <w:szCs w:val="20"/>
          <w:color w:val="auto"/>
        </w:rPr>
        <w:tab/>
      </w:r>
      <w:r>
        <w:rPr>
          <w:rFonts w:ascii="Times New Roman" w:cs="Times New Roman" w:eastAsia="Times New Roman" w:hAnsi="Times New Roman"/>
          <w:sz w:val="18"/>
          <w:szCs w:val="18"/>
          <w:color w:val="auto"/>
        </w:rPr>
        <w:t>are key drivers of our annual operating plan.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743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1" w:lineRule="exact"/>
        <w:rPr>
          <w:sz w:val="20"/>
          <w:szCs w:val="20"/>
          <w:color w:val="auto"/>
        </w:rPr>
      </w:pPr>
    </w:p>
    <w:p>
      <w:pPr>
        <w:jc w:val="both"/>
        <w:ind w:right="299"/>
        <w:spacing w:after="0" w:line="282" w:lineRule="auto"/>
        <w:rPr>
          <w:sz w:val="20"/>
          <w:szCs w:val="20"/>
          <w:color w:val="auto"/>
        </w:rPr>
      </w:pPr>
      <w:r>
        <w:rPr>
          <w:rFonts w:ascii="Times New Roman" w:cs="Times New Roman" w:eastAsia="Times New Roman" w:hAnsi="Times New Roman"/>
          <w:sz w:val="18"/>
          <w:szCs w:val="18"/>
          <w:color w:val="auto"/>
        </w:rPr>
        <w:t>Fixed compensation that is periodically reviewed and adjusted if and when appropriate.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Incentive opportunities are dependent upon specific performance goals (which may be corporate performance goals and/or individual performance goals or sales goals in the case of executives subject to our sales compensation plan). Each goal has a defined threshold level necessary for any payout and a reasonable cap on payout. Actual incentive amounts earned are determined after the end of the performance period, taking into account the extent to which the performance goals have been achieved (and any relative weightings of such goals).</w:t>
      </w:r>
    </w:p>
    <w:p>
      <w:pPr>
        <w:spacing w:after="0" w:line="200" w:lineRule="exact"/>
        <w:rPr>
          <w:sz w:val="20"/>
          <w:szCs w:val="20"/>
          <w:color w:val="auto"/>
        </w:rPr>
      </w:pPr>
    </w:p>
    <w:p>
      <w:pPr>
        <w:sectPr>
          <w:pgSz w:w="11900" w:h="16838" w:orient="portrait"/>
          <w:cols w:equalWidth="0" w:num="2">
            <w:col w:w="4180" w:space="220"/>
            <w:col w:w="4619"/>
          </w:cols>
          <w:pgMar w:left="1440" w:top="114" w:right="1440" w:bottom="1440" w:gutter="0" w:footer="0" w:header="0"/>
          <w:type w:val="continuous"/>
        </w:sectPr>
      </w:pPr>
    </w:p>
    <w:p>
      <w:pPr>
        <w:spacing w:after="0" w:line="17" w:lineRule="exact"/>
        <w:rPr>
          <w:sz w:val="20"/>
          <w:szCs w:val="20"/>
          <w:color w:val="auto"/>
        </w:rPr>
      </w:pPr>
    </w:p>
    <w:p>
      <w:pPr>
        <w:jc w:val="right"/>
        <w:ind w:left="3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Equity Incentive   </w:t>
      </w:r>
      <w:r>
        <w:rPr>
          <w:rFonts w:ascii="Times New Roman" w:cs="Times New Roman" w:eastAsia="Times New Roman" w:hAnsi="Times New Roman"/>
          <w:sz w:val="18"/>
          <w:szCs w:val="18"/>
          <w:color w:val="auto"/>
        </w:rPr>
        <w:t>Motivates  and  rewards  for</w:t>
      </w:r>
      <w:r>
        <w:rPr>
          <w:rFonts w:ascii="Times New Roman" w:cs="Times New Roman" w:eastAsia="Times New Roman" w:hAnsi="Times New Roman"/>
          <w:sz w:val="18"/>
          <w:szCs w:val="18"/>
          <w:b w:val="1"/>
          <w:bCs w:val="1"/>
          <w:color w:val="auto"/>
        </w:rPr>
        <w:t xml:space="preserve"> (at-risk equity)    </w:t>
      </w:r>
      <w:r>
        <w:rPr>
          <w:rFonts w:ascii="Times New Roman" w:cs="Times New Roman" w:eastAsia="Times New Roman" w:hAnsi="Times New Roman"/>
          <w:sz w:val="18"/>
          <w:szCs w:val="18"/>
          <w:color w:val="auto"/>
        </w:rPr>
        <w:t>Company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aligning  executives’  interests with  stockholder  interests  and changes  in  stockholder  value.</w:t>
      </w:r>
    </w:p>
    <w:p>
      <w:pPr>
        <w:spacing w:after="0" w:line="205" w:lineRule="exact"/>
        <w:rPr>
          <w:sz w:val="20"/>
          <w:szCs w:val="20"/>
          <w:color w:val="auto"/>
        </w:rPr>
      </w:pPr>
    </w:p>
    <w:p>
      <w:pPr>
        <w:jc w:val="both"/>
        <w:ind w:left="1800"/>
        <w:spacing w:after="0" w:line="253" w:lineRule="auto"/>
        <w:rPr>
          <w:sz w:val="20"/>
          <w:szCs w:val="20"/>
          <w:color w:val="auto"/>
        </w:rPr>
      </w:pPr>
      <w:r>
        <w:rPr>
          <w:rFonts w:ascii="Times New Roman" w:cs="Times New Roman" w:eastAsia="Times New Roman" w:hAnsi="Times New Roman"/>
          <w:sz w:val="18"/>
          <w:szCs w:val="18"/>
          <w:color w:val="auto"/>
        </w:rPr>
        <w:t>Attracts highly qualified executives and encourages their continued employment over the long term.</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Since our initial public offering, equity incentives have been provided in the form of RSUs. Equity incentives may be granted as and when we determine appropriate for new hires, promotions, refresh, or other special circumstances, such as to encourage retention or as a reward for significant achievement. For fiscal 2025, we introduced performance-vesting RSUs that vest based on achievement of performance goals and supplement our annual cash incentive program.</w:t>
      </w:r>
    </w:p>
    <w:p>
      <w:pPr>
        <w:spacing w:after="0" w:line="200" w:lineRule="exact"/>
        <w:rPr>
          <w:sz w:val="20"/>
          <w:szCs w:val="20"/>
          <w:color w:val="auto"/>
        </w:rPr>
      </w:pPr>
    </w:p>
    <w:p>
      <w:pPr>
        <w:sectPr>
          <w:pgSz w:w="11900" w:h="16838" w:orient="portrait"/>
          <w:cols w:equalWidth="0" w:num="2">
            <w:col w:w="4180" w:space="220"/>
            <w:col w:w="4619"/>
          </w:cols>
          <w:pgMar w:left="1440" w:top="114" w:right="1440"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focus on providing a competitive compensation package to each of our executive officers that provides significant short-term and long-term incentives for the achievement of measurable corporate objectives. We believe that this approach provides an appropriate blend of short-term and long-term incentives to maximize stockholder value.</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do not have formal policies for allocating compensation among salary, performance incentive awards and equity grants, short-term and long-term compensation, or among cash and non-cash compensation. Instead, the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However, the Compensation Committee typically structures a significant portion of our named executive officers’ compensation package to be comprised of long-term equity awards in order to align the executive officers’ incentives with the interests of our stockholders and focus our executives on achieving key corporate goals that drive our business.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Our Compensation Committee, Management, and the Board</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is appointed by the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is primarily responsible for establishing and reviewing our general compensation strategy. The Compensation Committee meets periodically throughout the year to, among other things, manage and evaluate our executive compensation program and generally determines on an annual basis the principal components of compensation (base salary, performance incentive, and equity awards) for our executive officers which may be subject to final approval by our Board of Directors. However, decisions may occur at other times for new hires, promotions or other special circumstances as our Compensation Committee determines appropriate. The Compensation Committee does not delegate authority to approve executive officer compensation. Historically, the Compensation Committee has granted equity awards to executive officers when it determines appropriate, which typically includes when an executive officer is hired or promoted, when such grants are substantially vested, and at other times the Compensation Committee determines appropriate for retention or other purposes. The Compensation Committee typically grants equity awards on regularly scheduled dates that occur twice a quarter. The Compensation Committee will continue to evaluate its equity grant policies as we continue to evolve and grow as a public company.</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In addition to its independent compensation consultant, as described below under “Role of Compensation Consultant,” our Compensation Committee works with and receives information and analyses from management, including within our legal, finance, and human resources departments, and our Chief Executive Officer, and considers such information and analyses along with the information from its independent compensation consultant, in determining the structure and amount of compensation to be paid to our executive officers, including our named executive officers. Other than with respect to his own compensation, our Chief Executive Officer evaluates and provides to the Compensation Committee executive officer performance assessments and his recommendations and proposals regarding executive officer compensation programs and decisions affecting base salaries, performance incentives, equity compensation, and other compensation-related matters outside of the presence of any other named executive officers. Members of management, including our Chief Executive Officer, may attend portions of our Compensation Committee’s meetings. However, our Compensation Committee retains the final authority to make all compensation decisions. While the Chief Executive Officer discusses his recommendations with the Compensation Committee, he does not participate in the deliberations concerning, or the determination of, his own compensation.</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continued to retain Aon as its independent compensation consultant during fiscal 2025, due to its extensive analytical and compensation expertise relating to technology companies. In this capacity, Aon advised the Compensation Committee on compensation matters related to the executive and director compensation structure. In fiscal 2025, Aon assisted with, among other things:</w:t>
      </w:r>
    </w:p>
    <w:p>
      <w:pPr>
        <w:spacing w:after="0" w:line="31"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executive market pay analysis;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group of peer companies to use as a reference in making executive compensation decisions;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current executive pay practices and considering alternative compensation programs;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director compensation policies and practices; and</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development of this Compensation Disclosure and Analysis.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has the sole authority to engage and terminate Aon’s services, as well as to approve its compensation. Aon makes recommendations to the Compensation Committee but has no authority to make compensation decisions on behalf of the Compensation Committee or Zoom. Aon reported to the Compensation Committee and had direct access to the chairperson and the other members of the Compensation Committee. Beyond data and advice related to executive and director compensation matters, Aon did not provide other services to us in fiscal 2025.</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Aon as the compensation consultant raised any conflict of interest, considering relevant factors in accordance with SEC guidelines. Based on its analysis, the Compensation Committee determined that the work of Aon and the individual compensation advisors has not created any conflict of interest.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Competitive Market Compensation Data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compensation decisions to be informed as to the current practices of comparable public companies with which we compete for top talent. To this end, the Compensation Committee works annually with Aon to review and amend the list of our peer group companies to be used in connection with assessing compensation practices and pay levels. The Compensation Committee believes that the peer and market data provided by Aon, along with other factors, is an important reference point when setting compensation for our named executive officers because competition for executive management is intense in our industry and the retention of our talented leadership team is critical to our success.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Peer Group</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August 2023, with recommendations from Aon, the Compensation Committee identified a group of companies that would be appropriate peers for fiscal 2025 compensation decisions, based on the following criteria:</w:t>
      </w:r>
    </w:p>
    <w:p>
      <w:pPr>
        <w:spacing w:after="0" w:line="11"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software and technology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Capitalization</w:t>
      </w:r>
      <w:r>
        <w:rPr>
          <w:rFonts w:ascii="Times New Roman" w:cs="Times New Roman" w:eastAsia="Times New Roman" w:hAnsi="Times New Roman"/>
          <w:sz w:val="18"/>
          <w:szCs w:val="18"/>
          <w:color w:val="auto"/>
        </w:rPr>
        <w:t>: 0.3x to 3x of our market value</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0.3x to 3x of our revenue</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peer group of companies that the Compensation Committee referenced for the purpose of informing fiscal 2025 executive compensation decisions is listed below. At the time of review in August 2023, our trailing 12-month revenue was approximately $4.4 billion and our 30-day average market capitalization was approximately $20.17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151130</wp:posOffset>
            </wp:positionV>
            <wp:extent cx="4534535" cy="267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3453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Used in Determining Executive Compensation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Committee sets the compensation of our executive officers at levels it determines to be competitive and appropriate for each executive officer, using the professional experience and judgment of Compensation Committee members. Pay decisions are not made by use of a formulaic approach or benchmark. The Compensation Committee believes executive pay decisions require consideration of a multitude of relevant factors that may vary from year to year. In making executive compensation decisions, the Compensation Committee generally takes into consideration the following factors: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Zoom’s performance and existing business needs</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Zoom’s culture and values</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Each named executive officer’s individual</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Compensation Committee’s independent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performance, scope of job function and criticality of</w:t>
            </w:r>
          </w:p>
        </w:tc>
        <w:tc>
          <w:tcPr>
            <w:tcW w:w="320" w:type="dxa"/>
            <w:vAlign w:val="bottom"/>
          </w:tcPr>
          <w:p>
            <w:pPr>
              <w:spacing w:after="0"/>
              <w:rPr>
                <w:sz w:val="18"/>
                <w:szCs w:val="18"/>
                <w:color w:val="auto"/>
              </w:rPr>
            </w:pP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skill set</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Each named executive officer’s current equity</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need to attract new talent and retain existing</w:t>
            </w:r>
          </w:p>
        </w:tc>
        <w:tc>
          <w:tcPr>
            <w:tcW w:w="320" w:type="dxa"/>
            <w:vAlign w:val="bottom"/>
          </w:tcPr>
          <w:p>
            <w:pPr>
              <w:spacing w:after="0"/>
              <w:rPr>
                <w:sz w:val="18"/>
                <w:szCs w:val="18"/>
                <w:color w:val="auto"/>
              </w:rPr>
            </w:pP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ownership and total compensation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talent in a highly competitive industry</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compensation cost and impact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Our Chief Executive Officer’s recommendations</w:t>
            </w:r>
          </w:p>
        </w:tc>
        <w:tc>
          <w:tcPr>
            <w:tcW w:w="320" w:type="dxa"/>
            <w:vAlign w:val="bottom"/>
          </w:tcPr>
          <w:p>
            <w:pPr>
              <w:spacing w:after="0"/>
              <w:rPr>
                <w:sz w:val="18"/>
                <w:szCs w:val="18"/>
                <w:color w:val="auto"/>
              </w:rPr>
            </w:pP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on stockholder dilution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 executive officers other than the CEO)</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Market and peer data provided by our</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Internal pay equity</w:t>
            </w:r>
          </w:p>
        </w:tc>
        <w:tc>
          <w:tcPr>
            <w:tcW w:w="320" w:type="dxa"/>
            <w:vAlign w:val="bottom"/>
          </w:tcPr>
          <w:p>
            <w:pPr>
              <w:spacing w:after="0"/>
              <w:rPr>
                <w:sz w:val="20"/>
                <w:szCs w:val="20"/>
                <w:color w:val="auto"/>
              </w:rPr>
            </w:pP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compensation consultant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Feedback from our stockholders</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3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Recommendations from our compensation consultant</w:t>
            </w:r>
          </w:p>
        </w:tc>
        <w:tc>
          <w:tcPr>
            <w:tcW w:w="0" w:type="dxa"/>
            <w:vAlign w:val="bottom"/>
          </w:tcPr>
          <w:p>
            <w:pPr>
              <w:spacing w:after="0"/>
              <w:rPr>
                <w:sz w:val="1"/>
                <w:szCs w:val="1"/>
                <w:color w:val="auto"/>
              </w:rPr>
            </w:pPr>
          </w:p>
        </w:tc>
      </w:tr>
      <w:tr>
        <w:trPr>
          <w:trHeight w:val="48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2025 Executive Compensation Program</w:t>
            </w: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82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The annual base salaries of each of our named executive officers for fiscal 2025 are listed below.</w:t>
            </w:r>
          </w:p>
        </w:tc>
        <w:tc>
          <w:tcPr>
            <w:tcW w:w="0" w:type="dxa"/>
            <w:vAlign w:val="bottom"/>
          </w:tcPr>
          <w:p>
            <w:pPr>
              <w:spacing w:after="0"/>
              <w:rPr>
                <w:sz w:val="1"/>
                <w:szCs w:val="1"/>
                <w:color w:val="auto"/>
              </w:rPr>
            </w:pPr>
          </w:p>
        </w:tc>
      </w:tr>
      <w:tr>
        <w:trPr>
          <w:trHeight w:val="380"/>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190"/>
        </w:trPr>
        <w:tc>
          <w:tcPr>
            <w:tcW w:w="41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gridSpan w:val="2"/>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160" w:type="dxa"/>
            <w:vAlign w:val="bottom"/>
            <w:gridSpan w:val="3"/>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Eric S. Yuan</w:t>
            </w:r>
            <w:r>
              <w:rPr>
                <w:rFonts w:ascii="Times New Roman" w:cs="Times New Roman" w:eastAsia="Times New Roman" w:hAnsi="Times New Roman"/>
                <w:sz w:val="29"/>
                <w:szCs w:val="29"/>
                <w:color w:val="auto"/>
                <w:vertAlign w:val="superscript"/>
              </w:rPr>
              <w:t>(1)</w:t>
            </w:r>
          </w:p>
        </w:tc>
        <w:tc>
          <w:tcPr>
            <w:tcW w:w="320" w:type="dxa"/>
            <w:vAlign w:val="bottom"/>
            <w:shd w:val="clear" w:color="auto" w:fill="CCEEFF"/>
          </w:tcPr>
          <w:p>
            <w:pPr>
              <w:spacing w:after="0"/>
              <w:rPr>
                <w:sz w:val="24"/>
                <w:szCs w:val="24"/>
                <w:color w:val="auto"/>
              </w:rPr>
            </w:pPr>
          </w:p>
        </w:tc>
        <w:tc>
          <w:tcPr>
            <w:tcW w:w="3940" w:type="dxa"/>
            <w:vAlign w:val="bottom"/>
            <w:gridSpan w:val="3"/>
            <w:shd w:val="clear" w:color="auto" w:fill="CCEEFF"/>
          </w:tcPr>
          <w:p>
            <w:pPr>
              <w:jc w:val="center"/>
              <w:ind w:left="289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84"/>
        </w:trPr>
        <w:tc>
          <w:tcPr>
            <w:tcW w:w="416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Michelle Chang</w:t>
            </w:r>
            <w:r>
              <w:rPr>
                <w:rFonts w:ascii="Times New Roman" w:cs="Times New Roman" w:eastAsia="Times New Roman" w:hAnsi="Times New Roman"/>
                <w:sz w:val="29"/>
                <w:szCs w:val="29"/>
                <w:color w:val="auto"/>
                <w:vertAlign w:val="superscript"/>
              </w:rPr>
              <w:t>(2)</w:t>
            </w:r>
          </w:p>
        </w:tc>
        <w:tc>
          <w:tcPr>
            <w:tcW w:w="320" w:type="dxa"/>
            <w:vAlign w:val="bottom"/>
          </w:tcPr>
          <w:p>
            <w:pPr>
              <w:spacing w:after="0"/>
              <w:rPr>
                <w:sz w:val="24"/>
                <w:szCs w:val="24"/>
                <w:color w:val="auto"/>
              </w:rPr>
            </w:pPr>
          </w:p>
        </w:tc>
        <w:tc>
          <w:tcPr>
            <w:tcW w:w="394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83"/>
        </w:trPr>
        <w:tc>
          <w:tcPr>
            <w:tcW w:w="4160" w:type="dxa"/>
            <w:vAlign w:val="bottom"/>
            <w:gridSpan w:val="3"/>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Kelly Steckelberg</w:t>
            </w:r>
            <w:r>
              <w:rPr>
                <w:rFonts w:ascii="Times New Roman" w:cs="Times New Roman" w:eastAsia="Times New Roman" w:hAnsi="Times New Roman"/>
                <w:sz w:val="29"/>
                <w:szCs w:val="29"/>
                <w:color w:val="auto"/>
                <w:vertAlign w:val="superscript"/>
              </w:rPr>
              <w:t>(1)(3)</w:t>
            </w:r>
          </w:p>
        </w:tc>
        <w:tc>
          <w:tcPr>
            <w:tcW w:w="320" w:type="dxa"/>
            <w:vAlign w:val="bottom"/>
            <w:shd w:val="clear" w:color="auto" w:fill="CCEEFF"/>
          </w:tcPr>
          <w:p>
            <w:pPr>
              <w:spacing w:after="0"/>
              <w:rPr>
                <w:sz w:val="24"/>
                <w:szCs w:val="24"/>
                <w:color w:val="auto"/>
              </w:rPr>
            </w:pPr>
          </w:p>
        </w:tc>
        <w:tc>
          <w:tcPr>
            <w:tcW w:w="3940" w:type="dxa"/>
            <w:vAlign w:val="bottom"/>
            <w:gridSpan w:val="3"/>
            <w:shd w:val="clear" w:color="auto" w:fill="CCEEFF"/>
          </w:tcPr>
          <w:p>
            <w:pPr>
              <w:jc w:val="center"/>
              <w:ind w:left="289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83"/>
        </w:trPr>
        <w:tc>
          <w:tcPr>
            <w:tcW w:w="416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Aparna Bawa</w:t>
            </w:r>
            <w:r>
              <w:rPr>
                <w:rFonts w:ascii="Times New Roman" w:cs="Times New Roman" w:eastAsia="Times New Roman" w:hAnsi="Times New Roman"/>
                <w:sz w:val="29"/>
                <w:szCs w:val="29"/>
                <w:color w:val="auto"/>
                <w:vertAlign w:val="superscript"/>
              </w:rPr>
              <w:t>(1)</w:t>
            </w:r>
          </w:p>
        </w:tc>
        <w:tc>
          <w:tcPr>
            <w:tcW w:w="320" w:type="dxa"/>
            <w:vAlign w:val="bottom"/>
          </w:tcPr>
          <w:p>
            <w:pPr>
              <w:spacing w:after="0"/>
              <w:rPr>
                <w:sz w:val="24"/>
                <w:szCs w:val="24"/>
                <w:color w:val="auto"/>
              </w:rPr>
            </w:pPr>
          </w:p>
        </w:tc>
        <w:tc>
          <w:tcPr>
            <w:tcW w:w="394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304"/>
        </w:trPr>
        <w:tc>
          <w:tcPr>
            <w:tcW w:w="4160" w:type="dxa"/>
            <w:vAlign w:val="bottom"/>
            <w:tcBorders>
              <w:bottom w:val="single" w:sz="8" w:color="CCEEFF"/>
            </w:tcBorders>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Velchamy Sankarlingam</w:t>
            </w:r>
            <w:r>
              <w:rPr>
                <w:rFonts w:ascii="Times New Roman" w:cs="Times New Roman" w:eastAsia="Times New Roman" w:hAnsi="Times New Roman"/>
                <w:sz w:val="29"/>
                <w:szCs w:val="29"/>
                <w:color w:val="auto"/>
                <w:vertAlign w:val="superscript"/>
              </w:rPr>
              <w:t>(1)</w:t>
            </w:r>
          </w:p>
        </w:tc>
        <w:tc>
          <w:tcPr>
            <w:tcW w:w="3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148"/>
        </w:trPr>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1,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Steckelberg ceased providing services to us on November 26, 2024.</w:t>
      </w:r>
    </w:p>
    <w:p>
      <w:pPr>
        <w:spacing w:after="0" w:line="10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Mr. Yuan’s, Ms. Steckelberg’s, Ms. Bawa’s and Mr. Sankarlingam’s annual base salaries for fiscal 2024 had been temporarily reduced from $450,000 to $360,000 (or with respect to Mr. Yuan, $10,000) as part of the Company’s restructuring plan in February 2023. For fiscal 2025, such annual base salaries reverted to $450,000, which was the annual base salary amount effective at the end of fiscal 2023. Each of Mr. Yuan’s, Ms. Steckelberg’s, Ms. Bawa’s and Mr. Sankarlingam’s fiscal 2024 base salaries remained at or below the 50th percentile of market data.</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subsequently determined Ms. Chang’s base salary in connection with her commencement of employment with us based on a variety of factors, including Ms. Chang’s overall new hire compensation package. Ms. Chang’s base salary was between the 50th and 75th percentiles of market data for her position.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Cash Incentive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Officer Incentive Plan (the “Officer Incentive Plan”) applies to certain key executives, including each of our named executive officers. The Officer Incentive Plan provides for the opportunity to earn cash incentive payments based upon the attainment of certain corporate, financial, or operational measures or objectives appropriate for the fiscal year. Each participant has a target annual performance incentive opportunity that corresponds to the achievement of 100% of the corporate performance goals. The corporate performance goals and incentive formulas are adopted annually by the Compensation Committee and communicated to each executive participant. If the corporate performance goals are met, the Compensation Committee will determine if incentive payments are made as soon as practicable thereafter.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Target Amounts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fiscal 2025, each of our named executive officers participated in the Officer Incentive Plan. Each of our named executive officers (excluding Ms. Chang) was eligible to receive a cash incentive bonus at an annual target of 8% of base salary for fiscal 2025. The target percentages applicable to such named executive officers for fiscal 2025 had remained unchanged for the past four fiscal years. For fiscal 2025, the Compensation Committee believed that the 8% target cash bonuses were appropriate because they resulted in executive compensation being primarily comprised of equity awards in order to focus our executive officers on achievement of our long-term strategic and financial goals and aligned their interests with those of our stockholders.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is aware that the 8% targets for our named executive officers fall significantly below the annual incentive opportunities offered by our peer companies and intends to adjust our compensation program over the next two fiscal years to increase bonus opportunities to more closely align with the market (and to concurrently reduce the target grant date values of annual performance-vesting RSU bonus awards, as disclosed under “Executive Summary” above). The Compensation Committee adopted this approach in October 2024 when determining Ms. Chang’s cash incentive bonus in connection with her commencement of employment. Ms. Chang is eligible to receive a cash incentive bonus for fiscal 2025 at an annual target of 90% of base salary, pro-rated for Ms. Chang’s services to Zoom during fiscal 2025. The Compensation Committee determined Ms. Chang’s target bonus amount for fiscal 2025 based on its subjective determination of the amount appropriate to induce and retain Ms. Chang and reasonable in relation to market data. Ms. Chang’s target bonus amount was at the 50th percentile of market data for her position.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Performance Goals and Achievement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established revenue and non-GAAP income from operations as the corporate performance goals applicable to the fiscal 2025 plan year. The Compensation Committee chose these metrics because they align with our primary objectives to drive revenue growth and operating performance and leverage. Non-GAAP income from operations is an important indicator of our ability to effectively manage operating expenses given our revenue growth. The Compensation Committee set the targets for revenue and non-GAAP income from operations at levels that the Compensation Committee determined to be rigorous and uncertain as of the time of approval in early fiscal 2025, after considering the complex macroeconomic environment and the likelihood of a range of business scenarios that could impact our performance. Our revenue target was set above actual revenue achievement for fiscal 2024, given our expectations that we could, with effort, achieve increased revenue year-over-year and was aligned with our external guidance for fiscal 2025. Our non-GAAP income from operations target was set below actual achievement for fiscal 2024, given our expected decline in non-GAAP operating income year-over-year due to our continued investment in AI, but at the high end of our external guidance as of early fiscal 2025, with maximum goals at levels that would require extremely strong financial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of the annual corporate performance goals, their relative weightings, and payout methodology are summarized in the chart below. The incentive payout each participant could receive under the Officer Incentive Plan was capped at 200% of such participant’s target incentive.</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Payout Formula</w:t>
            </w:r>
            <w:r>
              <w:rPr>
                <w:rFonts w:ascii="Times New Roman" w:cs="Times New Roman" w:eastAsia="Times New Roman" w:hAnsi="Times New Roman"/>
                <w:sz w:val="23"/>
                <w:szCs w:val="23"/>
                <w:b w:val="1"/>
                <w:bCs w:val="1"/>
                <w:color w:val="auto"/>
                <w:vertAlign w:val="superscript"/>
              </w:rPr>
              <w:t>(2)</w:t>
            </w:r>
          </w:p>
        </w:tc>
        <w:tc>
          <w:tcPr>
            <w:tcW w:w="2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214"/>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Goal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18"/>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Less than threshold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$4,665.4 million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9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83.8%</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($4,416.0 million): no payout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Threshold 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($4,416.0 million): 20% payout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funding</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Target 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($4,600.0 million): 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payout funding</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Maximum 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($5,980.0 million or above):</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 payout funding</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236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9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Less than threshold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$1,837.9 million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9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22.5%</w:t>
            </w: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6"/>
                <w:szCs w:val="16"/>
                <w:color w:val="auto"/>
              </w:rPr>
              <w:t>from Operations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achievement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($1,384.0 million): no payout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Threshold 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($1,384.0 million): 20% payout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funding</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Target 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($1,730.0 million): 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payout funding</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Maximum achievement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($2,595.0 million or above):</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 payout funding</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148590</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9" w:lineRule="exact"/>
        <w:rPr>
          <w:sz w:val="20"/>
          <w:szCs w:val="20"/>
          <w:color w:val="auto"/>
        </w:rPr>
      </w:pPr>
    </w:p>
    <w:p>
      <w:pPr>
        <w:jc w:val="both"/>
        <w:ind w:left="640" w:right="299" w:hanging="348"/>
        <w:spacing w:after="0" w:line="242"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income from operations is a non-GAAP financial measure, which represents the GAAP income from operations excluding stock-based compensation expense and related payroll taxes, acquisition-related expenses, restructuring expenses, and litigation settlements, net.</w:t>
      </w:r>
    </w:p>
    <w:p>
      <w:pPr>
        <w:spacing w:after="0" w:line="17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Payout funding for achievement between threshold, target and maximum achievement levels was determined under the following payout scale: for achievement levels between threshold and target, 20% payout funding would occur for each 1% (5% in the case of non-GAAP income from operations) of achievement above threshold; for achievement levels between target and maximum, the 100% target payout funding would be increased by 20% payout funding for each 6% (10% in the case of non-GAAP income from operations) of achievement above target, in each case with linear interpolation between such levels.</w:t>
      </w:r>
    </w:p>
    <w:p>
      <w:pPr>
        <w:spacing w:after="0" w:line="73"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assessed the corporate performance goal achievement following the end of fiscal 2025 and approved payouts under the Officer Incentive Plan based solely on our performance relative to the corporate performance goals and our payout methodology described above. Accordingly, each of our NEOs received the following aggregate cash incentive bonus payments under the Officer Incentive Plan for fiscal 2025.</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Target</w:t>
            </w:r>
          </w:p>
        </w:tc>
        <w:tc>
          <w:tcPr>
            <w:tcW w:w="0" w:type="dxa"/>
            <w:vAlign w:val="bottom"/>
          </w:tcPr>
          <w:p>
            <w:pPr>
              <w:spacing w:after="0"/>
              <w:rPr>
                <w:sz w:val="1"/>
                <w:szCs w:val="1"/>
                <w:color w:val="auto"/>
              </w:rPr>
            </w:pPr>
          </w:p>
        </w:tc>
      </w:tr>
      <w:tr>
        <w:trPr>
          <w:trHeight w:val="214"/>
        </w:trPr>
        <w:tc>
          <w:tcPr>
            <w:tcW w:w="65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w:t>
            </w: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8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$ 38,268</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84"/>
        </w:trPr>
        <w:tc>
          <w:tcPr>
            <w:tcW w:w="65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Michelle Chang</w:t>
            </w:r>
            <w:r>
              <w:rPr>
                <w:rFonts w:ascii="Times New Roman" w:cs="Times New Roman" w:eastAsia="Times New Roman" w:hAnsi="Times New Roman"/>
                <w:sz w:val="29"/>
                <w:szCs w:val="29"/>
                <w:color w:val="auto"/>
                <w:vertAlign w:val="superscript"/>
              </w:rPr>
              <w:t>(2)</w:t>
            </w:r>
          </w:p>
        </w:tc>
        <w:tc>
          <w:tcPr>
            <w:tcW w:w="8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$177,382</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8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$ 38,268</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8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$ 38,268</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3"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her resignation, Ms. Steckelberg was no longer entitled to, and did not receive, a cash incentive bonus payment for fiscal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Chang’s cash incentive bonus payment was pro-rated to reflect her October 7, 2024 start date.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Form of Awards. </w:t>
      </w:r>
      <w:r>
        <w:rPr>
          <w:rFonts w:ascii="Times New Roman" w:cs="Times New Roman" w:eastAsia="Times New Roman" w:hAnsi="Times New Roman"/>
          <w:sz w:val="18"/>
          <w:szCs w:val="18"/>
          <w:color w:val="auto"/>
        </w:rPr>
        <w:t>Since our initial public offering, we have granted equity compensation to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primarily in the form of RSU awards. The Compensation Committee regularly reviews market trends regarding equity compensation structures in connection with making executive compensation decisions. For fiscal 2025, the Compensation Committee determined that RSUs continued to be the most appropriate incentive structure for our executive officers at this time to deliver meaningful incentives that align our named executive officers’ interests with those of our stockholders by providing a return directly in line with our stock price. The Compensation Committee introduced performance-vesting RSU awards into our fiscal 2025 annual equity program and additionally granted time-vesting RSU awards to certain of our named executive officers. RSUs cover fewer shares than stock options, minimize dilution to stockholders, are straightforward and understandable to our employees, and are the predominant type of equity award utilized by the peer companies with whom we compete for talent. Time-vesting RSU awards encourage retention through vesting over the recipient’s continued employment with us, while performance-vesting RSU awards incentivize and reward our executive officers for achieving pre-determined levels of performance.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generally grant equity awards on fixed dates determined in advance, although there may be occasions when grants are made on other dates, such as new hires or other special circumstances. The timing of equity award grants to our executive officers is not coordinated in a manner that intentionally benefits our executive officers. The Company does not grant stock options, stock appreciation rights, or similar instruments with option-like features and has no policies or practices to disclose pursuant to Item 402(x)(1) of Regulation S-K.</w:t>
      </w:r>
    </w:p>
    <w:p>
      <w:pPr>
        <w:spacing w:after="0" w:line="7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Targeted Grant Value and Resulting Shares. </w:t>
      </w:r>
      <w:r>
        <w:rPr>
          <w:rFonts w:ascii="Times New Roman" w:cs="Times New Roman" w:eastAsia="Times New Roman" w:hAnsi="Times New Roman"/>
          <w:sz w:val="18"/>
          <w:szCs w:val="18"/>
          <w:color w:val="auto"/>
        </w:rPr>
        <w:t>The Compensation Committee typically approves a target dollar-denominated grant value for each equity award, which is then translated into the number of RSUs that are granted. We generally determine the number of RSUs underlying each grant by dividing the RSU target grant value by our average closing price over the 30-trading day period ending 14 calendar days prior to the grant date. The Compensation Committee generally uses a historical average closing market price to determine the number of shares subject to each equity award, rather than a single day stock price on the date of grant, in order to provide a more stabilized stock value less susceptible to possible swings in the market. The Compensation Committee understands that using a historical average stock price can result in the ultimate grant date value of an award as required to be reported in the Summary Compensation Table and the Grants of Plan-Based Awards table under ASC 718 being higher or lower than the target grant value but has considered this, in consultation with Aon, and determined that the process described above is the most appropriate as a general practice for us at this time.</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Grant Programs. </w:t>
      </w:r>
      <w:r>
        <w:rPr>
          <w:rFonts w:ascii="Times New Roman" w:cs="Times New Roman" w:eastAsia="Times New Roman" w:hAnsi="Times New Roman"/>
          <w:sz w:val="18"/>
          <w:szCs w:val="18"/>
          <w:color w:val="auto"/>
        </w:rPr>
        <w:t>We generally grant equity awards to our named executive officers under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methodology that apply to all employees across our organization, which we believe builds trust, transparency, and teamwork. Our equity programs have evolved over the years since we became a public company in 2019, and our Compensation Committee continues to evaluate the most appropriate compensation programs to attract and retain employees and motivate and reward them for our long-term performance.</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Four-Year New Hire and Refresh Awards. </w:t>
      </w:r>
      <w:r>
        <w:rPr>
          <w:rFonts w:ascii="Times New Roman" w:cs="Times New Roman" w:eastAsia="Times New Roman" w:hAnsi="Times New Roman"/>
          <w:sz w:val="18"/>
          <w:szCs w:val="18"/>
          <w:color w:val="auto"/>
        </w:rPr>
        <w:t>We have typically granted equity awards upon an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employment or promotion that vest over a four-year period, followed by four-year “refresh” grants when these awards are substantially or fully vested, or otherwise not providing sufficient retention and incentive for our employees. The value of our four-year equity awards generally appears higher than the grant values of other companies, when viewed on a single year basis. As such, these awards should generally be viewed in the context of compensation over a four-year period.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April 2024, we granted a four-year “refresh” award to Mr. Sankarlingam, who had received a four-year new hire award in July 2020. The Compensation Committee determined the size of the four-year “refresh” award in its subjective discretion, using its experience and business judgment, considering various factors, including market data, individual performance, current equity awards granted (including vested and unvested portions), and total target cash and equity compensation opportunity. The Compensation Committee considered the annualized value of Mr. Sankarlingam’s award when evaluating the appropriate amount with the resulting total compensation approximating between the 50th and 75th percentiles of market data for annual equity grant values and annual total compensation for similar roles. The Compensation Committee determined this value was appropriate to provide Mr. Sankarlingam incentive to remain fully focused and engaged on the continued growth of our organization for the long-term.</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October 2024, we granted a four-year new hire award to Ms. Chang in connection with her commencement of employment with us. The Compensation Committee determined the size of Ms. Chang’s grant based on the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it felt, in its subjective discretion, was appropriate to induce Ms. Chang to join us, taking into account various factors, including market data and the equity ownership opportunities of our other named executive officers. The Compensation Committee considered the annualized value of Ms. Chang’s award and the resulting total compensation amount, which was largely driven by Ms. Chang’s new hire award, when determining the appropriate new hire award value. On an annualized basis (i.e., total grant amount divided by four), Ms. Chang’s four-year new hire award and her resulting total compensation was roughly at the median of market data for new hire equity grant values and annual total compensation for similar roles. The Compensation Committee felt this positioning was appropriate to induce Ms. Chang to join the Company and to sufficiently incentivize Ms. Chang.</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47"/>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0" w:type="dxa"/>
            <w:vAlign w:val="bottom"/>
          </w:tcPr>
          <w:p>
            <w:pPr>
              <w:spacing w:after="0"/>
              <w:rPr>
                <w:sz w:val="12"/>
                <w:szCs w:val="12"/>
                <w:color w:val="auto"/>
              </w:rPr>
            </w:pPr>
          </w:p>
        </w:tc>
        <w:tc>
          <w:tcPr>
            <w:tcW w:w="1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Grant Value –</w:t>
            </w:r>
          </w:p>
        </w:tc>
        <w:tc>
          <w:tcPr>
            <w:tcW w:w="30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Grant Value –</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Total – Four-Year Award ($)</w:t>
            </w:r>
          </w:p>
        </w:tc>
        <w:tc>
          <w:tcPr>
            <w:tcW w:w="3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Annualized Award ($)</w:t>
            </w: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20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$23,600,000</w:t>
            </w:r>
          </w:p>
        </w:tc>
        <w:tc>
          <w:tcPr>
            <w:tcW w:w="16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$5,900,000</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20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$22,000,000</w:t>
            </w:r>
          </w:p>
        </w:tc>
        <w:tc>
          <w:tcPr>
            <w:tcW w:w="16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Annual Performance-Vesting RSU Bonus Awards. </w:t>
      </w:r>
      <w:r>
        <w:rPr>
          <w:rFonts w:ascii="Times New Roman" w:cs="Times New Roman" w:eastAsia="Times New Roman" w:hAnsi="Times New Roman"/>
          <w:sz w:val="18"/>
          <w:szCs w:val="18"/>
          <w:color w:val="auto"/>
        </w:rPr>
        <w:t>In fiscal 2023 and fiscal 2024, we granted annual RSU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our employees in good standing, including our named executive officers serving at such time. In April 2024, we granted the annual RSU bonus awards entirely in the form of performance-vesting RSU awards. These awards are intended to supplement our annual cash incentive program, are eligible to vest after one year (if performance goals are met) and therefore are sized significantly smaller than four-year new hire and “refresh” awards. The Compensation Committee designed the performance-vesting RSU awards to align closely to our strategy to drive revenue growth and operating performance and leverage. As such, the Compensation Committee adopted annual revenue and non-GAAP income from operations as the performance metrics applicable to the performance-vesting RSU awards. The Compensation Committee structured these metrics to be the same as those used under our Officer Incentive Plan due to their importance to our business and because the awards were intended to supplement our annual incentive program, to provide further incentive to our employees to deliver results. While target levels of achievement of the performance metrics were the same as under the Officer Incentive Plan, the Compensation Committee made two changes for the performance-vesting RSUs: it raised the threshold level of achievement necessary for any RSUs to vest, and it capped payout at 100% of target. The Compensation Committee also considered the fact that the substantial majority of equity incentives held by our named executive officers consisted of long-term equity incentives, which provided an appropriate balance to short-term incentive opportunities.</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performance-vesting RSU awards granted to each of our NEOs (excluding Ms. Chang) reflect amounts that, when combined with the annual target 8% cash incentive opportunity, make our NEOs’ annual incentive compensation more competitive with those offered by our peer companies. To promote fairness and teamwork, our Compensation Committee structured the size of awards to be consistent for employees at similar levels. Accordingly, as CEO, Mr. Yuan received the largest award and each of Ms. Steckelberg, Ms. Bawa and Mr. Sankarlingam received a smaller, equal-size award in fiscal 2025. All NEO awards reflected the same target grant values as the annual RSU bonus awards approved in fiscal 2024. The target grant values of the annual performance-vesting RSU bonus awards granted to each of our NEOs in April 2024 are set forth in the following table. Achievement was capped at 100% of target.</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Annual Performance-</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Vesting RSU</w:t>
            </w:r>
          </w:p>
        </w:tc>
        <w:tc>
          <w:tcPr>
            <w:tcW w:w="0" w:type="dxa"/>
            <w:vAlign w:val="bottom"/>
          </w:tcPr>
          <w:p>
            <w:pPr>
              <w:spacing w:after="0"/>
              <w:rPr>
                <w:sz w:val="1"/>
                <w:szCs w:val="1"/>
                <w:color w:val="auto"/>
              </w:rPr>
            </w:pPr>
          </w:p>
        </w:tc>
      </w:tr>
      <w:tr>
        <w:trPr>
          <w:trHeight w:val="148"/>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13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Award Target</w:t>
            </w:r>
          </w:p>
        </w:tc>
        <w:tc>
          <w:tcPr>
            <w:tcW w:w="0" w:type="dxa"/>
            <w:vAlign w:val="bottom"/>
          </w:tcPr>
          <w:p>
            <w:pPr>
              <w:spacing w:after="0"/>
              <w:rPr>
                <w:sz w:val="1"/>
                <w:szCs w:val="1"/>
                <w:color w:val="auto"/>
              </w:rPr>
            </w:pPr>
          </w:p>
        </w:tc>
      </w:tr>
      <w:tr>
        <w:trPr>
          <w:trHeight w:val="214"/>
        </w:trPr>
        <w:tc>
          <w:tcPr>
            <w:tcW w:w="69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Grant Value ($)</w:t>
            </w:r>
          </w:p>
        </w:tc>
        <w:tc>
          <w:tcPr>
            <w:tcW w:w="0" w:type="dxa"/>
            <w:vAlign w:val="bottom"/>
          </w:tcPr>
          <w:p>
            <w:pPr>
              <w:spacing w:after="0"/>
              <w:rPr>
                <w:sz w:val="1"/>
                <w:szCs w:val="1"/>
                <w:color w:val="auto"/>
              </w:rPr>
            </w:pPr>
          </w:p>
        </w:tc>
      </w:tr>
      <w:tr>
        <w:trPr>
          <w:trHeight w:val="25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1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Kelly Steckelberg</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4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Chang commenced employment in October 2024 and did not receive an annual performance-vesting RSU award in fiscal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February 2025, the Compensation Committee evaluated the Company’s performance against the relevant metrics and determined the number of performance-vesting RSUs that are eligible to vest (the “certified RSUs”) based on level of achievement. Each of the metrics applicable to our annual performance-vesting RSU awards, their relative weightings and payout methodology are summarized in the chart below.</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Payout Formula</w:t>
            </w:r>
            <w:r>
              <w:rPr>
                <w:rFonts w:ascii="Times New Roman" w:cs="Times New Roman" w:eastAsia="Times New Roman" w:hAnsi="Times New Roman"/>
                <w:sz w:val="23"/>
                <w:szCs w:val="23"/>
                <w:b w:val="1"/>
                <w:bCs w:val="1"/>
                <w:color w:val="auto"/>
                <w:vertAlign w:val="superscript"/>
              </w:rPr>
              <w:t>(2)</w:t>
            </w: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4"/>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Goal</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(Unweighted)</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Less than threshold achievement (less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$4,665.4 million</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than $4,508.0 million): 0% vesting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Threshold achievement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($4,508.0 million): 60% vesting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Target achievement ($4,600.0 million</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 above): 100% vesting</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88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Less than threshold achievement (less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$1,837.9 million</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than $1,557.0 million): 0% vesting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6"/>
                <w:szCs w:val="16"/>
                <w:color w:val="auto"/>
              </w:rPr>
              <w:t>Operations</w:t>
            </w:r>
            <w:r>
              <w:rPr>
                <w:rFonts w:ascii="Times New Roman" w:cs="Times New Roman" w:eastAsia="Times New Roman" w:hAnsi="Times New Roman"/>
                <w:sz w:val="25"/>
                <w:szCs w:val="25"/>
                <w:color w:val="auto"/>
                <w:vertAlign w:val="superscript"/>
              </w:rPr>
              <w:t>(1)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Threshold achievement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($1,557.0 million): 60% vesting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Target achievement ($1,730.0 million</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 above): 100% vesting</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131445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2" w:lineRule="exact"/>
        <w:rPr>
          <w:sz w:val="20"/>
          <w:szCs w:val="20"/>
          <w:color w:val="auto"/>
        </w:rPr>
      </w:pPr>
    </w:p>
    <w:p>
      <w:pPr>
        <w:ind w:left="640" w:right="31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income from operations is a non-GAAP financial measure and is calculated as described above under “—Fiscal 2025 Performance Goals and Achievement.”</w:t>
      </w:r>
    </w:p>
    <w:p>
      <w:pPr>
        <w:jc w:val="both"/>
        <w:ind w:left="640" w:right="29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Payout funding for achievement between threshold and target achievement levels was determined under the following payout scale: for achievement levels between threshold and target, 20% payout funding would occur for each 1% (5% in the case of non-GAAP income from operations) of achievement above threshold, with linear interpolation between such levels.</w:t>
      </w:r>
    </w:p>
    <w:p>
      <w:pPr>
        <w:spacing w:after="0" w:line="73"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number of certified RSUs held by each named executive officer, as approved by the Compensation Committee, is set forth in the table below. The certified RSUs vested in full on the one-year anniversary of the grant date of the annual performance-vesting RSU awards (April 9, 2025), subject to the recipient’s continued services through such date.</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Certified RSUs</w:t>
            </w:r>
          </w:p>
        </w:tc>
      </w:tr>
      <w:tr>
        <w:trPr>
          <w:trHeight w:val="23"/>
        </w:trPr>
        <w:tc>
          <w:tcPr>
            <w:tcW w:w="6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194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15,093</w:t>
            </w:r>
          </w:p>
        </w:tc>
      </w:tr>
      <w:tr>
        <w:trPr>
          <w:trHeight w:val="283"/>
        </w:trPr>
        <w:tc>
          <w:tcPr>
            <w:tcW w:w="64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Kelly Steckelberg</w:t>
            </w:r>
            <w:r>
              <w:rPr>
                <w:rFonts w:ascii="Times New Roman" w:cs="Times New Roman" w:eastAsia="Times New Roman" w:hAnsi="Times New Roman"/>
                <w:sz w:val="29"/>
                <w:szCs w:val="29"/>
                <w:color w:val="auto"/>
                <w:vertAlign w:val="superscript"/>
              </w:rPr>
              <w:t>(1)</w:t>
            </w:r>
          </w:p>
        </w:tc>
        <w:tc>
          <w:tcPr>
            <w:tcW w:w="260" w:type="dxa"/>
            <w:vAlign w:val="bottom"/>
          </w:tcPr>
          <w:p>
            <w:pPr>
              <w:spacing w:after="0"/>
              <w:rPr>
                <w:sz w:val="24"/>
                <w:szCs w:val="24"/>
                <w:color w:val="auto"/>
              </w:rPr>
            </w:pPr>
          </w:p>
        </w:tc>
        <w:tc>
          <w:tcPr>
            <w:tcW w:w="168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194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11,320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19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11,320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133985</wp:posOffset>
            </wp:positionV>
            <wp:extent cx="822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6" w:lineRule="exact"/>
        <w:rPr>
          <w:sz w:val="20"/>
          <w:szCs w:val="20"/>
          <w:color w:val="auto"/>
        </w:rPr>
      </w:pPr>
    </w:p>
    <w:p>
      <w:pPr>
        <w:ind w:left="640" w:right="3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Steckelberg ceased providing services to us in November 2024; her performance-vesting RSU award was unvested and was forfeited immediately upon her termination.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Features of Our Executive Compensation Program</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Offer Letters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maintain employee offer letters with each of our named executive officers (including Ms. Steckelberg, prior to her resignation) that set forth the initial terms and conditions of their employment, including position, base salary and severance benefits described below. The terms of each of our named executive officers’ incentive opportunities are governed by our Officer Incentive Plan described above. Each of our named executive officers is an at-will employee.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of our named executive officers (including Ms. Steckelberg, prior to her resignation) is eligible for severance benefits upon certain types of involuntary termination events, including involuntary terminations in connection with a change in control of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believes severance benefits are important from a retention perspective to provide some level of protection to our executive officers who might be terminated involuntarily, including in connection with a change in control and that the amounts are reasonable and maintain the competitiveness of our executive compensation and retention program. Further, the Compensation Committee believes this structure serves to mitigate the distraction and loss of key executive officers that may occur in connection with potential or actual change in control. Such payments protect the interests of our stockholders by enhancing executive focus, including during potential change in control activity, retaining executives despite the uncertainty that generally exists while a transaction is under consideration and encouraging the executives responsible for negotiating potential transactions to do so with independence and objectivity. We do not have any agreements with our named executive officers guaranteeing any tax gross-up payments on severance or change in control benefits.</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maintain a Severance and Change in Control Plan (the “Severance Plan”) that provides severance protection to certain Company employees, including each of our named executive officers (including Ms. Steckelberg, prior to her resignation). The Severance Plan provides for “double trigger” benefits upon involuntary terminations that occur in connection with a change in control and limited equity acceleration benefits upon an involuntary termination that occurs outside of the change-in-control context.</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August 2024, Ms. Steckelberg notified us of her intent to resign from her role as Chief Financial Officer. In connection with her resignation, we entered into a transition and separation agreement with Ms. Steckelberg, pursuant to which she continued to provide services to the Company through a transition period and remained entitled to her annual base salary and vesting of her outstanding equity awards pursuant to their terms. Ms. Steckelberg ceased providing services to us on November 26, 2024 and was not entitled to, and did not receive, any severance payments or benefits in connection with the termination of her services.</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more detailed description of the Severance Plan and each of our named executive officer’s potential payments and benefits upon a termination or change in control is provided below under “Potential Payments upon Termination or Change in Control.”</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401(k) Plan, ESPP, Welfare and Health Benefits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We have the ability to make discretionary matching and discretionary employer contributions to the 401(k) plan. For fiscal 2025, we made (i) a discretionary matching employer contribution equal to 50% of each participant’s deferral contributions to the extent such contributions do not exceed 3% of the participant’s 401(k) plan compensation on a payroll by payroll basis and (ii) a true-up discretionary matching contribution in the first quarter of the following fiscal year (typically by the end of April), in the same amount for participants employed on the last working day of the plan year of the 401(k) plan.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also offer our employees, including our named executive officers, the opportunity to purchase shares of our common stock at a discount under our 2019 Employee Stock Purchase Plan, or “ESPP.” Pursuant to the ESPP, all eligible employees, including the eligible named executive officers, may allocate up to 20% of the participant’s earnings (as defined in the ESPP) for that year to purchase our Class A common stock at a 15% discount to the market price, subject to specified limits. Mr. Yuan is not currently eligible to participate in the ESPP because he owns, directly and indirectly, shares of our common stock comprising more than five percent of the total combined voting power or value of all classes of stock of the Company.</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 We pay the premiums for term life insurance and disability insurance, subject to certain limitations, for all of our employees, including our named executive officers.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address safety concerns resulting from Mr. Yuan’s position as our founder and CEO, we pay for costs related to security for Mr. Yuan at his personal residence and when he travels for both business and non-business reasons, including the cost of ground transportation. Our security practices for Mr. Yuan’s transportation and personal security are consistent with best practices as assessed by an independent third-party security firm. As assessed, Mr. Yuan is inextricably linked to Zoom’s activities and stability. Therefore, we implement certain security procedures for Mr. Yuan as part of the overall security plan to mitigate risk of harm. The costs for Mr. Yuan’s personal security were higher in fiscal 2025 compared to fiscal 2024 primarily as a result of increased travel, increased security measures and a rise in the cost of security services.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All future practices with respect to perquisites or other personal benefits will be approved and subject to periodic review by the Compensation Committee.</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Pension Benefits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During fiscal 2025, our U.S. employees, including our named executive officers, did not contribute to, or earn any amounts with respect to, any defined contribution or other plan sponsored by us that provides for the deferral of compensation on a basis that is not tax-qualified.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Section 162(m) of the Code (“Section 162(m)”), compensation paid to any publicly held corporation’s “covered employees” that exceeds $1 million per taxable year for any covered employee is generally non-deductible unless the compensation qualifies for the reliance period exception for certain compensation paid by corporations that became publicly held on or before December 20, 2019.</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voluntarily adopted an incentive compensation recoupment (the “Recoupment Policy”) that became effective in connection with our initial public offering in 2019, ahead of final guidance by the SEC regarding the clawback rules required under the Dodd-Frank Wall Street Reform and Consumer Protection Act (the “SEC Clawback Rules”). Under the Recoupment Policy, if an officer’s misconduct contributes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 month period preceding the restatement obligation as noted above. Our Board of Directors has the authority and discretion to determine whether an event covered by the Recoupment Policy has occurred and, depending on the facts and circumstances, may (but need not) require full or partial forfeiture and/or prepayment of the incentive compensation described above.</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November 2023, we adopted a clawback policy (the “Clawback Policy”) that complies with the listing standards adopted by Nasdaq that implement the SEC Clawback Rules and applies to our executive officers (as defined in applicable SEC Clawback Rules). The Clawback Policy requires the Company to recover from covered executive officers the amount of erroneously awarded compensation resulting from an accounting restatement due to the material noncompliance of the Company with any financial reporting requirement under the securities laws. The Clawback Policy applies to incentive compensation that is received by a covered officer on or after October 2, 2023, as further described in the Clawback Policy, which is filed as an exhibit to our Annual Report on Form 10-K.</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above,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Policy Prohibiting Hedging and Pledging of Our Equity Securities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our compensation policies and practices, in consultation with Aon and outside counsel, to assess whether they encourage employees to take inappropriate risks. After conducting this review of compensation-related risk, the Compensation Committee has concluded that our compensation policies and practices are not reasonably likely to have a material adverse effect on our Company.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January 31, 2025.</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William R. McDermott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Dan Scheinman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3" w:lineRule="exact"/>
        <w:rPr>
          <w:sz w:val="20"/>
          <w:szCs w:val="20"/>
          <w:color w:val="auto"/>
        </w:rPr>
      </w:pPr>
    </w:p>
    <w:p>
      <w:pPr>
        <w:jc w:val="both"/>
        <w:ind w:left="640" w:right="299" w:hanging="348"/>
        <w:spacing w:after="0" w:line="236"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in this report is not “soliciting material,” is furnished to, but not deemed “filed” with, the Commission and is not deemed to be incorporated by reference in any of our filings under the Securities Act or the Exchange Act, other than our Annual Report on Form 10-K, where it shall be deemed to be “furnished,” whether made before or after the date hereof and irrespective of any general incorporation language in any such filing.”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EXECUTIVE COMPENSATION DISCLOSURE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during the fiscal years ended January 31, 2025, 2024, and 2023.</w:t>
      </w:r>
    </w:p>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6"/>
                <w:szCs w:val="16"/>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8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28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453,462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963,688</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38,268</w:t>
            </w:r>
          </w:p>
        </w:tc>
        <w:tc>
          <w:tcPr>
            <w:tcW w:w="128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6"/>
                <w:szCs w:val="16"/>
                <w:color w:val="auto"/>
              </w:rPr>
              <w:t>1,972,751</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3,428,169</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28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26,246,026</w:t>
            </w:r>
          </w:p>
        </w:tc>
        <w:tc>
          <w:tcPr>
            <w:tcW w:w="1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w:t>
            </w:r>
          </w:p>
        </w:tc>
        <w:tc>
          <w:tcPr>
            <w:tcW w:w="128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1,825,347</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28,082,133</w:t>
            </w:r>
          </w:p>
        </w:tc>
        <w:tc>
          <w:tcPr>
            <w:tcW w:w="0" w:type="dxa"/>
            <w:vAlign w:val="bottom"/>
          </w:tcPr>
          <w:p>
            <w:pPr>
              <w:spacing w:after="0"/>
              <w:rPr>
                <w:sz w:val="1"/>
                <w:szCs w:val="1"/>
                <w:color w:val="auto"/>
              </w:rPr>
            </w:pPr>
          </w:p>
        </w:tc>
      </w:tr>
      <w:tr>
        <w:trPr>
          <w:trHeight w:val="88"/>
        </w:trPr>
        <w:tc>
          <w:tcPr>
            <w:tcW w:w="21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2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1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16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vMerge w:val="restart"/>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402,962</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74,311,158</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1,245,563</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75,959,683</w:t>
            </w:r>
          </w:p>
        </w:tc>
        <w:tc>
          <w:tcPr>
            <w:tcW w:w="0" w:type="dxa"/>
            <w:vAlign w:val="bottom"/>
          </w:tcPr>
          <w:p>
            <w:pPr>
              <w:spacing w:after="0"/>
              <w:rPr>
                <w:sz w:val="1"/>
                <w:szCs w:val="1"/>
                <w:color w:val="auto"/>
              </w:rPr>
            </w:pPr>
          </w:p>
        </w:tc>
      </w:tr>
      <w:tr>
        <w:trPr>
          <w:trHeight w:val="108"/>
        </w:trPr>
        <w:tc>
          <w:tcPr>
            <w:tcW w:w="2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189,615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24,872,656</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177,382</w:t>
            </w:r>
          </w:p>
        </w:tc>
        <w:tc>
          <w:tcPr>
            <w:tcW w:w="12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669</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25,240,322</w:t>
            </w:r>
          </w:p>
        </w:tc>
        <w:tc>
          <w:tcPr>
            <w:tcW w:w="0" w:type="dxa"/>
            <w:vAlign w:val="bottom"/>
          </w:tcPr>
          <w:p>
            <w:pPr>
              <w:spacing w:after="0"/>
              <w:rPr>
                <w:sz w:val="1"/>
                <w:szCs w:val="1"/>
                <w:color w:val="auto"/>
              </w:rPr>
            </w:pPr>
          </w:p>
        </w:tc>
      </w:tr>
      <w:tr>
        <w:trPr>
          <w:trHeight w:val="283"/>
        </w:trPr>
        <w:tc>
          <w:tcPr>
            <w:tcW w:w="21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29"/>
                <w:szCs w:val="29"/>
                <w:i w:val="1"/>
                <w:iCs w:val="1"/>
                <w:color w:val="auto"/>
                <w:vertAlign w:val="superscript"/>
              </w:rPr>
              <w:t>(5)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453,165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38,268</w:t>
            </w:r>
          </w:p>
        </w:tc>
        <w:tc>
          <w:tcPr>
            <w:tcW w:w="128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5,184</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1,219,398</w:t>
            </w: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80" w:type="dxa"/>
            <w:vAlign w:val="bottom"/>
            <w:shd w:val="clear" w:color="auto" w:fill="CCEEFF"/>
          </w:tcPr>
          <w:p>
            <w:pPr>
              <w:spacing w:after="0"/>
              <w:rPr>
                <w:sz w:val="20"/>
                <w:szCs w:val="2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361,385</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11,102,206</w:t>
            </w:r>
          </w:p>
        </w:tc>
        <w:tc>
          <w:tcPr>
            <w:tcW w:w="1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25,949</w:t>
            </w:r>
          </w:p>
        </w:tc>
        <w:tc>
          <w:tcPr>
            <w:tcW w:w="128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7,903</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11,497,442</w:t>
            </w:r>
          </w:p>
        </w:tc>
        <w:tc>
          <w:tcPr>
            <w:tcW w:w="0" w:type="dxa"/>
            <w:vAlign w:val="bottom"/>
          </w:tcPr>
          <w:p>
            <w:pPr>
              <w:spacing w:after="0"/>
              <w:rPr>
                <w:sz w:val="1"/>
                <w:szCs w:val="1"/>
                <w:color w:val="auto"/>
              </w:rPr>
            </w:pPr>
          </w:p>
        </w:tc>
      </w:tr>
      <w:tr>
        <w:trPr>
          <w:trHeight w:val="61"/>
        </w:trPr>
        <w:tc>
          <w:tcPr>
            <w:tcW w:w="2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426,923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27,611,195</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28,038,118</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453,462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21,922,642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38,268</w:t>
            </w:r>
          </w:p>
        </w:tc>
        <w:tc>
          <w:tcPr>
            <w:tcW w:w="12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5,279</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22,419,651</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of Product and</w:t>
            </w:r>
          </w:p>
        </w:tc>
        <w:tc>
          <w:tcPr>
            <w:tcW w:w="66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361,385</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9,699,411</w:t>
            </w: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25,949</w:t>
            </w:r>
          </w:p>
        </w:tc>
        <w:tc>
          <w:tcPr>
            <w:tcW w:w="128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6,046</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10,092,791</w:t>
            </w:r>
          </w:p>
        </w:tc>
        <w:tc>
          <w:tcPr>
            <w:tcW w:w="0" w:type="dxa"/>
            <w:vAlign w:val="bottom"/>
          </w:tcPr>
          <w:p>
            <w:pPr>
              <w:spacing w:after="0"/>
              <w:rPr>
                <w:sz w:val="1"/>
                <w:szCs w:val="1"/>
                <w:color w:val="auto"/>
              </w:rPr>
            </w:pPr>
          </w:p>
        </w:tc>
      </w:tr>
      <w:tr>
        <w:trPr>
          <w:trHeight w:val="88"/>
        </w:trPr>
        <w:tc>
          <w:tcPr>
            <w:tcW w:w="2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Engineering</w:t>
            </w:r>
          </w:p>
        </w:tc>
        <w:tc>
          <w:tcPr>
            <w:tcW w:w="6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160" w:type="dxa"/>
            <w:vAlign w:val="bottom"/>
            <w:vMerge w:val="continue"/>
          </w:tcPr>
          <w:p>
            <w:pPr>
              <w:spacing w:after="0"/>
              <w:rPr>
                <w:sz w:val="12"/>
                <w:szCs w:val="12"/>
                <w:color w:val="auto"/>
              </w:rPr>
            </w:pPr>
          </w:p>
        </w:tc>
        <w:tc>
          <w:tcPr>
            <w:tcW w:w="66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451,731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13,760,601</w:t>
            </w:r>
          </w:p>
        </w:tc>
        <w:tc>
          <w:tcPr>
            <w:tcW w:w="280" w:type="dxa"/>
            <w:vAlign w:val="bottom"/>
          </w:tcPr>
          <w:p>
            <w:pPr>
              <w:spacing w:after="0"/>
              <w:rPr>
                <w:sz w:val="12"/>
                <w:szCs w:val="12"/>
                <w:color w:val="auto"/>
              </w:rPr>
            </w:pPr>
          </w:p>
        </w:tc>
        <w:tc>
          <w:tcPr>
            <w:tcW w:w="900" w:type="dxa"/>
            <w:vAlign w:val="bottom"/>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2"/>
                <w:szCs w:val="12"/>
                <w:color w:val="auto"/>
              </w:rPr>
            </w:pPr>
          </w:p>
        </w:tc>
        <w:tc>
          <w:tcPr>
            <w:tcW w:w="98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14,212,332</w:t>
            </w:r>
          </w:p>
        </w:tc>
        <w:tc>
          <w:tcPr>
            <w:tcW w:w="0" w:type="dxa"/>
            <w:vAlign w:val="bottom"/>
          </w:tcPr>
          <w:p>
            <w:pPr>
              <w:spacing w:after="0"/>
              <w:rPr>
                <w:sz w:val="1"/>
                <w:szCs w:val="1"/>
                <w:color w:val="auto"/>
              </w:rPr>
            </w:pPr>
          </w:p>
        </w:tc>
      </w:tr>
      <w:tr>
        <w:trPr>
          <w:trHeight w:val="101"/>
        </w:trPr>
        <w:tc>
          <w:tcPr>
            <w:tcW w:w="21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Steckelberg,</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370,385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1,093,167</w:t>
            </w:r>
          </w:p>
        </w:tc>
        <w:tc>
          <w:tcPr>
            <w:tcW w:w="0" w:type="dxa"/>
            <w:vAlign w:val="bottom"/>
          </w:tcPr>
          <w:p>
            <w:pPr>
              <w:spacing w:after="0"/>
              <w:rPr>
                <w:sz w:val="1"/>
                <w:szCs w:val="1"/>
                <w:color w:val="auto"/>
              </w:rPr>
            </w:pPr>
          </w:p>
        </w:tc>
      </w:tr>
      <w:tr>
        <w:trPr>
          <w:trHeight w:val="22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361,385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12,999,347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25,949</w:t>
            </w:r>
          </w:p>
        </w:tc>
        <w:tc>
          <w:tcPr>
            <w:tcW w:w="12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5,858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13,392,538</w:t>
            </w:r>
          </w:p>
        </w:tc>
        <w:tc>
          <w:tcPr>
            <w:tcW w:w="0" w:type="dxa"/>
            <w:vAlign w:val="bottom"/>
          </w:tcPr>
          <w:p>
            <w:pPr>
              <w:spacing w:after="0"/>
              <w:rPr>
                <w:sz w:val="1"/>
                <w:szCs w:val="1"/>
                <w:color w:val="auto"/>
              </w:rPr>
            </w:pPr>
          </w:p>
        </w:tc>
      </w:tr>
      <w:tr>
        <w:trPr>
          <w:trHeight w:val="287"/>
        </w:trPr>
        <w:tc>
          <w:tcPr>
            <w:tcW w:w="2160" w:type="dxa"/>
            <w:vAlign w:val="bottom"/>
            <w:shd w:val="clear" w:color="auto" w:fill="CCEEFF"/>
          </w:tcPr>
          <w:p>
            <w:pPr>
              <w:ind w:left="180"/>
              <w:spacing w:after="0" w:line="287" w:lineRule="exact"/>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29"/>
                <w:szCs w:val="29"/>
                <w:i w:val="1"/>
                <w:iCs w:val="1"/>
                <w:color w:val="auto"/>
                <w:vertAlign w:val="superscript"/>
              </w:rPr>
              <w:t>(6)</w:t>
            </w: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426,196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36,322,225</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36,748,421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29"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stock awards granted in each respective fiscal year as determined in accordance with ASC 718. These amounts may not actually reflect to the actual value that will be realized by our NEOs. The assumptions used to calculate the value of stock awards are set forth under Note 9 of the Notes to Consolidated Financial Statements contained in our Annual Report on Form 10-K for the fiscal year ended January 31, 2025. The amounts for the performance-vesting RSU awards granted in fiscal year 2025 included within the total amount in this column reflect the grant date fair value based upon the probable outcome of the performance conditions as of the grant date (which is also equal to the maximum potential value of the awards, assuming the highest level of performance achievement). Ms. Chang did not receive a performance-vesting RSU award.</w:t>
      </w:r>
    </w:p>
    <w:p>
      <w:pPr>
        <w:spacing w:after="0" w:line="18"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applicable named executive officer’s total performance incentive bonus earned for each respective fiscal year.</w:t>
      </w:r>
    </w:p>
    <w:p>
      <w:pPr>
        <w:jc w:val="both"/>
        <w:ind w:left="640" w:right="299" w:hanging="348"/>
        <w:spacing w:after="0" w:line="236"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$1,942,875 paid by us for personal and residential security services and $29,876 paid for us for ground transportation for Mr. Yuan and, on occasion, members of his immediate family. The personal and residential security services cost represents the cost of security personnel, while the ground transportation costs represent the costs of car rental and gas. Approximately 2% of the security and transportation costs were for non-business related use by Mr. Yuan and members of his immediate family.</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paid by us in 401(k) match contributions.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Chang joined the Company in October 2024 and was not an NEO of the Company for fiscal years 2024 or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Steckelberg resigned as our Chief Financial Officer effective October 7, 2024. Ms. Steckelberg was ineligible to receive any portion of her performance incentive bonus and forfeited her performance-vesting RSU awards due to her resignation.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2025</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shows, for the fiscal year ended January 31, 2025, certain information regarding grants of plan-based awards to our named executive officers.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 Equity</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80" w:type="dxa"/>
            <w:vAlign w:val="bottom"/>
          </w:tcPr>
          <w:p>
            <w:pPr>
              <w:spacing w:after="0"/>
              <w:rPr>
                <w:sz w:val="12"/>
                <w:szCs w:val="12"/>
                <w:color w:val="auto"/>
              </w:rPr>
            </w:pPr>
          </w:p>
        </w:tc>
        <w:tc>
          <w:tcPr>
            <w:tcW w:w="18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Incentive Plan Awards</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5"/>
                <w:szCs w:val="15"/>
                <w:color w:val="auto"/>
              </w:rPr>
            </w:pPr>
          </w:p>
        </w:tc>
        <w:tc>
          <w:tcPr>
            <w:tcW w:w="18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6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0" w:type="dxa"/>
            <w:vAlign w:val="bottom"/>
            <w:vMerge w:val="restart"/>
          </w:tcPr>
          <w:p>
            <w:pPr>
              <w:spacing w:after="0"/>
              <w:rPr>
                <w:sz w:val="5"/>
                <w:szCs w:val="5"/>
                <w:color w:val="auto"/>
              </w:rPr>
            </w:pPr>
          </w:p>
        </w:tc>
        <w:tc>
          <w:tcPr>
            <w:tcW w:w="6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36"/>
        </w:trPr>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6"/>
                <w:szCs w:val="1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(4)</w:t>
            </w:r>
          </w:p>
        </w:tc>
        <w:tc>
          <w:tcPr>
            <w:tcW w:w="0" w:type="dxa"/>
            <w:vAlign w:val="bottom"/>
          </w:tcPr>
          <w:p>
            <w:pPr>
              <w:spacing w:after="0"/>
              <w:rPr>
                <w:sz w:val="1"/>
                <w:szCs w:val="1"/>
                <w:color w:val="auto"/>
              </w:rPr>
            </w:pPr>
          </w:p>
        </w:tc>
      </w:tr>
      <w:tr>
        <w:trPr>
          <w:trHeight w:val="169"/>
        </w:trPr>
        <w:tc>
          <w:tcPr>
            <w:tcW w:w="11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Eric S.</w:t>
            </w: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Cash</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6"/>
              <w:spacing w:after="0" w:line="169"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7"/>
              <w:spacing w:after="0" w:line="169" w:lineRule="exact"/>
              <w:rPr>
                <w:sz w:val="20"/>
                <w:szCs w:val="20"/>
                <w:color w:val="auto"/>
              </w:rPr>
            </w:pPr>
            <w:r>
              <w:rPr>
                <w:rFonts w:ascii="Times New Roman" w:cs="Times New Roman" w:eastAsia="Times New Roman" w:hAnsi="Times New Roman"/>
                <w:sz w:val="15"/>
                <w:szCs w:val="15"/>
                <w:color w:val="auto"/>
              </w:rPr>
              <w:t>7,200</w:t>
            </w:r>
          </w:p>
        </w:tc>
        <w:tc>
          <w:tcPr>
            <w:tcW w:w="56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36,000</w:t>
            </w:r>
          </w:p>
        </w:tc>
        <w:tc>
          <w:tcPr>
            <w:tcW w:w="720" w:type="dxa"/>
            <w:vAlign w:val="bottom"/>
            <w:gridSpan w:val="2"/>
            <w:shd w:val="clear" w:color="auto" w:fill="CCEEFF"/>
          </w:tcPr>
          <w:p>
            <w:pPr>
              <w:jc w:val="right"/>
              <w:ind w:right="6"/>
              <w:spacing w:after="0" w:line="169" w:lineRule="exact"/>
              <w:rPr>
                <w:sz w:val="20"/>
                <w:szCs w:val="20"/>
                <w:color w:val="auto"/>
              </w:rPr>
            </w:pPr>
            <w:r>
              <w:rPr>
                <w:rFonts w:ascii="Times New Roman" w:cs="Times New Roman" w:eastAsia="Times New Roman" w:hAnsi="Times New Roman"/>
                <w:sz w:val="15"/>
                <w:szCs w:val="15"/>
                <w:color w:val="auto"/>
              </w:rPr>
              <w:t>72,000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6"/>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3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Yuan</w:t>
            </w:r>
          </w:p>
        </w:tc>
        <w:tc>
          <w:tcPr>
            <w:tcW w:w="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Performance-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vesting</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RSU</w:t>
            </w:r>
          </w:p>
        </w:tc>
        <w:tc>
          <w:tcPr>
            <w:tcW w:w="9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4/9/2024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9,056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15,093</w:t>
            </w:r>
          </w:p>
        </w:tc>
        <w:tc>
          <w:tcPr>
            <w:tcW w:w="7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15,093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963,688</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Michelle Chang</w:t>
            </w:r>
          </w:p>
        </w:tc>
        <w:tc>
          <w:tcPr>
            <w:tcW w:w="80" w:type="dxa"/>
            <w:vAlign w:val="bottom"/>
          </w:tcPr>
          <w:p>
            <w:pPr>
              <w:spacing w:after="0"/>
              <w:rPr>
                <w:sz w:val="19"/>
                <w:szCs w:val="19"/>
                <w:color w:val="auto"/>
              </w:rPr>
            </w:pPr>
          </w:p>
        </w:tc>
        <w:tc>
          <w:tcPr>
            <w:tcW w:w="820" w:type="dxa"/>
            <w:vAlign w:val="bottom"/>
          </w:tcPr>
          <w:p>
            <w:pPr>
              <w:spacing w:after="0" w:line="229" w:lineRule="exact"/>
              <w:rPr>
                <w:sz w:val="20"/>
                <w:szCs w:val="20"/>
                <w:color w:val="auto"/>
              </w:rPr>
            </w:pPr>
            <w:r>
              <w:rPr>
                <w:rFonts w:ascii="Times New Roman" w:cs="Times New Roman" w:eastAsia="Times New Roman" w:hAnsi="Times New Roman"/>
                <w:sz w:val="15"/>
                <w:szCs w:val="15"/>
                <w:color w:val="auto"/>
              </w:rPr>
              <w:t>Cash</w:t>
            </w:r>
            <w:r>
              <w:rPr>
                <w:rFonts w:ascii="Times New Roman" w:cs="Times New Roman" w:eastAsia="Times New Roman" w:hAnsi="Times New Roman"/>
                <w:sz w:val="24"/>
                <w:szCs w:val="24"/>
                <w:color w:val="auto"/>
                <w:vertAlign w:val="superscript"/>
              </w:rPr>
              <w:t>(5)</w:t>
            </w:r>
          </w:p>
        </w:tc>
        <w:tc>
          <w:tcPr>
            <w:tcW w:w="80" w:type="dxa"/>
            <w:vAlign w:val="bottom"/>
          </w:tcPr>
          <w:p>
            <w:pPr>
              <w:spacing w:after="0"/>
              <w:rPr>
                <w:sz w:val="19"/>
                <w:szCs w:val="19"/>
                <w:color w:val="auto"/>
              </w:rPr>
            </w:pP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33,374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166,869</w:t>
            </w: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333,738</w:t>
            </w:r>
          </w:p>
        </w:tc>
        <w:tc>
          <w:tcPr>
            <w:tcW w:w="8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Time-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color w:val="auto"/>
                <w:w w:val="93"/>
              </w:rPr>
              <w:t>10/9/2024</w:t>
            </w:r>
            <w:r>
              <w:rPr>
                <w:rFonts w:ascii="Times New Roman" w:cs="Times New Roman" w:eastAsia="Times New Roman" w:hAnsi="Times New Roman"/>
                <w:sz w:val="24"/>
                <w:szCs w:val="24"/>
                <w:color w:val="auto"/>
                <w:w w:val="93"/>
                <w:vertAlign w:val="superscript"/>
              </w:rPr>
              <w:t>(6)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355,476</w:t>
            </w:r>
            <w:r>
              <w:rPr>
                <w:rFonts w:ascii="Times New Roman" w:cs="Times New Roman" w:eastAsia="Times New Roman" w:hAnsi="Times New Roman"/>
                <w:sz w:val="24"/>
                <w:szCs w:val="24"/>
                <w:color w:val="auto"/>
                <w:vertAlign w:val="superscript"/>
              </w:rPr>
              <w:t>(6)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RSU</w:t>
            </w: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continue"/>
          </w:tcPr>
          <w:p>
            <w:pPr>
              <w:spacing w:after="0"/>
              <w:rPr>
                <w:sz w:val="17"/>
                <w:szCs w:val="17"/>
                <w:color w:val="auto"/>
              </w:rPr>
            </w:pPr>
          </w:p>
        </w:tc>
        <w:tc>
          <w:tcPr>
            <w:tcW w:w="76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rPr>
              <w:t>24,872,656</w:t>
            </w:r>
          </w:p>
        </w:tc>
        <w:tc>
          <w:tcPr>
            <w:tcW w:w="0" w:type="dxa"/>
            <w:vAlign w:val="bottom"/>
          </w:tcPr>
          <w:p>
            <w:pPr>
              <w:spacing w:after="0"/>
              <w:rPr>
                <w:sz w:val="1"/>
                <w:szCs w:val="1"/>
                <w:color w:val="auto"/>
              </w:rPr>
            </w:pPr>
          </w:p>
        </w:tc>
      </w:tr>
      <w:tr>
        <w:trPr>
          <w:trHeight w:val="193"/>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Aparna Bawa</w:t>
            </w:r>
          </w:p>
        </w:tc>
        <w:tc>
          <w:tcPr>
            <w:tcW w:w="8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7,200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36,000</w:t>
            </w:r>
          </w:p>
        </w:tc>
        <w:tc>
          <w:tcPr>
            <w:tcW w:w="7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72,000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w w:val="97"/>
              </w:rPr>
              <w:t>Performance-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vesting</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RSU</w:t>
            </w:r>
          </w:p>
        </w:tc>
        <w:tc>
          <w:tcPr>
            <w:tcW w:w="9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4/9/2024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6,792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11,320</w:t>
            </w:r>
          </w:p>
        </w:tc>
        <w:tc>
          <w:tcPr>
            <w:tcW w:w="7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11,320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722,782</w:t>
            </w:r>
          </w:p>
        </w:tc>
        <w:tc>
          <w:tcPr>
            <w:tcW w:w="0" w:type="dxa"/>
            <w:vAlign w:val="bottom"/>
          </w:tcPr>
          <w:p>
            <w:pPr>
              <w:spacing w:after="0"/>
              <w:rPr>
                <w:sz w:val="1"/>
                <w:szCs w:val="1"/>
                <w:color w:val="auto"/>
              </w:rPr>
            </w:pPr>
          </w:p>
        </w:tc>
      </w:tr>
      <w:tr>
        <w:trPr>
          <w:trHeight w:val="161"/>
        </w:trPr>
        <w:tc>
          <w:tcPr>
            <w:tcW w:w="11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Velchamy</w:t>
            </w:r>
          </w:p>
        </w:tc>
        <w:tc>
          <w:tcPr>
            <w:tcW w:w="80" w:type="dxa"/>
            <w:vAlign w:val="bottom"/>
          </w:tcPr>
          <w:p>
            <w:pPr>
              <w:spacing w:after="0"/>
              <w:rPr>
                <w:sz w:val="14"/>
                <w:szCs w:val="14"/>
                <w:color w:val="auto"/>
              </w:rPr>
            </w:pPr>
          </w:p>
        </w:tc>
        <w:tc>
          <w:tcPr>
            <w:tcW w:w="8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Cash</w:t>
            </w:r>
          </w:p>
        </w:tc>
        <w:tc>
          <w:tcPr>
            <w:tcW w:w="80" w:type="dxa"/>
            <w:vAlign w:val="bottom"/>
          </w:tcPr>
          <w:p>
            <w:pPr>
              <w:spacing w:after="0"/>
              <w:rPr>
                <w:sz w:val="14"/>
                <w:szCs w:val="14"/>
                <w:color w:val="auto"/>
              </w:rPr>
            </w:pPr>
          </w:p>
        </w:tc>
        <w:tc>
          <w:tcPr>
            <w:tcW w:w="820" w:type="dxa"/>
            <w:vAlign w:val="bottom"/>
          </w:tcPr>
          <w:p>
            <w:pPr>
              <w:jc w:val="right"/>
              <w:ind w:right="86"/>
              <w:spacing w:after="0" w:line="16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67"/>
              <w:spacing w:after="0" w:line="161" w:lineRule="exact"/>
              <w:rPr>
                <w:sz w:val="20"/>
                <w:szCs w:val="20"/>
                <w:color w:val="auto"/>
              </w:rPr>
            </w:pPr>
            <w:r>
              <w:rPr>
                <w:rFonts w:ascii="Times New Roman" w:cs="Times New Roman" w:eastAsia="Times New Roman" w:hAnsi="Times New Roman"/>
                <w:sz w:val="15"/>
                <w:szCs w:val="15"/>
                <w:color w:val="auto"/>
              </w:rPr>
              <w:t>7,200</w:t>
            </w:r>
          </w:p>
        </w:tc>
        <w:tc>
          <w:tcPr>
            <w:tcW w:w="56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36,000</w:t>
            </w:r>
          </w:p>
        </w:tc>
        <w:tc>
          <w:tcPr>
            <w:tcW w:w="720" w:type="dxa"/>
            <w:vAlign w:val="bottom"/>
            <w:gridSpan w:val="2"/>
          </w:tcPr>
          <w:p>
            <w:pPr>
              <w:jc w:val="right"/>
              <w:ind w:right="6"/>
              <w:spacing w:after="0" w:line="161" w:lineRule="exact"/>
              <w:rPr>
                <w:sz w:val="20"/>
                <w:szCs w:val="20"/>
                <w:color w:val="auto"/>
              </w:rPr>
            </w:pPr>
            <w:r>
              <w:rPr>
                <w:rFonts w:ascii="Times New Roman" w:cs="Times New Roman" w:eastAsia="Times New Roman" w:hAnsi="Times New Roman"/>
                <w:sz w:val="15"/>
                <w:szCs w:val="15"/>
                <w:color w:val="auto"/>
              </w:rPr>
              <w:t>72,000</w:t>
            </w:r>
          </w:p>
        </w:tc>
        <w:tc>
          <w:tcPr>
            <w:tcW w:w="80" w:type="dxa"/>
            <w:vAlign w:val="bottom"/>
          </w:tcPr>
          <w:p>
            <w:pPr>
              <w:spacing w:after="0"/>
              <w:rPr>
                <w:sz w:val="14"/>
                <w:szCs w:val="14"/>
                <w:color w:val="auto"/>
              </w:rPr>
            </w:pPr>
          </w:p>
        </w:tc>
        <w:tc>
          <w:tcPr>
            <w:tcW w:w="640" w:type="dxa"/>
            <w:vAlign w:val="bottom"/>
          </w:tcPr>
          <w:p>
            <w:pPr>
              <w:ind w:left="3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4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660" w:type="dxa"/>
            <w:vAlign w:val="bottom"/>
          </w:tcPr>
          <w:p>
            <w:pPr>
              <w:jc w:val="right"/>
              <w:ind w:right="66"/>
              <w:spacing w:after="0" w:line="16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680" w:type="dxa"/>
            <w:vAlign w:val="bottom"/>
          </w:tcPr>
          <w:p>
            <w:pPr>
              <w:ind w:left="380"/>
              <w:spacing w:after="0" w:line="16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6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Sankarlingam</w:t>
            </w:r>
          </w:p>
        </w:tc>
        <w:tc>
          <w:tcPr>
            <w:tcW w:w="8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w w:val="97"/>
              </w:rPr>
              <w:t>Performance-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RSU</w:t>
            </w:r>
          </w:p>
        </w:tc>
        <w:tc>
          <w:tcPr>
            <w:tcW w:w="90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rPr>
              <w:t>4/9/2024</w:t>
            </w:r>
          </w:p>
        </w:tc>
        <w:tc>
          <w:tcPr>
            <w:tcW w:w="80" w:type="dxa"/>
            <w:vAlign w:val="bottom"/>
          </w:tcPr>
          <w:p>
            <w:pPr>
              <w:spacing w:after="0"/>
              <w:rPr>
                <w:sz w:val="16"/>
                <w:szCs w:val="16"/>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center"/>
              <w:ind w:left="25"/>
              <w:spacing w:after="0"/>
              <w:rPr>
                <w:sz w:val="20"/>
                <w:szCs w:val="20"/>
                <w:color w:val="auto"/>
              </w:rPr>
            </w:pPr>
            <w:r>
              <w:rPr>
                <w:rFonts w:ascii="Times New Roman" w:cs="Times New Roman" w:eastAsia="Times New Roman" w:hAnsi="Times New Roman"/>
                <w:sz w:val="15"/>
                <w:szCs w:val="15"/>
                <w:color w:val="auto"/>
              </w:rPr>
              <w:t>6,792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11,320</w:t>
            </w:r>
          </w:p>
        </w:tc>
        <w:tc>
          <w:tcPr>
            <w:tcW w:w="74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11,320</w:t>
            </w:r>
          </w:p>
        </w:tc>
        <w:tc>
          <w:tcPr>
            <w:tcW w:w="80" w:type="dxa"/>
            <w:vAlign w:val="bottom"/>
          </w:tcPr>
          <w:p>
            <w:pPr>
              <w:spacing w:after="0"/>
              <w:rPr>
                <w:sz w:val="16"/>
                <w:szCs w:val="16"/>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722,782</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line="172" w:lineRule="exact"/>
              <w:rPr>
                <w:sz w:val="20"/>
                <w:szCs w:val="20"/>
                <w:color w:val="auto"/>
              </w:rPr>
            </w:pPr>
            <w:r>
              <w:rPr>
                <w:rFonts w:ascii="Times New Roman" w:cs="Times New Roman" w:eastAsia="Times New Roman" w:hAnsi="Times New Roman"/>
                <w:sz w:val="15"/>
                <w:szCs w:val="15"/>
                <w:color w:val="auto"/>
              </w:rPr>
              <w:t>Time-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4/9/2024</w:t>
            </w:r>
            <w:r>
              <w:rPr>
                <w:rFonts w:ascii="Times New Roman" w:cs="Times New Roman" w:eastAsia="Times New Roman" w:hAnsi="Times New Roman"/>
                <w:sz w:val="24"/>
                <w:szCs w:val="24"/>
                <w:color w:val="auto"/>
                <w:vertAlign w:val="superscript"/>
              </w:rPr>
              <w:t>(7)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322,026</w:t>
            </w:r>
            <w:r>
              <w:rPr>
                <w:rFonts w:ascii="Times New Roman" w:cs="Times New Roman" w:eastAsia="Times New Roman" w:hAnsi="Times New Roman"/>
                <w:sz w:val="24"/>
                <w:szCs w:val="24"/>
                <w:color w:val="auto"/>
                <w:vertAlign w:val="superscript"/>
              </w:rPr>
              <w:t>(7)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5"/>
                <w:szCs w:val="15"/>
                <w:color w:val="auto"/>
              </w:rPr>
              <w:t>RSU</w:t>
            </w: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continue"/>
          </w:tcPr>
          <w:p>
            <w:pPr>
              <w:spacing w:after="0"/>
              <w:rPr>
                <w:sz w:val="17"/>
                <w:szCs w:val="17"/>
                <w:color w:val="auto"/>
              </w:rPr>
            </w:pPr>
          </w:p>
        </w:tc>
        <w:tc>
          <w:tcPr>
            <w:tcW w:w="76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rPr>
              <w:t>21,199,860</w:t>
            </w: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Kelly</w:t>
            </w:r>
          </w:p>
        </w:tc>
        <w:tc>
          <w:tcPr>
            <w:tcW w:w="8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Cash</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6"/>
              <w:spacing w:after="0" w:line="159"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7"/>
              <w:spacing w:after="0" w:line="159" w:lineRule="exact"/>
              <w:rPr>
                <w:sz w:val="20"/>
                <w:szCs w:val="20"/>
                <w:color w:val="auto"/>
              </w:rPr>
            </w:pPr>
            <w:r>
              <w:rPr>
                <w:rFonts w:ascii="Times New Roman" w:cs="Times New Roman" w:eastAsia="Times New Roman" w:hAnsi="Times New Roman"/>
                <w:sz w:val="15"/>
                <w:szCs w:val="15"/>
                <w:color w:val="auto"/>
              </w:rPr>
              <w:t>7,200</w:t>
            </w:r>
          </w:p>
        </w:tc>
        <w:tc>
          <w:tcPr>
            <w:tcW w:w="5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36,000</w:t>
            </w:r>
          </w:p>
        </w:tc>
        <w:tc>
          <w:tcPr>
            <w:tcW w:w="720" w:type="dxa"/>
            <w:vAlign w:val="bottom"/>
            <w:gridSpan w:val="2"/>
            <w:shd w:val="clear" w:color="auto" w:fill="CCEEFF"/>
          </w:tcPr>
          <w:p>
            <w:pPr>
              <w:jc w:val="right"/>
              <w:ind w:right="6"/>
              <w:spacing w:after="0" w:line="159" w:lineRule="exact"/>
              <w:rPr>
                <w:sz w:val="20"/>
                <w:szCs w:val="20"/>
                <w:color w:val="auto"/>
              </w:rPr>
            </w:pPr>
            <w:r>
              <w:rPr>
                <w:rFonts w:ascii="Times New Roman" w:cs="Times New Roman" w:eastAsia="Times New Roman" w:hAnsi="Times New Roman"/>
                <w:sz w:val="15"/>
                <w:szCs w:val="15"/>
                <w:color w:val="auto"/>
              </w:rPr>
              <w:t>72,000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line="15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ind w:left="380"/>
              <w:spacing w:after="0" w:line="15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4"/>
                <w:szCs w:val="14"/>
                <w:color w:val="auto"/>
              </w:rPr>
              <w:t>Steckelberg</w:t>
            </w:r>
            <w:r>
              <w:rPr>
                <w:rFonts w:ascii="Times New Roman" w:cs="Times New Roman" w:eastAsia="Times New Roman" w:hAnsi="Times New Roman"/>
                <w:sz w:val="23"/>
                <w:szCs w:val="23"/>
                <w:color w:val="auto"/>
                <w:vertAlign w:val="superscript"/>
              </w:rPr>
              <w:t>(8)</w:t>
            </w: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Performance-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vesting</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4/9/2024</w:t>
            </w:r>
            <w:r>
              <w:rPr>
                <w:rFonts w:ascii="Times New Roman" w:cs="Times New Roman" w:eastAsia="Times New Roman" w:hAnsi="Times New Roman"/>
                <w:sz w:val="24"/>
                <w:szCs w:val="24"/>
                <w:color w:val="auto"/>
                <w:vertAlign w:val="superscript"/>
              </w:rPr>
              <w:t>(8)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RSU</w:t>
            </w: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6,792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11,320</w:t>
            </w:r>
          </w:p>
        </w:tc>
        <w:tc>
          <w:tcPr>
            <w:tcW w:w="7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11,320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722,782</w:t>
            </w:r>
          </w:p>
        </w:tc>
        <w:tc>
          <w:tcPr>
            <w:tcW w:w="0" w:type="dxa"/>
            <w:vAlign w:val="bottom"/>
          </w:tcPr>
          <w:p>
            <w:pPr>
              <w:spacing w:after="0"/>
              <w:rPr>
                <w:sz w:val="1"/>
                <w:szCs w:val="1"/>
                <w:color w:val="auto"/>
              </w:rPr>
            </w:pPr>
          </w:p>
        </w:tc>
      </w:tr>
      <w:tr>
        <w:trPr>
          <w:trHeight w:val="54"/>
        </w:trPr>
        <w:tc>
          <w:tcPr>
            <w:tcW w:w="1140" w:type="dxa"/>
            <w:vAlign w:val="bottom"/>
            <w:shd w:val="clear" w:color="auto" w:fill="CCEEFF"/>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-33655</wp:posOffset>
            </wp:positionV>
            <wp:extent cx="2540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range of possible payouts to our NEOs for fiscal 2025 under the Officer Incentive Plan as further described above under “Compensation Discussion and Analysis.”</w:t>
      </w:r>
    </w:p>
    <w:p>
      <w:pPr>
        <w:jc w:val="both"/>
        <w:ind w:left="640" w:right="299" w:hanging="348"/>
        <w:spacing w:after="0" w:line="233"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performance-vesting RSU awards granted under the 2019 Plan that could be earned at the threshold, target and maximum levels of performance. The performance-vesting RSU awards were to be earned based upon the Company’s achievement of revenue and non-GAAP income from operations, as described in “Compensation Discussion and Analysis-Fiscal 2025 Executive Compensation Program-Equity Awards” above. Ultimately, the performance-vesting RSU awards could be earned from 0% (if threshold levels of performance were not achieved) to a maximum of 100% of target.</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time-vesting RSU awards granted under the 2019 Plan.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each equity award is computed in accordance with ASC 718, as further described in the footnotes to the Summary Compensation Table. The amounts reported in this column reflect the accounting cost for these RSUs and do not correspond to the actual economic value that may be received by each NEO upon the vesting or settlement of the RSUs.</w:t>
      </w:r>
    </w:p>
    <w:p>
      <w:pPr>
        <w:spacing w:after="0" w:line="14"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Chang joined the Company in October 2024 and received a prorated target cash incentive for fiscal 2025 under our Officer Incentive Plan.</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four-year new hire RSU award that vests over a four-year period, with 25% of the RSUs vesting on the one year anniversary of the grant date and an additional 6.25% of the RSUs vesting each quarter thereafter, subject to the NEO’s continuous service with us through such date.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four-year “refresh” RSU award that vests over a four-year period in equal quarterly installments, subject to the NEO’s continuous service with us through each such date.</w:t>
      </w:r>
    </w:p>
    <w:p>
      <w:pPr>
        <w:ind w:left="640" w:right="2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her resignation in October 2024, Ms. Steckelberg did not receive any cash payments under the Officer Incentive Plan and forfeited her performance-vesting RSUs upon her resignation.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outstanding and exercisable and unexercisable stock options and unvested RSU awards held by our named executive officers as of January 31, 2025. The market value for the stock awards was calculated by multiplying the number of shares of our common stock subject to each award by $86.94, which was the closing market price of our common stock on January 31, 2025.</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4"/>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8"/>
                <w:szCs w:val="18"/>
                <w:color w:val="auto"/>
              </w:rPr>
            </w:pPr>
          </w:p>
        </w:tc>
        <w:tc>
          <w:tcPr>
            <w:tcW w:w="540" w:type="dxa"/>
            <w:vAlign w:val="bottom"/>
            <w:tcBorders>
              <w:bottom w:val="single" w:sz="8" w:color="auto"/>
            </w:tcBorders>
          </w:tcPr>
          <w:p>
            <w:pPr>
              <w:ind w:left="40"/>
              <w:spacing w:after="0" w:line="216" w:lineRule="exact"/>
              <w:rPr>
                <w:sz w:val="20"/>
                <w:szCs w:val="20"/>
                <w:color w:val="auto"/>
              </w:rPr>
            </w:pPr>
            <w:r>
              <w:rPr>
                <w:rFonts w:ascii="Times New Roman" w:cs="Times New Roman" w:eastAsia="Times New Roman" w:hAnsi="Times New Roman"/>
                <w:sz w:val="14"/>
                <w:szCs w:val="14"/>
                <w:b w:val="1"/>
                <w:bCs w:val="1"/>
                <w:color w:val="auto"/>
                <w:w w:val="97"/>
              </w:rPr>
              <w:t>Price</w:t>
            </w:r>
            <w:r>
              <w:rPr>
                <w:rFonts w:ascii="Times New Roman" w:cs="Times New Roman" w:eastAsia="Times New Roman" w:hAnsi="Times New Roman"/>
                <w:sz w:val="23"/>
                <w:szCs w:val="23"/>
                <w:b w:val="1"/>
                <w:bCs w:val="1"/>
                <w:color w:val="auto"/>
                <w:w w:val="97"/>
                <w:vertAlign w:val="superscript"/>
              </w:rPr>
              <w:t>(1)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291"/>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291" w:lineRule="exact"/>
              <w:rPr>
                <w:sz w:val="20"/>
                <w:szCs w:val="20"/>
                <w:color w:val="auto"/>
              </w:rPr>
            </w:pPr>
            <w:r>
              <w:rPr>
                <w:rFonts w:ascii="Times New Roman" w:cs="Times New Roman" w:eastAsia="Times New Roman" w:hAnsi="Times New Roman"/>
                <w:sz w:val="18"/>
                <w:szCs w:val="18"/>
                <w:color w:val="auto"/>
                <w:w w:val="95"/>
              </w:rPr>
              <w:t>07/08/2022</w:t>
            </w:r>
            <w:r>
              <w:rPr>
                <w:rFonts w:ascii="Times New Roman" w:cs="Times New Roman" w:eastAsia="Times New Roman" w:hAnsi="Times New Roman"/>
                <w:sz w:val="29"/>
                <w:szCs w:val="29"/>
                <w:color w:val="auto"/>
                <w:w w:val="95"/>
                <w:vertAlign w:val="superscript"/>
              </w:rPr>
              <w:t>(2)</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$19,969,075</w:t>
            </w:r>
          </w:p>
        </w:tc>
        <w:tc>
          <w:tcPr>
            <w:tcW w:w="0" w:type="dxa"/>
            <w:vAlign w:val="bottom"/>
          </w:tcPr>
          <w:p>
            <w:pPr>
              <w:spacing w:after="0"/>
              <w:rPr>
                <w:sz w:val="1"/>
                <w:szCs w:val="1"/>
                <w:color w:val="auto"/>
              </w:rPr>
            </w:pPr>
          </w:p>
        </w:tc>
      </w:tr>
      <w:tr>
        <w:trPr>
          <w:trHeight w:val="283"/>
        </w:trPr>
        <w:tc>
          <w:tcPr>
            <w:tcW w:w="1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07/11/2023</w:t>
            </w:r>
            <w:r>
              <w:rPr>
                <w:rFonts w:ascii="Times New Roman" w:cs="Times New Roman" w:eastAsia="Times New Roman" w:hAnsi="Times New Roman"/>
                <w:sz w:val="29"/>
                <w:szCs w:val="29"/>
                <w:color w:val="auto"/>
                <w:w w:val="95"/>
                <w:vertAlign w:val="superscript"/>
              </w:rPr>
              <w:t>(3)</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$15,739,270</w:t>
            </w:r>
          </w:p>
        </w:tc>
        <w:tc>
          <w:tcPr>
            <w:tcW w:w="0" w:type="dxa"/>
            <w:vAlign w:val="bottom"/>
          </w:tcPr>
          <w:p>
            <w:pPr>
              <w:spacing w:after="0"/>
              <w:rPr>
                <w:sz w:val="1"/>
                <w:szCs w:val="1"/>
                <w:color w:val="auto"/>
              </w:rPr>
            </w:pPr>
          </w:p>
        </w:tc>
      </w:tr>
      <w:tr>
        <w:trPr>
          <w:trHeight w:val="283"/>
        </w:trPr>
        <w:tc>
          <w:tcPr>
            <w:tcW w:w="1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04/09/2024</w:t>
            </w:r>
            <w:r>
              <w:rPr>
                <w:rFonts w:ascii="Times New Roman" w:cs="Times New Roman" w:eastAsia="Times New Roman" w:hAnsi="Times New Roman"/>
                <w:sz w:val="29"/>
                <w:szCs w:val="29"/>
                <w:color w:val="auto"/>
                <w:w w:val="95"/>
                <w:vertAlign w:val="superscript"/>
              </w:rPr>
              <w:t>(4)</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1,312,185</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140" w:type="dxa"/>
            <w:vAlign w:val="bottom"/>
          </w:tcPr>
          <w:p>
            <w:pPr>
              <w:spacing w:after="0"/>
              <w:rPr>
                <w:sz w:val="24"/>
                <w:szCs w:val="24"/>
                <w:color w:val="auto"/>
              </w:rPr>
            </w:pPr>
          </w:p>
        </w:tc>
        <w:tc>
          <w:tcPr>
            <w:tcW w:w="1000" w:type="dxa"/>
            <w:vAlign w:val="bottom"/>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10/09/2024</w:t>
            </w:r>
            <w:r>
              <w:rPr>
                <w:rFonts w:ascii="Times New Roman" w:cs="Times New Roman" w:eastAsia="Times New Roman" w:hAnsi="Times New Roman"/>
                <w:sz w:val="29"/>
                <w:szCs w:val="29"/>
                <w:color w:val="auto"/>
                <w:w w:val="95"/>
                <w:vertAlign w:val="superscript"/>
              </w:rPr>
              <w:t>(5)</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355,476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$30,905,083</w:t>
            </w:r>
          </w:p>
        </w:tc>
        <w:tc>
          <w:tcPr>
            <w:tcW w:w="0" w:type="dxa"/>
            <w:vAlign w:val="bottom"/>
          </w:tcPr>
          <w:p>
            <w:pPr>
              <w:spacing w:after="0"/>
              <w:rPr>
                <w:sz w:val="1"/>
                <w:szCs w:val="1"/>
                <w:color w:val="auto"/>
              </w:rPr>
            </w:pPr>
          </w:p>
        </w:tc>
      </w:tr>
      <w:tr>
        <w:trPr>
          <w:trHeight w:val="28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07/08/2022</w:t>
            </w:r>
            <w:r>
              <w:rPr>
                <w:rFonts w:ascii="Times New Roman" w:cs="Times New Roman" w:eastAsia="Times New Roman" w:hAnsi="Times New Roman"/>
                <w:sz w:val="29"/>
                <w:szCs w:val="29"/>
                <w:color w:val="auto"/>
                <w:w w:val="95"/>
                <w:vertAlign w:val="superscript"/>
              </w:rPr>
              <w:t>(2)</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6,240,379</w:t>
            </w:r>
          </w:p>
        </w:tc>
        <w:tc>
          <w:tcPr>
            <w:tcW w:w="0" w:type="dxa"/>
            <w:vAlign w:val="bottom"/>
          </w:tcPr>
          <w:p>
            <w:pPr>
              <w:spacing w:after="0"/>
              <w:rPr>
                <w:sz w:val="1"/>
                <w:szCs w:val="1"/>
                <w:color w:val="auto"/>
              </w:rPr>
            </w:pPr>
          </w:p>
        </w:tc>
      </w:tr>
      <w:tr>
        <w:trPr>
          <w:trHeight w:val="283"/>
        </w:trPr>
        <w:tc>
          <w:tcPr>
            <w:tcW w:w="1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07/11/2023</w:t>
            </w:r>
            <w:r>
              <w:rPr>
                <w:rFonts w:ascii="Times New Roman" w:cs="Times New Roman" w:eastAsia="Times New Roman" w:hAnsi="Times New Roman"/>
                <w:sz w:val="29"/>
                <w:szCs w:val="29"/>
                <w:color w:val="auto"/>
                <w:w w:val="95"/>
                <w:vertAlign w:val="superscript"/>
              </w:rPr>
              <w:t>(3)</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4,918,544</w:t>
            </w:r>
          </w:p>
        </w:tc>
        <w:tc>
          <w:tcPr>
            <w:tcW w:w="0" w:type="dxa"/>
            <w:vAlign w:val="bottom"/>
          </w:tcPr>
          <w:p>
            <w:pPr>
              <w:spacing w:after="0"/>
              <w:rPr>
                <w:sz w:val="1"/>
                <w:szCs w:val="1"/>
                <w:color w:val="auto"/>
              </w:rPr>
            </w:pPr>
          </w:p>
        </w:tc>
      </w:tr>
      <w:tr>
        <w:trPr>
          <w:trHeight w:val="284"/>
        </w:trPr>
        <w:tc>
          <w:tcPr>
            <w:tcW w:w="1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5"/>
              </w:rPr>
              <w:t>04/09/2024</w:t>
            </w:r>
            <w:r>
              <w:rPr>
                <w:rFonts w:ascii="Times New Roman" w:cs="Times New Roman" w:eastAsia="Times New Roman" w:hAnsi="Times New Roman"/>
                <w:sz w:val="29"/>
                <w:szCs w:val="29"/>
                <w:color w:val="auto"/>
                <w:w w:val="95"/>
                <w:vertAlign w:val="superscript"/>
              </w:rPr>
              <w:t>(4)</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984,161</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140" w:type="dxa"/>
            <w:vAlign w:val="bottom"/>
          </w:tcPr>
          <w:p>
            <w:pPr>
              <w:spacing w:after="0"/>
              <w:rPr>
                <w:sz w:val="24"/>
                <w:szCs w:val="24"/>
                <w:color w:val="auto"/>
              </w:rPr>
            </w:pPr>
          </w:p>
        </w:tc>
        <w:tc>
          <w:tcPr>
            <w:tcW w:w="1000" w:type="dxa"/>
            <w:vAlign w:val="bottom"/>
          </w:tcPr>
          <w:p>
            <w:pPr>
              <w:jc w:val="center"/>
              <w:spacing w:after="0" w:line="283" w:lineRule="exact"/>
              <w:rPr>
                <w:sz w:val="20"/>
                <w:szCs w:val="20"/>
                <w:color w:val="auto"/>
              </w:rPr>
            </w:pPr>
            <w:r>
              <w:rPr>
                <w:rFonts w:ascii="Times New Roman" w:cs="Times New Roman" w:eastAsia="Times New Roman" w:hAnsi="Times New Roman"/>
                <w:sz w:val="18"/>
                <w:szCs w:val="18"/>
                <w:color w:val="auto"/>
                <w:w w:val="95"/>
              </w:rPr>
              <w:t>09/09/2022</w:t>
            </w:r>
            <w:r>
              <w:rPr>
                <w:rFonts w:ascii="Times New Roman" w:cs="Times New Roman" w:eastAsia="Times New Roman" w:hAnsi="Times New Roman"/>
                <w:sz w:val="29"/>
                <w:szCs w:val="29"/>
                <w:color w:val="auto"/>
                <w:w w:val="95"/>
                <w:vertAlign w:val="superscript"/>
              </w:rPr>
              <w:t>(2)</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2,570,381</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4"/>
                <w:szCs w:val="24"/>
                <w:color w:val="auto"/>
              </w:rPr>
            </w:pPr>
          </w:p>
        </w:tc>
        <w:tc>
          <w:tcPr>
            <w:tcW w:w="1140" w:type="dxa"/>
            <w:vAlign w:val="bottom"/>
            <w:gridSpan w:val="2"/>
          </w:tcPr>
          <w:p>
            <w:pPr>
              <w:jc w:val="center"/>
              <w:ind w:left="50"/>
              <w:spacing w:after="0" w:line="284" w:lineRule="exact"/>
              <w:rPr>
                <w:sz w:val="20"/>
                <w:szCs w:val="20"/>
                <w:color w:val="auto"/>
              </w:rPr>
            </w:pPr>
            <w:r>
              <w:rPr>
                <w:rFonts w:ascii="Times New Roman" w:cs="Times New Roman" w:eastAsia="Times New Roman" w:hAnsi="Times New Roman"/>
                <w:sz w:val="18"/>
                <w:szCs w:val="18"/>
                <w:color w:val="auto"/>
                <w:w w:val="95"/>
              </w:rPr>
              <w:t>09/12/2023</w:t>
            </w:r>
            <w:r>
              <w:rPr>
                <w:rFonts w:ascii="Times New Roman" w:cs="Times New Roman" w:eastAsia="Times New Roman" w:hAnsi="Times New Roman"/>
                <w:sz w:val="29"/>
                <w:szCs w:val="29"/>
                <w:color w:val="auto"/>
                <w:w w:val="95"/>
                <w:vertAlign w:val="superscript"/>
              </w:rPr>
              <w:t>(3)</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1,708,284</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4"/>
                <w:szCs w:val="24"/>
                <w:color w:val="auto"/>
              </w:rPr>
            </w:pPr>
          </w:p>
        </w:tc>
        <w:tc>
          <w:tcPr>
            <w:tcW w:w="1140" w:type="dxa"/>
            <w:vAlign w:val="bottom"/>
            <w:gridSpan w:val="2"/>
          </w:tcPr>
          <w:p>
            <w:pPr>
              <w:jc w:val="center"/>
              <w:ind w:left="50"/>
              <w:spacing w:after="0" w:line="284" w:lineRule="exact"/>
              <w:rPr>
                <w:sz w:val="20"/>
                <w:szCs w:val="20"/>
                <w:color w:val="auto"/>
              </w:rPr>
            </w:pPr>
            <w:r>
              <w:rPr>
                <w:rFonts w:ascii="Times New Roman" w:cs="Times New Roman" w:eastAsia="Times New Roman" w:hAnsi="Times New Roman"/>
                <w:sz w:val="18"/>
                <w:szCs w:val="18"/>
                <w:color w:val="auto"/>
                <w:w w:val="95"/>
              </w:rPr>
              <w:t>04/09/2024</w:t>
            </w:r>
            <w:r>
              <w:rPr>
                <w:rFonts w:ascii="Times New Roman" w:cs="Times New Roman" w:eastAsia="Times New Roman" w:hAnsi="Times New Roman"/>
                <w:sz w:val="29"/>
                <w:szCs w:val="29"/>
                <w:color w:val="auto"/>
                <w:w w:val="95"/>
                <w:vertAlign w:val="superscript"/>
              </w:rPr>
              <w:t>(4)</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984,161</w:t>
            </w:r>
          </w:p>
        </w:tc>
        <w:tc>
          <w:tcPr>
            <w:tcW w:w="0" w:type="dxa"/>
            <w:vAlign w:val="bottom"/>
          </w:tcPr>
          <w:p>
            <w:pPr>
              <w:spacing w:after="0"/>
              <w:rPr>
                <w:sz w:val="1"/>
                <w:szCs w:val="1"/>
                <w:color w:val="auto"/>
              </w:rPr>
            </w:pPr>
          </w:p>
        </w:tc>
      </w:tr>
      <w:tr>
        <w:trPr>
          <w:trHeight w:val="285"/>
        </w:trPr>
        <w:tc>
          <w:tcPr>
            <w:tcW w:w="1820" w:type="dxa"/>
            <w:vAlign w:val="bottom"/>
          </w:tcPr>
          <w:p>
            <w:pPr>
              <w:spacing w:after="0"/>
              <w:rPr>
                <w:sz w:val="24"/>
                <w:szCs w:val="24"/>
                <w:color w:val="auto"/>
              </w:rPr>
            </w:pPr>
          </w:p>
        </w:tc>
        <w:tc>
          <w:tcPr>
            <w:tcW w:w="1140" w:type="dxa"/>
            <w:vAlign w:val="bottom"/>
            <w:gridSpan w:val="2"/>
          </w:tcPr>
          <w:p>
            <w:pPr>
              <w:jc w:val="center"/>
              <w:ind w:left="50"/>
              <w:spacing w:after="0" w:line="284" w:lineRule="exact"/>
              <w:rPr>
                <w:sz w:val="20"/>
                <w:szCs w:val="20"/>
                <w:color w:val="auto"/>
              </w:rPr>
            </w:pPr>
            <w:r>
              <w:rPr>
                <w:rFonts w:ascii="Times New Roman" w:cs="Times New Roman" w:eastAsia="Times New Roman" w:hAnsi="Times New Roman"/>
                <w:sz w:val="18"/>
                <w:szCs w:val="18"/>
                <w:color w:val="auto"/>
                <w:w w:val="95"/>
              </w:rPr>
              <w:t>04/09/2024</w:t>
            </w:r>
            <w:r>
              <w:rPr>
                <w:rFonts w:ascii="Times New Roman" w:cs="Times New Roman" w:eastAsia="Times New Roman" w:hAnsi="Times New Roman"/>
                <w:sz w:val="29"/>
                <w:szCs w:val="29"/>
                <w:color w:val="auto"/>
                <w:w w:val="95"/>
                <w:vertAlign w:val="superscript"/>
              </w:rPr>
              <w:t>(6)</w:t>
            </w:r>
          </w:p>
        </w:tc>
        <w:tc>
          <w:tcPr>
            <w:tcW w:w="1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269,772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$23,453,978</w:t>
            </w:r>
          </w:p>
        </w:tc>
        <w:tc>
          <w:tcPr>
            <w:tcW w:w="0" w:type="dxa"/>
            <w:vAlign w:val="bottom"/>
          </w:tcPr>
          <w:p>
            <w:pPr>
              <w:spacing w:after="0"/>
              <w:rPr>
                <w:sz w:val="1"/>
                <w:szCs w:val="1"/>
                <w:color w:val="auto"/>
              </w:rPr>
            </w:pPr>
          </w:p>
        </w:tc>
      </w:tr>
      <w:tr>
        <w:trPr>
          <w:trHeight w:val="284"/>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Steckelberg</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01/06/2018</w:t>
            </w:r>
          </w:p>
        </w:tc>
        <w:tc>
          <w:tcPr>
            <w:tcW w:w="9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124,582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$ 1.31</w:t>
            </w:r>
          </w:p>
        </w:tc>
        <w:tc>
          <w:tcPr>
            <w:tcW w:w="112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01/07/2028</w:t>
            </w:r>
            <w:r>
              <w:rPr>
                <w:rFonts w:ascii="Times New Roman" w:cs="Times New Roman" w:eastAsia="Times New Roman" w:hAnsi="Times New Roman"/>
                <w:sz w:val="29"/>
                <w:szCs w:val="29"/>
                <w:color w:val="auto"/>
                <w:vertAlign w:val="superscript"/>
              </w:rPr>
              <w:t>(7)</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09/24/2018</w:t>
            </w:r>
          </w:p>
        </w:tc>
        <w:tc>
          <w:tcPr>
            <w:tcW w:w="9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$ 3.77</w:t>
            </w:r>
          </w:p>
        </w:tc>
        <w:tc>
          <w:tcPr>
            <w:tcW w:w="112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09/24/2028</w:t>
            </w:r>
            <w:r>
              <w:rPr>
                <w:rFonts w:ascii="Times New Roman" w:cs="Times New Roman" w:eastAsia="Times New Roman" w:hAnsi="Times New Roman"/>
                <w:sz w:val="29"/>
                <w:szCs w:val="29"/>
                <w:color w:val="auto"/>
                <w:vertAlign w:val="superscript"/>
              </w:rPr>
              <w:t>(7)</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options were granted with a per share exercise price equal to the fair market value of one share of our common stock on the date of grant, as determined in good faith by our Board of Directors or Compensation Committee.</w:t>
      </w: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shares subject to the award will vest in 16 equal quarterly installments after the grant date, subject to the NEO’s continuous service with us as of each such vesting date.</w:t>
      </w:r>
    </w:p>
    <w:p>
      <w:pPr>
        <w:ind w:left="640" w:right="29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shares vest subject to the award will vest in 12 equal quarterly installments, subject to the NEO’s continuous service with us through each such date.</w:t>
      </w:r>
    </w:p>
    <w:p>
      <w:pPr>
        <w:jc w:val="both"/>
        <w:ind w:left="640" w:right="299" w:hanging="348"/>
        <w:spacing w:after="0" w:line="236"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performance-vesting RSUs earned for performance in fiscal 2025. 100% of the shares subject to the award will vest on the one-year anniversary of the grant date, subject to the NEO’s continuous service with us as of such vesting date. The number of shares reported reflects achievement of the relevant performance goals at maximum achievement level, based on fiscal 2025 performance, as described in ”Compensation Discussion and Analysis-Fiscal 2025 Executive Compensation Program-Equity Awards“ above.</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One-fourth of the shares subject to the award will vest on the one-year anniversary of the grant date and an additional 6.25% of the RSUs vesting each quarter thereafter, subject to the NEO’s continuous service with us as of each such vesting date.</w:t>
      </w: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shares subject to the award will vest in 16 equal quarterly installments beginning on July 9, 2024, subject to the NEO’s continuous service with us as of each such vesting date</w:t>
      </w: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options outstanding as of February 26, 2025 expired on that date.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2025</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January 31, 2025, certain information regarding option exercises and stock vested during the last fiscal year with respect to our named executive officers: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174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on Vesting</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ind w:right="161"/>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0" w:type="dxa"/>
            <w:vAlign w:val="bottom"/>
          </w:tcPr>
          <w:p>
            <w:pPr>
              <w:spacing w:after="0"/>
              <w:rPr>
                <w:sz w:val="1"/>
                <w:szCs w:val="1"/>
                <w:color w:val="auto"/>
              </w:rPr>
            </w:pPr>
          </w:p>
        </w:tc>
      </w:tr>
      <w:tr>
        <w:trPr>
          <w:trHeight w:val="25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287,665</w:t>
            </w:r>
          </w:p>
        </w:tc>
        <w:tc>
          <w:tcPr>
            <w:tcW w:w="10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19,341,225</w:t>
            </w: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114,134</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7,591,360</w:t>
            </w: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144,762</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9,652,757</w:t>
            </w: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Steckelberg</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31,204,400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110,040</w:t>
            </w:r>
          </w:p>
        </w:tc>
        <w:tc>
          <w:tcPr>
            <w:tcW w:w="1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6,943,850</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2"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exercise is based on the difference between the closing price of our Class A common stock on the date of exercise and the applicable exercise price of those options and does not represent actual amounts received by our NEOs as a result of the option exercises.</w:t>
      </w:r>
    </w:p>
    <w:p>
      <w:pPr>
        <w:spacing w:after="0" w:line="17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is determined by multiplying the number of vested RSUs by the closing price of our Class A common stock on the vesting date. The value realized on vesting does not reflect the actual value received by each NEO because a portion of the shares reflected in the table above were sold to satisfy the NEO’s tax withholding obligations.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entered into offer letters with each of our named executive officers. In December 2018, we entered into a confirmatory offer letter with each of Mr. Yuan, Ms. Steckelberg and Ms. Bawa. We entered into an offer letter with Mr. Sankarlingam in May 2020 and with Ms. Chang in September 2024. The offer letters have no specific term and provide for at-will employment and, except with respect to Ms. Chang, provide for certain severance benefits which were superseded by our Severance Plan (as described below). On August 16, 2024, Ms. Steckelberg notified the Company of her intent to resign from her position as the Company’s Chief Financial Officer. In connection with her notice of resignation, we entered into a transition and separation agreement with Ms. Steckelberg on August 21, 2024, whereby Ms. Steckelberg agreed to continue to serve as the Company’s Chief Financial Officer through the release of the Company’s earnings for the fiscal quarter ending October 31, 2024 (the “Separation Date”) or the date of her successor’s appointment, in which case a period of advisory service would follow until the Separation Date. Ms. Steckelberg’s resignation from her position as Chief Financial Officer was effective as of October 7, 2024. Under the terms of the transition and separation agreement, Ms. Steckelberg forfeited all unvested equity awards as of the Separation Date and was not eligible to receive any severance payments or benefits under the terms of our Severance Plan (as defined below) in connection with her resignation.</w:t>
      </w:r>
    </w:p>
    <w:p>
      <w:pPr>
        <w:spacing w:after="0" w:line="8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maintain a Severance and Change in Control Plan (the “Severance Plan”) that was adopted in August 2022 and provides severance protection to certain Company employees, including each of our named executive officers. The Severance Plan generally replaces and supersedes the severance and change in control benefits in our named executive officers’ offer letters. The Severance Plan provides that, upon an involuntary termination without cause or resignation for good reason, in each case, within the change-in-control period (3 months prior to, or 12 months following, a change in control), the named executive officer will be entitled to receive, subject to the execution and delivery of an effective release of claims in our favor, (1) a lump sum cash payment equal to six months of annual base salary; (2) continued COBRA premium payments for six months following termination; and (3) 100% acceleration of any then-outstanding equity awards. The Severance Plan also provides that upon an involuntary termination without cause or resignation for good reason, in each case, outside of the change in control period, each of our named executive officers will be entitled to 12 months of acceleration of vesting for outstanding and unvested time-based equity awards. The terms “cause,” “good reason” and “change in control” are defined as set forth in the Severance Plan. As noted above, Ms. Steckelberg was subject to the Severance Plan, but was not eligible to receive any severance payments or benefits in connection with her resignation.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of our named executive officers (including Ms. Steckelberg, prior to her resignation) is eligible for severance benefits pursuant to the terms of our Severance Plan as further described above under “Employment, Severance and Change in Control Agreements.” In addition, each of our named executive officers hold equity awards that are subject to the terms of the equity incentive plan under which such awards were granted and the relevant award agreement thereunder. The following table presents information concerning estimated payments and benefits that would be provided in the circumstances described below for each of the named executive officers serving as of the end of the fiscal year ending January 31, 2025. The payments and benefits set forth below are estimated assuming that the termination or change in control event occurred on the last business day of our fiscal year ending January 31, 2025 using the closing market price of our Class A common stock on that date. Actual payments and benefits could be different if such events were to occur on any other date or at any other price or if any other assumptions are used to estimate potential payments and benefits.</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300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Involuntary Termination in Connection</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center"/>
              <w:ind w:right="53"/>
              <w:spacing w:after="0" w:line="244" w:lineRule="exact"/>
              <w:rPr>
                <w:sz w:val="20"/>
                <w:szCs w:val="20"/>
                <w:color w:val="auto"/>
              </w:rPr>
            </w:pPr>
            <w:r>
              <w:rPr>
                <w:rFonts w:ascii="Times New Roman" w:cs="Times New Roman" w:eastAsia="Times New Roman" w:hAnsi="Times New Roman"/>
                <w:sz w:val="14"/>
                <w:szCs w:val="14"/>
                <w:b w:val="1"/>
                <w:bCs w:val="1"/>
                <w:color w:val="auto"/>
              </w:rPr>
              <w:t>with a Change in Control</w:t>
            </w:r>
            <w:r>
              <w:rPr>
                <w:rFonts w:ascii="Times New Roman" w:cs="Times New Roman" w:eastAsia="Times New Roman" w:hAnsi="Times New Roman"/>
                <w:sz w:val="23"/>
                <w:szCs w:val="23"/>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7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COBRA</w:t>
            </w:r>
          </w:p>
        </w:tc>
        <w:tc>
          <w:tcPr>
            <w:tcW w:w="1200" w:type="dxa"/>
            <w:vAlign w:val="bottom"/>
            <w:vMerge w:val="restart"/>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120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5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1100" w:type="dxa"/>
            <w:vAlign w:val="bottom"/>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200" w:type="dxa"/>
            <w:vAlign w:val="bottom"/>
          </w:tcPr>
          <w:p>
            <w:pPr>
              <w:jc w:val="center"/>
              <w:ind w:right="253"/>
              <w:spacing w:after="0" w:line="228" w:lineRule="exact"/>
              <w:rPr>
                <w:sz w:val="20"/>
                <w:szCs w:val="20"/>
                <w:color w:val="auto"/>
              </w:rPr>
            </w:pPr>
            <w:r>
              <w:rPr>
                <w:rFonts w:ascii="Times New Roman" w:cs="Times New Roman" w:eastAsia="Times New Roman" w:hAnsi="Times New Roman"/>
                <w:sz w:val="26"/>
                <w:szCs w:val="26"/>
                <w:b w:val="1"/>
                <w:bCs w:val="1"/>
                <w:color w:val="auto"/>
                <w:w w:val="95"/>
                <w:vertAlign w:val="subscript"/>
              </w:rPr>
              <w:t>($)</w:t>
            </w:r>
            <w:r>
              <w:rPr>
                <w:rFonts w:ascii="Times New Roman" w:cs="Times New Roman" w:eastAsia="Times New Roman" w:hAnsi="Times New Roman"/>
                <w:sz w:val="11"/>
                <w:szCs w:val="11"/>
                <w:b w:val="1"/>
                <w:bCs w:val="1"/>
                <w:color w:val="auto"/>
                <w:w w:val="95"/>
              </w:rPr>
              <w:t>(4)(5)</w:t>
            </w:r>
          </w:p>
        </w:tc>
        <w:tc>
          <w:tcPr>
            <w:tcW w:w="5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Certain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in</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with a</w:t>
            </w:r>
          </w:p>
        </w:tc>
        <w:tc>
          <w:tcPr>
            <w:tcW w:w="1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69"/>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NEO</w:t>
            </w:r>
          </w:p>
        </w:tc>
        <w:tc>
          <w:tcPr>
            <w:tcW w:w="0" w:type="dxa"/>
            <w:vAlign w:val="bottom"/>
          </w:tcPr>
          <w:p>
            <w:pPr>
              <w:spacing w:after="0"/>
              <w:rPr>
                <w:sz w:val="1"/>
                <w:szCs w:val="1"/>
                <w:color w:val="auto"/>
              </w:rPr>
            </w:pPr>
          </w:p>
        </w:tc>
      </w:tr>
      <w:tr>
        <w:trPr>
          <w:trHeight w:val="216"/>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940" w:type="dxa"/>
            <w:vAlign w:val="bottom"/>
            <w:gridSpan w:val="2"/>
          </w:tcPr>
          <w:p>
            <w:pPr>
              <w:jc w:val="center"/>
              <w:ind w:right="168"/>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(7)</w:t>
            </w:r>
          </w:p>
        </w:tc>
        <w:tc>
          <w:tcPr>
            <w:tcW w:w="940" w:type="dxa"/>
            <w:vAlign w:val="bottom"/>
            <w:gridSpan w:val="2"/>
          </w:tcPr>
          <w:p>
            <w:pPr>
              <w:jc w:val="center"/>
              <w:ind w:left="28"/>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(8)</w:t>
            </w:r>
          </w:p>
        </w:tc>
        <w:tc>
          <w:tcPr>
            <w:tcW w:w="0" w:type="dxa"/>
            <w:vAlign w:val="bottom"/>
          </w:tcPr>
          <w:p>
            <w:pPr>
              <w:spacing w:after="0"/>
              <w:rPr>
                <w:sz w:val="1"/>
                <w:szCs w:val="1"/>
                <w:color w:val="auto"/>
              </w:rPr>
            </w:pPr>
          </w:p>
        </w:tc>
      </w:tr>
      <w:tr>
        <w:trPr>
          <w:trHeight w:val="144"/>
        </w:trPr>
        <w:tc>
          <w:tcPr>
            <w:tcW w:w="82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Partial</w:t>
            </w:r>
          </w:p>
        </w:tc>
        <w:tc>
          <w:tcPr>
            <w:tcW w:w="100" w:type="dxa"/>
            <w:vAlign w:val="bottom"/>
          </w:tcPr>
          <w:p>
            <w:pPr>
              <w:spacing w:after="0"/>
              <w:rPr>
                <w:sz w:val="12"/>
                <w:szCs w:val="12"/>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0" w:type="dxa"/>
            <w:vAlign w:val="bottom"/>
          </w:tcPr>
          <w:p>
            <w:pPr>
              <w:spacing w:after="0"/>
              <w:rPr>
                <w:sz w:val="1"/>
                <w:szCs w:val="1"/>
                <w:color w:val="auto"/>
              </w:rPr>
            </w:pPr>
          </w:p>
        </w:tc>
      </w:tr>
      <w:tr>
        <w:trPr>
          <w:trHeight w:val="244"/>
        </w:trPr>
        <w:tc>
          <w:tcPr>
            <w:tcW w:w="820" w:type="dxa"/>
            <w:vAlign w:val="bottom"/>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92"/>
                <w:vertAlign w:val="subscript"/>
              </w:rPr>
              <w:t>($)</w:t>
            </w:r>
            <w:r>
              <w:rPr>
                <w:rFonts w:ascii="Times New Roman" w:cs="Times New Roman" w:eastAsia="Times New Roman" w:hAnsi="Times New Roman"/>
                <w:sz w:val="12"/>
                <w:szCs w:val="12"/>
                <w:b w:val="1"/>
                <w:bCs w:val="1"/>
                <w:color w:val="auto"/>
                <w:w w:val="92"/>
              </w:rPr>
              <w:t>(4)(6)</w:t>
            </w:r>
          </w:p>
        </w:tc>
        <w:tc>
          <w:tcPr>
            <w:tcW w:w="940" w:type="dxa"/>
            <w:vAlign w:val="bottom"/>
            <w:gridSpan w:val="2"/>
          </w:tcPr>
          <w:p>
            <w:pPr>
              <w:jc w:val="center"/>
              <w:ind w:right="108"/>
              <w:spacing w:after="0" w:line="245"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(4)(5)</w:t>
            </w:r>
          </w:p>
        </w:tc>
        <w:tc>
          <w:tcPr>
            <w:tcW w:w="940" w:type="dxa"/>
            <w:vAlign w:val="bottom"/>
            <w:gridSpan w:val="2"/>
          </w:tcPr>
          <w:p>
            <w:pPr>
              <w:jc w:val="center"/>
              <w:ind w:left="28"/>
              <w:spacing w:after="0" w:line="244"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900" w:space="120"/>
            <w:col w:w="299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S. Yuan</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225,000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37,020,530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37,263,488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25,117,662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37,020,530</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37,020,530</w:t>
            </w:r>
          </w:p>
        </w:tc>
      </w:t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11,073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30,905,083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31,206,157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9,657,817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30,905,083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30,905,083</w:t>
            </w:r>
          </w:p>
        </w:tc>
      </w:tr>
      <w:tr>
        <w:trPr>
          <w:trHeight w:val="24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Aparna Bawa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1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14,480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12,143,084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12,382,564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8,423,443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12,143,084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12,143,084</w:t>
            </w: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Velchamy Sankarlingam</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18,248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28,716,804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28,960,052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10,645,716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28,716,804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28,716,804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jc w:val="both"/>
        <w:ind w:left="640" w:right="299" w:hanging="348"/>
        <w:spacing w:after="0" w:line="24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termination” means a termination without cause or a resignation for good reason and other than due to death or disability. An involuntary termination that occurs three months prior to, or twelve months following, a change in control is considered occurring “in connection with” such change in control for purposes of each of the NEO’s severance benefits listed above.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six months of the NEO’s annual base salary, paid in lump sum.</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six months of potential COBRA premiums, which if elected by the executive would be paid on his or her behalf.</w:t>
      </w:r>
    </w:p>
    <w:p>
      <w:pPr>
        <w:spacing w:after="0" w:line="41"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equity acceleration is calculated based on the closing price of $86.94 per share of our Class A common stock as of January 31, 2025, multiplied by the number of unvested RSUs subject to acceleration. All of the unvested outstanding equity awards held by our then-serving NEOs as of January 31, 2025 were RSUs.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benefits represent vesting of the performance-vesting RSUs at 100% of target.</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performance-vesting RSUs, “involuntary termination” means a termination without cause and other than due to death or disability. These benefits include vesting of the performance-vesting RSUs at 100% of target based on actual achievement, pursuant to the terms of the performance-vesting RSUs, which benefits were subject to the execution and delivery of an effective release of claims in our favor.</w:t>
      </w:r>
    </w:p>
    <w:p>
      <w:pPr>
        <w:spacing w:after="0" w:line="165"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benefits represent full equity acceleration of all awards under the terms of the 2019 Plan if, upon a corporate transaction (as defined in the 2019 Plan), the equity awards will terminate and will not be assumed or continued by the successor or acquirer entity or substituted for a similar award of the successor or acquirer entity and the NEOs do not terminate employment prior to such corporate transaction.</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benefits represent full equity acceleration of all RSU awards upon death or disability of a NEO, pursuant to the terms of the RSU agreements provided to NEOs under the 2019 Plan.</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Ratio</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Act and Item 402(u) of Regulation S-K, we are providing the following information about the relationship of the annual total compensation of our median employee and the annual total compensation of our CEO.</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pay ratio is a reasonable estimate calculated in a manner consistent with SEC rules. The SEC’s regulations for identifying the median employee, calculating annual total compensation and determining the pay ratio allow companies to use different methodologies, exemptions, estimates and assumptions. Therefore, our pay ratio disclosure may not be comparable to that reported by other companies, as other companies not only have different employee populations and compensation practices but also may utilize different methodologies, exclusions, estimates, and assumptions in calculating their own pay ratios.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For purposes of our pay ratio calculation, we determined that there were no changes to our employee population or to our employee compensation arrangements that we believe would significantly impact the pay ratio disclosure, allowing us to use the same median employee identified in our proxy statement for fiscal year 2024. However, as the originally identified median employee has left the Company, we have substituted another employee whose compensation is substantially similar to the original median employee.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disclosed in our proxy statement for fiscal year 2024, to identify the median of the annual total compensation of all our employees, the methodology and the material assumptions, adjustments and estimates that we used were as follows:</w:t>
      </w:r>
    </w:p>
    <w:p>
      <w:pPr>
        <w:spacing w:after="0" w:line="68" w:lineRule="exact"/>
        <w:rPr>
          <w:sz w:val="20"/>
          <w:szCs w:val="20"/>
          <w:color w:val="auto"/>
        </w:rPr>
      </w:pPr>
    </w:p>
    <w:p>
      <w:pPr>
        <w:jc w:val="both"/>
        <w:ind w:left="1000" w:right="31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examined the compensation of all of our full-time and part-time employees (other than our CEO) as of November 1, 2023 including individuals employed through a third-party provider. We did not include any independent contractors or contingent workers in our employee population for purposes of this determination.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our median employee, we utilized a consistently applied compensation measure consisting of base salary paid, bonus or commission payments made and the grant date fair value, calculated in accordance with ASC 718, of equity awards granted, in each case during the period from February 1, 2023 through November 1, 2023. We selected this compensation measure as it captures the principal forms of compensation delivered to our employees and this information is readily available with respect to our employees.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salary and commission payments for employees who were employed for less than the full fiscal year and then pro-rated these amounts to reflect the period from February 1, 2023 through November 1, 2023.</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paid other than in U.S. dollars, we converted their compensation to U.S. dollars using foreign exchange rates in effect as of November 1, 2023. We did not make any cost-of-living adjustments for employees outside of the United States.</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After we determined the identity of our median employee for fiscal 2025, we then calculated that employee’s annual total compensation in accordance with the requirements of Item 402(c)(2)(x) of Regulation S-K.</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set forth in the Summary Compensation Table, our CEO’s annual total compensation for fiscal 2025 was $3,428,169. The median of the annual total compensation of all of our employees (except for our CEO) for fiscal 2025 was $174,796, resulting in a CEO to median employee pay ratio of approximately 20:1.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disclosure included in this section is prescribed by SEC rules and does not necessarily align with how we or our Compensation Committee view the link between our performance and our named executive officers’ pay. For additional information about our pay-for-performance philosophy and how we align executive compensation with Company performance, refer to the “Compensation Discussion and Analysis” section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Pay Versus Performance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to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Fiscal</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Pr>
          <w:p>
            <w:pPr>
              <w:spacing w:after="0"/>
              <w:rPr>
                <w:sz w:val="13"/>
                <w:szCs w:val="13"/>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80" w:type="dxa"/>
            <w:vAlign w:val="bottom"/>
            <w:vMerge w:val="restart"/>
          </w:tcPr>
          <w:p>
            <w:pPr>
              <w:jc w:val="center"/>
              <w:ind w:right="31"/>
              <w:spacing w:after="0" w:line="12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tcPr>
          <w:p>
            <w:pPr>
              <w:jc w:val="center"/>
              <w:ind w:right="11"/>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Peer Group</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8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0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0" w:type="dxa"/>
            <w:vAlign w:val="bottom"/>
          </w:tcPr>
          <w:p>
            <w:pPr>
              <w:ind w:left="100"/>
              <w:spacing w:after="0" w:line="187" w:lineRule="exact"/>
              <w:rPr>
                <w:sz w:val="20"/>
                <w:szCs w:val="20"/>
                <w:color w:val="auto"/>
              </w:rPr>
            </w:pPr>
            <w:r>
              <w:rPr>
                <w:rFonts w:ascii="Times New Roman" w:cs="Times New Roman" w:eastAsia="Times New Roman" w:hAnsi="Times New Roman"/>
                <w:sz w:val="13"/>
                <w:szCs w:val="13"/>
                <w:b w:val="1"/>
                <w:bCs w:val="1"/>
                <w:color w:val="auto"/>
              </w:rPr>
              <w:t>Net Income</w:t>
            </w:r>
            <w:r>
              <w:rPr>
                <w:rFonts w:ascii="Times New Roman" w:cs="Times New Roman" w:eastAsia="Times New Roman" w:hAnsi="Times New Roman"/>
                <w:sz w:val="21"/>
                <w:szCs w:val="21"/>
                <w:b w:val="1"/>
                <w:bCs w:val="1"/>
                <w:color w:val="auto"/>
                <w:vertAlign w:val="superscript"/>
              </w:rPr>
              <w:t>(6)</w:t>
            </w:r>
          </w:p>
        </w:tc>
        <w:tc>
          <w:tcPr>
            <w:tcW w:w="780" w:type="dxa"/>
            <w:vAlign w:val="bottom"/>
          </w:tcPr>
          <w:p>
            <w:pPr>
              <w:ind w:left="60"/>
              <w:spacing w:after="0" w:line="187"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1"/>
                <w:szCs w:val="21"/>
                <w:b w:val="1"/>
                <w:bCs w:val="1"/>
                <w:color w:val="auto"/>
                <w:vertAlign w:val="superscript"/>
              </w:rPr>
              <w:t>(7)</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for PEO</w:t>
            </w:r>
            <w:r>
              <w:rPr>
                <w:rFonts w:ascii="Times New Roman" w:cs="Times New Roman" w:eastAsia="Times New Roman" w:hAnsi="Times New Roman"/>
                <w:sz w:val="23"/>
                <w:szCs w:val="23"/>
                <w:b w:val="1"/>
                <w:bCs w:val="1"/>
                <w:color w:val="auto"/>
                <w:w w:val="93"/>
                <w:vertAlign w:val="superscript"/>
              </w:rPr>
              <w:t>(1)(2)</w:t>
            </w:r>
          </w:p>
        </w:tc>
        <w:tc>
          <w:tcPr>
            <w:tcW w:w="102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to PEO</w:t>
            </w:r>
            <w:r>
              <w:rPr>
                <w:rFonts w:ascii="Times New Roman" w:cs="Times New Roman" w:eastAsia="Times New Roman" w:hAnsi="Times New Roman"/>
                <w:sz w:val="11"/>
                <w:szCs w:val="11"/>
                <w:b w:val="1"/>
                <w:bCs w:val="1"/>
                <w:color w:val="auto"/>
                <w:w w:val="92"/>
              </w:rPr>
              <w:t>(1)(3)</w:t>
            </w: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NEOs</w:t>
            </w:r>
            <w:r>
              <w:rPr>
                <w:rFonts w:ascii="Times New Roman" w:cs="Times New Roman" w:eastAsia="Times New Roman" w:hAnsi="Times New Roman"/>
                <w:sz w:val="11"/>
                <w:szCs w:val="11"/>
                <w:b w:val="1"/>
                <w:bCs w:val="1"/>
                <w:color w:val="auto"/>
                <w:w w:val="96"/>
              </w:rPr>
              <w:t>(1)(2)</w:t>
            </w:r>
          </w:p>
        </w:tc>
        <w:tc>
          <w:tcPr>
            <w:tcW w:w="10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NEOs</w:t>
            </w:r>
            <w:r>
              <w:rPr>
                <w:rFonts w:ascii="Times New Roman" w:cs="Times New Roman" w:eastAsia="Times New Roman" w:hAnsi="Times New Roman"/>
                <w:sz w:val="11"/>
                <w:szCs w:val="11"/>
                <w:b w:val="1"/>
                <w:bCs w:val="1"/>
                <w:color w:val="auto"/>
                <w:w w:val="96"/>
              </w:rPr>
              <w:t>(1)(3)</w:t>
            </w:r>
          </w:p>
        </w:tc>
        <w:tc>
          <w:tcPr>
            <w:tcW w:w="82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(4)</w:t>
            </w:r>
          </w:p>
        </w:tc>
        <w:tc>
          <w:tcPr>
            <w:tcW w:w="86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(5)</w:t>
            </w: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0" w:space="520"/>
            <w:col w:w="783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0"/>
        </w:trPr>
        <w:tc>
          <w:tcPr>
            <w:tcW w:w="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3,428,169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$13,703,322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$12,493,135</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$12,843,542</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$113.94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$288.90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$1,010,238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$4,665</w:t>
            </w:r>
          </w:p>
        </w:tc>
      </w:tr>
      <w:tr>
        <w:trPr>
          <w:trHeight w:val="239"/>
        </w:trPr>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$28,082,133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$21,165,565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$11,660,924</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$ 8,969,101</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$ 84.68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637,462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$4,527</w:t>
            </w:r>
          </w:p>
        </w:tc>
      </w:tr>
      <w:tr>
        <w:trPr>
          <w:trHeight w:val="247"/>
        </w:trPr>
        <w:tc>
          <w:tcPr>
            <w:tcW w:w="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$75,959,683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$43,840,026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$32,519,158</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$20,324,162</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$ 98.30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$4,393</w:t>
            </w:r>
          </w:p>
        </w:tc>
      </w:tr>
      <w:tr>
        <w:trPr>
          <w:trHeight w:val="239"/>
        </w:trPr>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1,115,089 ($26,702,869)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512,500 ($19,780,384)</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$202.20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$183.20</w:t>
            </w: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$1,375,639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$4,100</w:t>
            </w:r>
          </w:p>
        </w:tc>
      </w:tr>
      <w:tr>
        <w:trPr>
          <w:trHeight w:val="234"/>
        </w:trPr>
        <w:tc>
          <w:tcPr>
            <w:tcW w:w="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949,748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$89,602,053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$10,281,937</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$78,892,651</w:t>
            </w: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$487.64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672,316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$2,651</w:t>
            </w:r>
          </w:p>
        </w:tc>
      </w:tr>
      <w:tr>
        <w:trPr>
          <w:trHeight w:val="54"/>
        </w:trPr>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individuals are our PEO and other non-PEO NEOs for each fiscal year:</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3"/>
                <w:szCs w:val="13"/>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3"/>
                <w:szCs w:val="13"/>
                <w:color w:val="auto"/>
              </w:rPr>
            </w:pPr>
          </w:p>
        </w:tc>
        <w:tc>
          <w:tcPr>
            <w:tcW w:w="590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Eric S. Yuan</w:t>
            </w:r>
          </w:p>
        </w:tc>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Michelle Chang, Kelly Steckelberg, Aparna Bawa and Velchamy Sankarlingam</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Eric S. Yuan</w:t>
            </w: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Kelly Steckelberg, Aparna Bawa and Velchamy Sankarlingam</w:t>
            </w:r>
          </w:p>
        </w:tc>
        <w:tc>
          <w:tcPr>
            <w:tcW w:w="0" w:type="dxa"/>
            <w:vAlign w:val="bottom"/>
          </w:tcPr>
          <w:p>
            <w:pPr>
              <w:spacing w:after="0"/>
              <w:rPr>
                <w:sz w:val="1"/>
                <w:szCs w:val="1"/>
                <w:color w:val="auto"/>
              </w:rPr>
            </w:pPr>
          </w:p>
        </w:tc>
      </w:tr>
      <w:tr>
        <w:trPr>
          <w:trHeight w:val="19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Eric S. Yuan</w:t>
            </w:r>
          </w:p>
        </w:tc>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Kelly Steckelberg, Aparna Bawa, Velchamy Sankarlingam and Greg Tomb</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Eric S. Yuan</w:t>
            </w:r>
          </w:p>
        </w:tc>
        <w:tc>
          <w:tcPr>
            <w:tcW w:w="6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Kelly Steckelberg, Ryan Azus, Aparna Bawa and Janine Pelosi</w:t>
            </w:r>
          </w:p>
        </w:tc>
        <w:tc>
          <w:tcPr>
            <w:tcW w:w="0" w:type="dxa"/>
            <w:vAlign w:val="bottom"/>
          </w:tcPr>
          <w:p>
            <w:pPr>
              <w:spacing w:after="0"/>
              <w:rPr>
                <w:sz w:val="1"/>
                <w:szCs w:val="1"/>
                <w:color w:val="auto"/>
              </w:rPr>
            </w:pPr>
          </w:p>
        </w:tc>
      </w:tr>
      <w:tr>
        <w:trPr>
          <w:trHeight w:val="16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Eric S. Yuan</w:t>
            </w:r>
          </w:p>
        </w:tc>
        <w:tc>
          <w:tcPr>
            <w:tcW w:w="6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Kelly Steckelberg, Ryan Azus, Aparna Bawa and Velchamy Sankarlingam</w:t>
            </w: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4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total compensation reported for Mr. Yuan (our PEO) and the average total compensation for our non-PEO NEOs for each corresponding year in the “Total” column of the Summary Compensation Table. Refer to “Summary Compensation table for Fiscal Year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36"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CAP for Mr. Yuan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NEOs’ total compensation for fiscal 2025 as reported in the Summary Compensation Table to determine the CAP:</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Deduct:</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Deduct:</w:t>
            </w: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the end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Prior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Prior</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to the end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End of</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the</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End of</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“Stock</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of</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FYs</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FYs</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and</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Prior</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Columns in the</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that</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FY that were</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Were</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Were Not</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Vested</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Satisfied</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Satisfied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Table for</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NEOs</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Applicable Applicable</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CAP</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(“FY”)</w:t>
            </w:r>
          </w:p>
        </w:tc>
        <w:tc>
          <w:tcPr>
            <w:tcW w:w="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FY*</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FY End*</w:t>
            </w: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FY End*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FY*</w:t>
            </w: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FY</w:t>
            </w: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FY</w:t>
            </w: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PEO</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$ 3,428,169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963,688</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$ 1,312,185</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$9,171,467</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$755,189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$13,703,322</w:t>
            </w:r>
          </w:p>
        </w:tc>
        <w:tc>
          <w:tcPr>
            <w:tcW w:w="0" w:type="dxa"/>
            <w:vAlign w:val="bottom"/>
          </w:tcPr>
          <w:p>
            <w:pPr>
              <w:spacing w:after="0"/>
              <w:rPr>
                <w:sz w:val="1"/>
                <w:szCs w:val="1"/>
                <w:color w:val="auto"/>
              </w:rPr>
            </w:pPr>
          </w:p>
        </w:tc>
      </w:tr>
      <w:tr>
        <w:trPr>
          <w:trHeight w:val="149"/>
        </w:trPr>
        <w:tc>
          <w:tcPr>
            <w:tcW w:w="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vMerge w:val="continue"/>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PEO</w:t>
            </w:r>
          </w:p>
        </w:tc>
        <w:tc>
          <w:tcPr>
            <w:tcW w:w="9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$12,493,135</w:t>
            </w:r>
          </w:p>
        </w:tc>
        <w:tc>
          <w:tcPr>
            <w:tcW w:w="1040" w:type="dxa"/>
            <w:vAlign w:val="bottom"/>
            <w:gridSpan w:val="3"/>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$12,060,216</w:t>
            </w:r>
          </w:p>
        </w:tc>
        <w:tc>
          <w:tcPr>
            <w:tcW w:w="8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$14,081,846</w:t>
            </w:r>
          </w:p>
        </w:tc>
        <w:tc>
          <w:tcPr>
            <w:tcW w:w="9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991,262</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$1,066,722</w:t>
            </w:r>
          </w:p>
        </w:tc>
        <w:tc>
          <w:tcPr>
            <w:tcW w:w="7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$ 26,588</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$3,755,795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$12,843,542</w:t>
            </w:r>
          </w:p>
        </w:tc>
        <w:tc>
          <w:tcPr>
            <w:tcW w:w="0" w:type="dxa"/>
            <w:vAlign w:val="bottom"/>
          </w:tcPr>
          <w:p>
            <w:pPr>
              <w:spacing w:after="0"/>
              <w:rPr>
                <w:sz w:val="1"/>
                <w:szCs w:val="1"/>
                <w:color w:val="auto"/>
              </w:rPr>
            </w:pPr>
          </w:p>
        </w:tc>
      </w:tr>
      <w:tr>
        <w:trPr>
          <w:trHeight w:val="171"/>
        </w:trPr>
        <w:tc>
          <w:tcPr>
            <w:tcW w:w="66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NEOs</w:t>
            </w:r>
          </w:p>
        </w:tc>
        <w:tc>
          <w:tcPr>
            <w:tcW w:w="960" w:type="dxa"/>
            <w:vAlign w:val="bottom"/>
            <w:gridSpan w:val="2"/>
            <w:vMerge w:val="continue"/>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shd w:val="clear" w:color="auto" w:fill="CCEEFF"/>
          </w:tcPr>
          <w:p>
            <w:pPr>
              <w:spacing w:after="0"/>
              <w:rPr>
                <w:sz w:val="4"/>
                <w:szCs w:val="4"/>
                <w:color w:val="auto"/>
              </w:rPr>
            </w:pPr>
          </w:p>
        </w:tc>
        <w:tc>
          <w:tcPr>
            <w:tcW w:w="60" w:type="dxa"/>
            <w:vAlign w:val="bottom"/>
            <w:tcBorders>
              <w:right w:val="single" w:sz="8" w:color="CCEEFF"/>
            </w:tcBorders>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-33655</wp:posOffset>
            </wp:positionV>
            <wp:extent cx="17145"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000" w:right="319" w:hanging="348"/>
        <w:spacing w:after="0" w:line="261" w:lineRule="auto"/>
        <w:tabs>
          <w:tab w:leader="none" w:pos="100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methodology used to determine the valuation assumptions used to calculate fair values did not materially differ from those disclosed at the time of grant.</w:t>
      </w:r>
    </w:p>
    <w:p>
      <w:pPr>
        <w:jc w:val="both"/>
        <w:ind w:left="640" w:right="299" w:hanging="348"/>
        <w:spacing w:after="0" w:line="236"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(“TSR”) is determined based on the value of an initial fixed investment of $100 on January 31, 2020. Cumulative TSR is calculated by dividing the sum of the cumulative amount of dividends for the measurement period, assuming dividend reinvestment, and the difference between our stock price at the end and the beginning of the measurement period by our share price at the beginning of the measurement period.</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weighted peer group cumulative TSR, weighted according to the respective companies’ stock market capitalization at the beginning of each period for which a return is indicated. As permitted by SEC rules, the peer group used for this purpose is the group of companies included in the NASDAQ Computer Index, which is the industry peer group used in our Annual Report on Form 10-K pursuant to Item 201(e) of Regulation S-K for the fiscal year ended January 31, 2025. The separate peer group used by the Compensation Committee as a reference point in determining compensation arrangements with our executive officers is described on page </w:t>
      </w:r>
      <w:r>
        <w:rPr>
          <w:rFonts w:ascii="Times New Roman" w:cs="Times New Roman" w:eastAsia="Times New Roman" w:hAnsi="Times New Roman"/>
          <w:sz w:val="14"/>
          <w:szCs w:val="14"/>
          <w:u w:val="single" w:color="auto"/>
          <w:color w:val="0000EE"/>
        </w:rPr>
        <w:t>38</w:t>
      </w:r>
      <w:r>
        <w:rPr>
          <w:rFonts w:ascii="Times New Roman" w:cs="Times New Roman" w:eastAsia="Times New Roman" w:hAnsi="Times New Roman"/>
          <w:sz w:val="14"/>
          <w:szCs w:val="14"/>
          <w:color w:val="auto"/>
        </w:rPr>
        <w:t>.</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Zoom as reported in our consolidated financial statements included in our Annual Report on Form 10-K for the fiscal year ended January 31, 2025.</w:t>
      </w:r>
    </w:p>
    <w:p>
      <w:pPr>
        <w:jc w:val="both"/>
        <w:ind w:left="640" w:right="299" w:hanging="348"/>
        <w:spacing w:after="0" w:line="229"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Item 402(v) of Regulation S-K, we have determined that Revenue is the Company-Selected Measure. Revenue is one component of our annual performance bonus program in which our NEOs participate and of the performance-vesting RSU awards which were granted to our NEOs, as further described in the “Compensation Discussion and Analysis” section above. We may determine a different financial performance measure to be the most important financial performance measure in future years. Our stock price may have a more prominent impact on our CAP year-over-year than Revenue. As further described in the CD&amp;A, our executive compensation program historically has been heavily weighted towards equity-based compensation which, upon vesting, delivers value directly aligned with our stock price.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Most Important Measures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most important financial performance measures used by us to link CAP to our named executive officers for the most recently completed fiscal year to our performance are set forth below. For further information regarding these performance metrics and their function in our executive compensation program, please see “Compensation Discussion and Analysis”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from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Disclosure of the Relationship Between CAP and Financial Performance Measures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shows cumulative TSR and further illustrates the relationship between Company TSR and that of the NASDAQ Computer Index. As noted above, CAP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165100</wp:posOffset>
            </wp:positionV>
            <wp:extent cx="5117465" cy="20231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1746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188595</wp:posOffset>
            </wp:positionV>
            <wp:extent cx="5117465" cy="1860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1746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197485</wp:posOffset>
            </wp:positionV>
            <wp:extent cx="5117465" cy="1885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174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and Rights</w:t>
            </w:r>
            <w:r>
              <w:rPr>
                <w:rFonts w:ascii="Times New Roman" w:cs="Times New Roman" w:eastAsia="Times New Roman" w:hAnsi="Times New Roman"/>
                <w:sz w:val="23"/>
                <w:szCs w:val="23"/>
                <w:b w:val="1"/>
                <w:bCs w:val="1"/>
                <w:color w:val="auto"/>
                <w:w w:val="98"/>
                <w:vertAlign w:val="superscript"/>
              </w:rPr>
              <w:t>(1)</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rPr>
              <w:t>Class A</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130,054</w:t>
            </w:r>
          </w:p>
        </w:tc>
        <w:tc>
          <w:tcPr>
            <w:tcW w:w="12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$76.94</w:t>
            </w:r>
          </w:p>
        </w:tc>
        <w:tc>
          <w:tcPr>
            <w:tcW w:w="1880" w:type="dxa"/>
            <w:vAlign w:val="bottom"/>
            <w:gridSpan w:val="2"/>
            <w:shd w:val="clear" w:color="auto" w:fill="CCEEFF"/>
          </w:tcPr>
          <w:p>
            <w:pPr>
              <w:ind w:left="580"/>
              <w:spacing w:after="0" w:line="223" w:lineRule="exact"/>
              <w:rPr>
                <w:sz w:val="20"/>
                <w:szCs w:val="20"/>
                <w:color w:val="auto"/>
              </w:rPr>
            </w:pPr>
            <w:r>
              <w:rPr>
                <w:rFonts w:ascii="Times New Roman" w:cs="Times New Roman" w:eastAsia="Times New Roman" w:hAnsi="Times New Roman"/>
                <w:sz w:val="16"/>
                <w:szCs w:val="16"/>
                <w:color w:val="auto"/>
              </w:rPr>
              <w:t>74,830,270</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 approved by security</w:t>
            </w:r>
          </w:p>
        </w:tc>
        <w:tc>
          <w:tcPr>
            <w:tcW w:w="10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Class B</w:t>
            </w:r>
            <w:r>
              <w:rPr>
                <w:rFonts w:ascii="Times New Roman" w:cs="Times New Roman" w:eastAsia="Times New Roman" w:hAnsi="Times New Roman"/>
                <w:sz w:val="29"/>
                <w:szCs w:val="29"/>
                <w:color w:val="auto"/>
                <w:w w:val="92"/>
                <w:vertAlign w:val="superscript"/>
              </w:rPr>
              <w:t>(3)</w:t>
            </w:r>
          </w:p>
        </w:tc>
        <w:tc>
          <w:tcPr>
            <w:tcW w:w="1460" w:type="dxa"/>
            <w:vAlign w:val="bottom"/>
            <w:gridSpan w:val="2"/>
            <w:vMerge w:val="restart"/>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2,264,864</w:t>
            </w:r>
          </w:p>
        </w:tc>
        <w:tc>
          <w:tcPr>
            <w:tcW w:w="1280" w:type="dxa"/>
            <w:vAlign w:val="bottom"/>
            <w:gridSpan w:val="2"/>
            <w:vMerge w:val="restart"/>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$ 5.12</w:t>
            </w:r>
          </w:p>
        </w:tc>
        <w:tc>
          <w:tcPr>
            <w:tcW w:w="10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1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plans not approved by</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and Class B</w:t>
            </w:r>
          </w:p>
        </w:tc>
        <w:tc>
          <w:tcPr>
            <w:tcW w:w="146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2,394,918</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74,830,270</w:t>
            </w:r>
          </w:p>
        </w:tc>
        <w:tc>
          <w:tcPr>
            <w:tcW w:w="0" w:type="dxa"/>
            <w:vAlign w:val="bottom"/>
          </w:tcPr>
          <w:p>
            <w:pPr>
              <w:spacing w:after="0"/>
              <w:rPr>
                <w:sz w:val="1"/>
                <w:szCs w:val="1"/>
                <w:color w:val="auto"/>
              </w:rPr>
            </w:pPr>
          </w:p>
        </w:tc>
      </w:tr>
      <w:tr>
        <w:trPr>
          <w:trHeight w:val="54"/>
        </w:trPr>
        <w:tc>
          <w:tcPr>
            <w:tcW w:w="2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is calculated based solely on outstanding stock options. It does not take into account the shares of our common stock underlying restricted stock units, which have no exercise price.</w:t>
      </w:r>
    </w:p>
    <w:p>
      <w:pPr>
        <w:jc w:val="both"/>
        <w:ind w:left="640" w:right="299" w:hanging="348"/>
        <w:spacing w:after="0" w:line="226"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plans: The 2019 Plan and the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of Directors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of Directors may determine that such increase will be less than the amount set forth in clauses (i) and (ii). On February 1, 2025, the number of shares of Class A common stock available for issuance under our 2019 Plan and our ESPP increased by 15,287,043 shares and 3,057,408 shares, respectively, pursuant to these provisions. These increases are not reflected in the table above.</w:t>
      </w:r>
    </w:p>
    <w:p>
      <w:pPr>
        <w:spacing w:after="0" w:line="1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plan: Fourth Amended and Restated 2011 Global Share Plan.</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18,807,595 shares remaining available for issuance under the ESPP, including 2,311,567 shares subject to outstanding purchase rights.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capital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2025, for:</w:t>
      </w:r>
    </w:p>
    <w:p>
      <w:pPr>
        <w:spacing w:after="0" w:line="99" w:lineRule="exact"/>
        <w:rPr>
          <w:sz w:val="20"/>
          <w:szCs w:val="20"/>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Class A or Class B common stock</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based percentage ownership of our capital stock on 261,833,697 shares of our Class A common stock and 42,294,470 shares of our Class B common stock outstanding on March 31, 2025. We have deemed shares of our common stock subject to stock options that are currently exercisable or exercisable within 60 days of March 31, 2025 or issuable pursuant to RSUs which are subject to vesting and settlement conditions to occur within 60 days of March 31,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Zoom Communications, Inc., 55 Almaden Boulevard, 6th Floor, San Jose, California 95113.</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 w:type="dxa"/>
            <w:vAlign w:val="bottom"/>
          </w:tcPr>
          <w:p>
            <w:pPr>
              <w:spacing w:after="0"/>
              <w:rPr>
                <w:sz w:val="16"/>
                <w:szCs w:val="16"/>
                <w:color w:val="auto"/>
              </w:rPr>
            </w:pP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80" w:type="dxa"/>
            <w:vAlign w:val="bottom"/>
          </w:tcPr>
          <w:p>
            <w:pPr>
              <w:spacing w:after="0"/>
              <w:rPr>
                <w:sz w:val="16"/>
                <w:szCs w:val="16"/>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3"/>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gridSpan w:val="2"/>
            <w:vMerge w:val="continue"/>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Voting Power†</w:t>
            </w:r>
          </w:p>
        </w:tc>
        <w:tc>
          <w:tcPr>
            <w:tcW w:w="0" w:type="dxa"/>
            <w:vAlign w:val="bottom"/>
          </w:tcPr>
          <w:p>
            <w:pPr>
              <w:spacing w:after="0"/>
              <w:rPr>
                <w:sz w:val="1"/>
                <w:szCs w:val="1"/>
                <w:color w:val="auto"/>
              </w:rPr>
            </w:pPr>
          </w:p>
        </w:tc>
      </w:tr>
      <w:tr>
        <w:trPr>
          <w:trHeight w:val="23"/>
        </w:trPr>
        <w:tc>
          <w:tcPr>
            <w:tcW w:w="3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23,417,394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83"/>
        </w:trPr>
        <w:tc>
          <w:tcPr>
            <w:tcW w:w="38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17,464,094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Emergence Capital</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Partners</w:t>
            </w:r>
            <w:r>
              <w:rPr>
                <w:rFonts w:ascii="Times New Roman" w:cs="Times New Roman" w:eastAsia="Times New Roman" w:hAnsi="Times New Roman"/>
                <w:sz w:val="29"/>
                <w:szCs w:val="29"/>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5,080,311</w:t>
            </w:r>
          </w:p>
        </w:tc>
        <w:tc>
          <w:tcPr>
            <w:tcW w:w="7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7"/>
              </w:rPr>
              <w:t>12.0 %</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83"/>
        </w:trPr>
        <w:tc>
          <w:tcPr>
            <w:tcW w:w="38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Puccini World Limited</w:t>
            </w:r>
            <w:r>
              <w:rPr>
                <w:rFonts w:ascii="Times New Roman" w:cs="Times New Roman" w:eastAsia="Times New Roman" w:hAnsi="Times New Roman"/>
                <w:sz w:val="29"/>
                <w:szCs w:val="29"/>
                <w:color w:val="auto"/>
                <w:vertAlign w:val="superscript"/>
              </w:rPr>
              <w:t>(4)</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9,406,815</w:t>
            </w:r>
          </w:p>
        </w:tc>
        <w:tc>
          <w:tcPr>
            <w:tcW w:w="7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22.2 %</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1"/>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880" w:type="dxa"/>
            <w:vAlign w:val="bottom"/>
            <w:gridSpan w:val="2"/>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Eric S. Yuan</w:t>
            </w:r>
            <w:r>
              <w:rPr>
                <w:rFonts w:ascii="Times New Roman" w:cs="Times New Roman" w:eastAsia="Times New Roman" w:hAnsi="Times New Roman"/>
                <w:sz w:val="29"/>
                <w:szCs w:val="29"/>
                <w:color w:val="auto"/>
                <w:vertAlign w:val="superscript"/>
              </w:rPr>
              <w:t>(5)</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83,548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21,620,585</w:t>
            </w:r>
          </w:p>
        </w:tc>
        <w:tc>
          <w:tcPr>
            <w:tcW w:w="74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51.1%</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83"/>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Peter Gassner</w:t>
            </w:r>
            <w:r>
              <w:rPr>
                <w:rFonts w:ascii="Times New Roman" w:cs="Times New Roman" w:eastAsia="Times New Roman" w:hAnsi="Times New Roman"/>
                <w:sz w:val="29"/>
                <w:szCs w:val="29"/>
                <w:color w:val="auto"/>
                <w:vertAlign w:val="superscript"/>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1,202,720</w:t>
            </w:r>
          </w:p>
        </w:tc>
        <w:tc>
          <w:tcPr>
            <w:tcW w:w="74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83"/>
        </w:trPr>
        <w:tc>
          <w:tcPr>
            <w:tcW w:w="38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Jonathan Chadwick</w:t>
            </w:r>
            <w:r>
              <w:rPr>
                <w:rFonts w:ascii="Times New Roman" w:cs="Times New Roman" w:eastAsia="Times New Roman" w:hAnsi="Times New Roman"/>
                <w:sz w:val="29"/>
                <w:szCs w:val="29"/>
                <w:color w:val="auto"/>
                <w:vertAlign w:val="superscript"/>
              </w:rPr>
              <w:t>(7)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Fenger</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38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Lieut. Gen. H.R. McMaster</w:t>
            </w:r>
            <w:r>
              <w:rPr>
                <w:rFonts w:ascii="Times New Roman" w:cs="Times New Roman" w:eastAsia="Times New Roman" w:hAnsi="Times New Roman"/>
                <w:sz w:val="29"/>
                <w:szCs w:val="29"/>
                <w:color w:val="auto"/>
                <w:vertAlign w:val="superscript"/>
              </w:rPr>
              <w:t>(8)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Janet Napolitano</w:t>
            </w:r>
            <w:r>
              <w:rPr>
                <w:rFonts w:ascii="Times New Roman" w:cs="Times New Roman" w:eastAsia="Times New Roman" w:hAnsi="Times New Roman"/>
                <w:sz w:val="29"/>
                <w:szCs w:val="29"/>
                <w:color w:val="auto"/>
                <w:vertAlign w:val="superscript"/>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Dan Scheinman</w:t>
            </w:r>
            <w:r>
              <w:rPr>
                <w:rFonts w:ascii="Times New Roman" w:cs="Times New Roman" w:eastAsia="Times New Roman" w:hAnsi="Times New Roman"/>
                <w:sz w:val="29"/>
                <w:szCs w:val="29"/>
                <w:color w:val="auto"/>
                <w:vertAlign w:val="superscript"/>
              </w:rPr>
              <w:t>(10)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1,664,255</w:t>
            </w:r>
          </w:p>
        </w:tc>
        <w:tc>
          <w:tcPr>
            <w:tcW w:w="74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84"/>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Santiago Subotovsky</w:t>
            </w:r>
            <w:r>
              <w:rPr>
                <w:rFonts w:ascii="Times New Roman" w:cs="Times New Roman" w:eastAsia="Times New Roman" w:hAnsi="Times New Roman"/>
                <w:sz w:val="29"/>
                <w:szCs w:val="29"/>
                <w:color w:val="auto"/>
                <w:vertAlign w:val="superscript"/>
              </w:rPr>
              <w:t>(11)</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169,452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5,080,311</w:t>
            </w:r>
          </w:p>
        </w:tc>
        <w:tc>
          <w:tcPr>
            <w:tcW w:w="74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8"/>
              </w:rPr>
              <w:t>12.0%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83"/>
        </w:trPr>
        <w:tc>
          <w:tcPr>
            <w:tcW w:w="38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William McDermott</w:t>
            </w:r>
            <w:r>
              <w:rPr>
                <w:rFonts w:ascii="Times New Roman" w:cs="Times New Roman" w:eastAsia="Times New Roman" w:hAnsi="Times New Roman"/>
                <w:sz w:val="29"/>
                <w:szCs w:val="29"/>
                <w:color w:val="auto"/>
                <w:vertAlign w:val="superscript"/>
              </w:rPr>
              <w:t>(12)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Cindy Hoots</w:t>
            </w:r>
            <w:r>
              <w:rPr>
                <w:rFonts w:ascii="Times New Roman" w:cs="Times New Roman" w:eastAsia="Times New Roman" w:hAnsi="Times New Roman"/>
                <w:sz w:val="29"/>
                <w:szCs w:val="29"/>
                <w:color w:val="auto"/>
                <w:vertAlign w:val="superscript"/>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Chang</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Kelly Steckelberg</w:t>
            </w:r>
            <w:r>
              <w:rPr>
                <w:rFonts w:ascii="Times New Roman" w:cs="Times New Roman" w:eastAsia="Times New Roman" w:hAnsi="Times New Roman"/>
                <w:sz w:val="29"/>
                <w:szCs w:val="29"/>
                <w:color w:val="auto"/>
                <w:vertAlign w:val="superscript"/>
              </w:rPr>
              <w:t>(14)</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140,427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541,285</w:t>
            </w:r>
          </w:p>
        </w:tc>
        <w:tc>
          <w:tcPr>
            <w:tcW w:w="74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8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Aparna Bawa</w:t>
            </w:r>
            <w:r>
              <w:rPr>
                <w:rFonts w:ascii="Times New Roman" w:cs="Times New Roman" w:eastAsia="Times New Roman" w:hAnsi="Times New Roman"/>
                <w:sz w:val="29"/>
                <w:szCs w:val="29"/>
                <w:color w:val="auto"/>
                <w:vertAlign w:val="superscript"/>
              </w:rPr>
              <w:t>(15)</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34,690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Velchamy Sankarlingam</w:t>
            </w:r>
            <w:r>
              <w:rPr>
                <w:rFonts w:ascii="Times New Roman" w:cs="Times New Roman" w:eastAsia="Times New Roman" w:hAnsi="Times New Roman"/>
                <w:sz w:val="29"/>
                <w:szCs w:val="29"/>
                <w:color w:val="auto"/>
                <w:vertAlign w:val="superscript"/>
              </w:rPr>
              <w:t>(16)</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189,715</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7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(13 persons)</w:t>
            </w:r>
            <w:r>
              <w:rPr>
                <w:rFonts w:ascii="Times New Roman" w:cs="Times New Roman" w:eastAsia="Times New Roman" w:hAnsi="Times New Roman"/>
                <w:sz w:val="29"/>
                <w:szCs w:val="29"/>
                <w:color w:val="auto"/>
                <w:vertAlign w:val="superscript"/>
              </w:rPr>
              <w:t>(17)</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516,131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29,617,871</w:t>
            </w:r>
          </w:p>
        </w:tc>
        <w:tc>
          <w:tcPr>
            <w:tcW w:w="74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70.0%</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Represents beneficial ownership of less than 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299" w:hanging="348"/>
        <w:spacing w:after="0" w:line="261"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common stock is convertible at any time by the holder into shares of Class A common stock on a share-for-share basis, such that each holder of Class B common stock beneficially owns an equivalent number of shares of Class A common stock.</w:t>
      </w:r>
    </w:p>
    <w:p>
      <w:pPr>
        <w:spacing w:after="0" w:line="1" w:lineRule="exact"/>
        <w:rPr>
          <w:sz w:val="20"/>
          <w:szCs w:val="20"/>
          <w:color w:val="auto"/>
        </w:rPr>
      </w:pPr>
    </w:p>
    <w:p>
      <w:pPr>
        <w:jc w:val="both"/>
        <w:ind w:left="640" w:right="299" w:hanging="348"/>
        <w:spacing w:after="0" w:line="233"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described in “Description of Capital Stock—Class A Common Stock and Class B Common Stock—Voting Rights.”</w:t>
      </w:r>
    </w:p>
    <w:p>
      <w:pPr>
        <w:spacing w:after="0" w:line="15" w:lineRule="exact"/>
        <w:rPr>
          <w:sz w:val="20"/>
          <w:szCs w:val="20"/>
          <w:color w:val="auto"/>
        </w:rPr>
      </w:pPr>
    </w:p>
    <w:p>
      <w:pPr>
        <w:jc w:val="both"/>
        <w:ind w:left="640" w:right="299" w:hanging="348"/>
        <w:spacing w:after="0" w:line="233"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The Vanguard Group (“Vanguard”) is based solely upon Schedule 13G/A filed by Vanguard with the SEC on February 13, 2024 reporting its beneficial ownership as of December 29, 2023. The Schedule 13G/A reports that Vanguard has shared voting power with respect to 12,660,735 shares of Class A common stock, sole dispositive power with respect to 14,311,920 shares of Class A common stock and shared dispositive power with respect to 553,532 shares of Class A common stock. The address for Vanguard is 100 Vanguard Boulevard, Malvern, Pennsylvania, 19355.</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BlackRock, Inc. is based solely upon a Schedule 13G/A filed with the SEC on February 2, 2025 reporting their beneficial ownership as of December 31, 2024. The Schedule 13G/A reports that BlackRock, Inc. has sole voting power over 15,409,716 shares of Class A common stock, and sole dispositive power with respect to 17,464,094 shares of Class A common stock. The address for BlackRock, Inc. is 50 Hudson Yards, New York, NY 10001.</w:t>
      </w:r>
    </w:p>
    <w:p>
      <w:pPr>
        <w:spacing w:after="0" w:line="15"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4"/>
          <w:szCs w:val="14"/>
          <w:color w:val="auto"/>
        </w:rPr>
        <w:t>(3)</w:t>
        <w:tab/>
        <w:t>Consists of (i) 6,678 shares of Class A common stock held of record by Emergence Equity Partners III, L.P. (“EEP”) and</w:t>
      </w:r>
    </w:p>
    <w:p>
      <w:pPr>
        <w:spacing w:after="0" w:line="4" w:lineRule="exact"/>
        <w:rPr>
          <w:sz w:val="20"/>
          <w:szCs w:val="20"/>
          <w:color w:val="auto"/>
        </w:rPr>
      </w:pPr>
    </w:p>
    <w:p>
      <w:pPr>
        <w:jc w:val="both"/>
        <w:ind w:left="640" w:right="299" w:firstLine="3"/>
        <w:spacing w:after="0" w:line="230" w:lineRule="auto"/>
        <w:tabs>
          <w:tab w:leader="none" w:pos="85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5,080,311 shares of Class B common stock held of record by Emergence Capital Partners III, L.P. (“ECP III”). EEP is the sole general partner of ECP III and may be deemed to beneficially own the shares of stock held directly by ECP III. Mr. Subotovsky, one of our directors, is a member of EEP and shares voting and investment control with respect to shares held by the Emergence Entities. The address for Emergence is 160 Bovet Road, Suite 300, San Mateo, California 94402.</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9,406,815 shares of Class B common stock held of record by Puccini World Limited. Chau Hoi Shuen Solina Holly is the sole shareholder of Puccini.</w:t>
      </w: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83,548 shares of Class A common stock issuable upon the settlement of RSUs within 60 days of March 31, 2025, and</w:t>
      </w:r>
    </w:p>
    <w:p>
      <w:pPr>
        <w:spacing w:after="0" w:line="3" w:lineRule="exact"/>
        <w:rPr>
          <w:rFonts w:ascii="Times New Roman" w:cs="Times New Roman" w:eastAsia="Times New Roman" w:hAnsi="Times New Roman"/>
          <w:sz w:val="14"/>
          <w:szCs w:val="14"/>
          <w:color w:val="auto"/>
        </w:rPr>
      </w:pPr>
    </w:p>
    <w:p>
      <w:pPr>
        <w:ind w:left="640" w:right="299" w:firstLine="3"/>
        <w:spacing w:after="0" w:line="239" w:lineRule="auto"/>
        <w:tabs>
          <w:tab w:leader="none" w:pos="912"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21,620,585 shares of Class B common stock held of record by Zheng Yuan and Hongyu Zhang, cotrustees of the 2018 Yuan and Zhang Revocable Trust, for which Mr. Yuan and his spouse serve as cotrustees.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8,383 shares of Class A common stock and 1,202,720 shares of Class B common stock held of record by Mr. Gassner.</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1,514 shares of Class A common stock held of record by Mr. Chadwick and 50,000 shares of Class B common stock held of record by Mr. Chadwick.</w:t>
      </w: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7,040 shares of Class A common stock held of record by General McMaster.</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2,984 shares of Class A common stock held of record by Ms. Napolitano.</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5,969 shares of Class A common stock held of record by Dan &amp; Zoe Scheinman Trust Dated 2/23/01, for which Mr. Scheinman serves as trustee, (ii) 437,974 shares of Class B common stock held of record by Dan &amp; Zoe Scheinman Trust Dated 2/23/01, for which Mr. Scheinman serves as trustee, (iii) 1,126,281 shares of Class B common stock held of record by The 2017 Scheinman Irrevocable Trust, for which Mr. Scheinman serves as trustee and (iv) 100,000 shares of Class B common stock subject to options exercisable within 60 days of March 31, 2025, all of which are vested as of such date.</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162,774 shares of Class A common stock held of record by Mr. Subotovsky, (ii) 6,678 shares of Class A common stock held of record by Emergence Equity Partners III, L.P. (“EEP”) and (ii) 5,080,311 shares of Class B common stock held of record by Emergence Capital Partners III, L.P. (“ECP III”). EEP is the sole general partner of ECP III and may be deemed to beneficially own the shares of stock held directly by ECP III. Mr. Subotovsky is a member of EEP and shares voting and investment control with respect to the shares held by the Emergence Entities.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7,154 shares of Class A common stock held of record by Mr. McDermott.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5,682 shares of Class A common stock held of record by Ms. Hoots.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19,066 shares of Class A common stock held of record by Ms. Steckelberg, and (ii) 121,361 shares of Class A common stock held of record by The Steckelberg Trust dated 7/29/2006 .</w:t>
      </w:r>
    </w:p>
    <w:p>
      <w:pPr>
        <w:ind w:left="640" w:right="319" w:hanging="348"/>
        <w:spacing w:after="0" w:line="26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1,978 shares of Class A common stock held of record by Aparna Bawa and Rafik Bawa, cotrustees of the Bawa Family Trust, and (ii) 32,072 shares of Class A common stock issuable upon the settlement of RSUs within 60 days of March 31, 2025.</w:t>
      </w:r>
    </w:p>
    <w:p>
      <w:pPr>
        <w:jc w:val="both"/>
        <w:ind w:left="640" w:right="299"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121,583 shares of Class A common stock held of record by Velchamy Sankarlingam, and (ii) 36,060 shares of Class A common stock held of record by the Velchamy Family Trust of which Mr. Sankarlingam serves as co-trustee (iii) 2,000 shares of Class A common stock held of record by Harshini Velchamy, Mr. Sankarlingam’s daughter, (iv) 2,000 shares of Class A common stock held of record by Ashwini Velchamy, Mr. Sankarlingam’s son, (v) 2,000 shares of Class A common stock held of record by Janani Velchamy, Mr. Sankarlingam’s daughter, and (vi) 32,072 shares of Class A common stock issuable upon the settlement of RSUs within 60 days of March 31, 2025.</w:t>
      </w:r>
    </w:p>
    <w:p>
      <w:pPr>
        <w:spacing w:after="0" w:line="140" w:lineRule="exact"/>
        <w:rPr>
          <w:sz w:val="20"/>
          <w:szCs w:val="20"/>
          <w:color w:val="auto"/>
        </w:rPr>
      </w:pPr>
    </w:p>
    <w:p>
      <w:pPr>
        <w:jc w:val="center"/>
        <w:ind w:right="19"/>
        <w:spacing w:after="0"/>
        <w:tabs>
          <w:tab w:leader="none" w:pos="80" w:val="left"/>
        </w:tabs>
        <w:rPr>
          <w:sz w:val="20"/>
          <w:szCs w:val="20"/>
          <w:color w:val="auto"/>
        </w:rPr>
      </w:pPr>
      <w:r>
        <w:rPr>
          <w:rFonts w:ascii="Times New Roman" w:cs="Times New Roman" w:eastAsia="Times New Roman" w:hAnsi="Times New Roman"/>
          <w:sz w:val="14"/>
          <w:szCs w:val="14"/>
          <w:color w:val="auto"/>
        </w:rPr>
        <w:t>(17)</w:t>
        <w:tab/>
        <w:t>Consists of (i) 367,799 shares of Class A common stock beneficially owned by our current executive officers and directors,</w:t>
      </w:r>
    </w:p>
    <w:p>
      <w:pPr>
        <w:spacing w:after="0" w:line="4" w:lineRule="exact"/>
        <w:rPr>
          <w:sz w:val="20"/>
          <w:szCs w:val="20"/>
          <w:color w:val="auto"/>
        </w:rPr>
      </w:pPr>
    </w:p>
    <w:p>
      <w:pPr>
        <w:jc w:val="both"/>
        <w:ind w:left="640" w:right="299" w:firstLine="3"/>
        <w:spacing w:after="0" w:line="221" w:lineRule="auto"/>
        <w:tabs>
          <w:tab w:leader="none" w:pos="8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29,517,871 shares of Class B common stock beneficially owned by our current executive officers and directors (iii) 100,000 shares of Class B common stock subject to options exercisable within 60 days of March 31, 2024, all of which are vested as of such date, and</w:t>
      </w:r>
    </w:p>
    <w:p>
      <w:pPr>
        <w:ind w:left="880" w:hanging="237"/>
        <w:spacing w:after="0"/>
        <w:tabs>
          <w:tab w:leader="none" w:pos="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148,332 shares of Class A common stock issuable upon the settlement of RSUs within 60 days of March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Investors’ Rights Agreement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which provides, among other things, that certain holders of our capital stock, including Eric S. Yuan, Puccini World Limited and entities affiliated with Emergence Capital, have the right to demand that we file a registration statement or request that their shares of our capital stock be included on a registration statement that we are otherwise filing.</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Gift Agreement with University of California, Berkeley</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August 2021, we made a gift to the Center for Security in Politics at the University of California, Berkeley’s Goldman School of Public Policy. Ms. Napolitano, one of our directors, is the founder and director of the Center for Security in Politics. The gift is for an aggregate amount of $1.0 million, payable over five years beginning on February 1, 2022.</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Employment of Robert Fenger</w:t>
      </w:r>
    </w:p>
    <w:p>
      <w:pPr>
        <w:spacing w:after="0" w:line="119" w:lineRule="exact"/>
        <w:rPr>
          <w:sz w:val="20"/>
          <w:szCs w:val="20"/>
          <w:color w:val="auto"/>
        </w:rPr>
      </w:pPr>
    </w:p>
    <w:p>
      <w:pPr>
        <w:jc w:val="both"/>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Robert Fenger, the son of Michael Fenger, one of our directors, has been employed by the Company since 2020, most recently as an Executive Briefing Manager. His total compensation for fiscal year 2025, including equity, was approximately $357,481. The compensation of Mr. Fenger’s son was determined in accordance with the Company’s compensation practices applicable to employees with comparable qualifications and responsibilities and holding similar positions. Mr. Fenger’s son has received and continues to receive benefits available to all our employees, including participation in various employee health and welfare benefit plans. Mr. Fenger’s son is eligible for equity awards on the same general terms and conditions as applicable to employees in similar positions who do not have such family relationships.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2025 Annual Report and SEC Filings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financial statements for our fiscal year ended January 31, 2025 are included in our Annual Report on Form 10-K, which we will make available to stockholders at the same time as this proxy statement. This proxy statement and our annual report are posted on our website at investors.zoom.us and are available from the SEC at its website at www.sec.gov.</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January 31, 2025 is available without charge upon written request to Zoom Communications, Inc., Attention: Investor Relations, 55 Almaden Blvd., 6th Floor, San Jose, California 95113 or via email to investors@zoom.us.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proxy statement and other materials we are sending you or that are available to you in connection with the Annual Meeting contain express and implied “forward-looking statements” within the meaning of the Private Securities Litigation Reform Act of 1995, including statements regarding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compromised security measures including ours and those of the third parties with whom we work, and global security concerns and their potential impact on regional and global economies and supply chains. Additional risks and uncertainties that could cause actual outcomes and results to differ materially from those contemplated by the forward-looking statements described under the caption “Risk Factors” and elsewhere in our most recent filings with the SEC, including our Annual Report on Form 10-K for the fiscal year ended January 31, 2025. Forward-looking statements speak only as of the date the statements are made and are based on information available to Zoom at the time those statements are made and/or management’s good faith belief as of that time with respect to future events. We assume no obligation to update forward-looking statements to reflect events or circumstances after the date they were made, except as required by law.</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9"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contains information regarding non-GAAP income from operations, which is not calculated in accordance with Generally Accepted Accounting Principles (“GAAP”). We use non-GAAP financial measures internally in analyzing our financial results and believe that the use of non-GAAP financial measures, including non-GAAP income from operations, is useful as an additional tool to evaluate ongoing operating results and trends and in comparing our financial results with other companies in our industry, many of which present similar non-GAAP financial measures.</w:t>
      </w:r>
    </w:p>
    <w:p>
      <w:pPr>
        <w:spacing w:after="0" w:line="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comparable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GAAP financial measures. A reconciliation of non-GAAP income from operations to the most directly comparable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GAAP measure is provided below.</w:t>
      </w:r>
    </w:p>
    <w:p>
      <w:pPr>
        <w:spacing w:after="0" w:line="3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Non-GAAP Income from Operations</w:t>
      </w:r>
    </w:p>
    <w:p>
      <w:pPr>
        <w:spacing w:after="0" w:line="121" w:lineRule="exact"/>
        <w:rPr>
          <w:sz w:val="20"/>
          <w:szCs w:val="20"/>
          <w:color w:val="auto"/>
        </w:rPr>
      </w:pPr>
    </w:p>
    <w:p>
      <w:pPr>
        <w:jc w:val="both"/>
        <w:ind w:left="1300" w:right="1300" w:firstLine="360"/>
        <w:spacing w:after="0" w:line="252" w:lineRule="auto"/>
        <w:rPr>
          <w:sz w:val="20"/>
          <w:szCs w:val="20"/>
          <w:color w:val="auto"/>
        </w:rPr>
      </w:pPr>
      <w:r>
        <w:rPr>
          <w:rFonts w:ascii="Times New Roman" w:cs="Times New Roman" w:eastAsia="Times New Roman" w:hAnsi="Times New Roman"/>
          <w:sz w:val="18"/>
          <w:szCs w:val="18"/>
          <w:color w:val="auto"/>
        </w:rPr>
        <w:t>We define non-GAAP income from operations as income from operations excluding stock-based compensation expense and related payroll taxes, acquisition-related expenses, restructuring expenses, and litigation settlements, net. We exclude stock-based compensation expenses because it is non-cash in nature and excluding this expense provides meaningful supplemental information regarding our operational performance and allows stockholders the ability to make more meaningful comparisons between our operating results and those of other companies. We exclude the amount of employer payroll taxes related to employee stock plans, which is a cash expense, in order for stockholders to see the full effect that excluding stock-based compensation expense had on our operating results. In particular, this expense is dependent on the price of our common stock and other factors that are beyond our control and do not correlate to the operation of the business. We view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We exclude these restructuring expenses because they are distinct from ongoing operational costs and we do not believe they are reflective of our current and expected future business performance and operating results. We exclude significant litigation settlements, net of amounts covered by insurance, that we deem not to be in the ordinary course of our business. In particular, we believe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83"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non-GAAP income from operations to our GAAP income from operations as of the period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813,295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525,279</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966,732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1,076,212</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47,904</w:t>
            </w:r>
          </w:p>
        </w:tc>
        <w:tc>
          <w:tcPr>
            <w:tcW w:w="1300" w:type="dxa"/>
            <w:vAlign w:val="bottom"/>
          </w:tcPr>
          <w:p>
            <w:pPr>
              <w:spacing w:after="0"/>
              <w:rPr>
                <w:sz w:val="21"/>
                <w:szCs w:val="21"/>
                <w:color w:val="auto"/>
              </w:rPr>
            </w:pPr>
          </w:p>
        </w:tc>
      </w:tr>
      <w:tr>
        <w:trPr>
          <w:trHeight w:val="250"/>
        </w:trPr>
        <w:tc>
          <w:tcPr>
            <w:tcW w:w="1300" w:type="dxa"/>
            <w:vAlign w:val="bottom"/>
          </w:tcPr>
          <w:p>
            <w:pPr>
              <w:spacing w:after="0"/>
              <w:rPr>
                <w:sz w:val="21"/>
                <w:szCs w:val="21"/>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1300" w:type="dxa"/>
            <w:vAlign w:val="bottom"/>
          </w:tcPr>
          <w:p>
            <w:pPr>
              <w:spacing w:after="0"/>
              <w:rPr>
                <w:sz w:val="21"/>
                <w:szCs w:val="21"/>
                <w:color w:val="auto"/>
              </w:rPr>
            </w:pPr>
          </w:p>
        </w:tc>
      </w:tr>
      <w:tr>
        <w:trPr>
          <w:trHeight w:val="290"/>
        </w:trPr>
        <w:tc>
          <w:tcPr>
            <w:tcW w:w="1300" w:type="dxa"/>
            <w:vAlign w:val="bottom"/>
          </w:tcPr>
          <w:p>
            <w:pPr>
              <w:spacing w:after="0"/>
              <w:rPr>
                <w:sz w:val="24"/>
                <w:szCs w:val="2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1,837,895</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1,774,888</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420" w:type="dxa"/>
            <w:vAlign w:val="bottom"/>
            <w:tcBorders>
              <w:top w:val="single" w:sz="8" w:color="CCEEFF"/>
            </w:tcBorders>
          </w:tcPr>
          <w:p>
            <w:pPr>
              <w:ind w:left="4060"/>
              <w:spacing w:after="0"/>
              <w:rPr>
                <w:sz w:val="20"/>
                <w:szCs w:val="20"/>
                <w:color w:val="auto"/>
              </w:rPr>
            </w:pPr>
            <w:r>
              <w:rPr>
                <w:rFonts w:ascii="Times New Roman" w:cs="Times New Roman" w:eastAsia="Times New Roman" w:hAnsi="Times New Roman"/>
                <w:sz w:val="18"/>
                <w:szCs w:val="18"/>
                <w:color w:val="auto"/>
              </w:rPr>
              <w:t>A-1</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lvl w:ilvl="1">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lowerRoman"/>
      <w:start w:val="2"/>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lowerRoman"/>
      <w:start w:val="2"/>
    </w:lvl>
  </w:abstractNum>
  <w:abstractNum w:abstractNumId="18">
    <w:nsid w:val="2D517796"/>
    <w:multiLevelType w:val="hybridMultilevel"/>
    <w:lvl w:ilvl="0">
      <w:lvlJc w:val="left"/>
      <w:lvlText w:val="%1."/>
      <w:numFmt w:val="decimal"/>
      <w:start w:val="1"/>
    </w:lvl>
    <w:lvl w:ilvl="1">
      <w:lvlJc w:val="left"/>
      <w:lvlText w:val="%2."/>
      <w:numFmt w:val="lowerLetter"/>
      <w:start w:val="1"/>
    </w:lvl>
  </w:abstractNum>
  <w:abstractNum w:abstractNumId="19">
    <w:nsid w:val="580BD78F"/>
    <w:multiLevelType w:val="hybridMultilevel"/>
    <w:lvl w:ilvl="0">
      <w:lvlJc w:val="left"/>
      <w:lvlText w:val="%1"/>
      <w:numFmt w:val="decimal"/>
      <w:start w:val="1"/>
    </w:lvl>
    <w:lvl w:ilvl="1">
      <w:lvlJc w:val="left"/>
      <w:lvlText w:val="%2."/>
      <w:numFmt w:val="lowerLetter"/>
      <w:start w:val="2"/>
    </w:lvl>
  </w:abstractNum>
  <w:abstractNum w:abstractNumId="20">
    <w:nsid w:val="153EA438"/>
    <w:multiLevelType w:val="hybridMultilevel"/>
    <w:lvl w:ilvl="0">
      <w:lvlJc w:val="left"/>
      <w:lvlText w:val="%1."/>
      <w:numFmt w:val="decimal"/>
      <w:start w:val="3"/>
    </w:lvl>
    <w:lvl w:ilvl="1">
      <w:lvlJc w:val="left"/>
      <w:lvlText w:val="%2."/>
      <w:numFmt w:val="lowerLetter"/>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lowerRoman"/>
      <w:start w:val="1"/>
    </w:lvl>
    <w:lvl w:ilvl="1">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lvl w:ilvl="1">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2"/>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decimal"/>
      <w:start w:val="3"/>
    </w:lvl>
    <w:lvl w:ilvl="1">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Roman"/>
      <w:start w:val="2"/>
    </w:lvl>
  </w:abstractNum>
  <w:abstractNum w:abstractNumId="58">
    <w:nsid w:val="741226BB"/>
    <w:multiLevelType w:val="hybridMultilevel"/>
    <w:lvl w:ilvl="0">
      <w:lvlJc w:val="left"/>
      <w:lvlText w:val="(%1)"/>
      <w:numFmt w:val="decimal"/>
      <w:start w:val="4"/>
    </w:lvl>
    <w:lvl w:ilvl="1">
      <w:lvlJc w:val="left"/>
      <w:lvlText w:val="(%2)"/>
      <w:numFmt w:val="lowerRoman"/>
      <w:start w:val="3"/>
    </w:lvl>
  </w:abstractNum>
  <w:abstractNum w:abstractNumId="59">
    <w:nsid w:val="D34B6A8"/>
    <w:multiLevelType w:val="hybridMultilevel"/>
    <w:lvl w:ilvl="0">
      <w:lvlJc w:val="left"/>
      <w:lvlText w:val="(%1)"/>
      <w:numFmt w:val="lowerRoman"/>
      <w:start w:val="2"/>
    </w:lvl>
  </w:abstractNum>
  <w:abstractNum w:abstractNumId="60">
    <w:nsid w:val="10233C9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2025-05-01T15:20:53Z</dcterms:created>
  <dcterms:modified xsi:type="dcterms:W3CDTF">2025-05-01T15:20:53Z</dcterms:modified>
</cp:coreProperties>
</file>