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403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033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18"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01/08/2023</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1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56"/>
              <w:spacing w:after="0"/>
              <w:rPr>
                <w:sz w:val="20"/>
                <w:szCs w:val="20"/>
                <w:color w:val="auto"/>
              </w:rPr>
            </w:pPr>
            <w:r>
              <w:rPr>
                <w:rFonts w:ascii="Arial" w:cs="Arial" w:eastAsia="Arial" w:hAnsi="Arial"/>
                <w:sz w:val="12"/>
                <w:szCs w:val="12"/>
                <w:b w:val="1"/>
                <w:bCs w:val="1"/>
                <w:color w:val="auto"/>
                <w:w w:val="95"/>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01/08/2023</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16,432</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right="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96,935</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01/08/2023</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6,158</w:t>
            </w:r>
            <w:r>
              <w:rPr>
                <w:rFonts w:ascii="Times New Roman" w:cs="Times New Roman" w:eastAsia="Times New Roman" w:hAnsi="Times New Roman"/>
                <w:sz w:val="21"/>
                <w:szCs w:val="21"/>
                <w:color w:val="008000"/>
                <w:vertAlign w:val="superscript"/>
              </w:rPr>
              <w:t>(3)</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69.81</w:t>
            </w:r>
          </w:p>
        </w:tc>
        <w:tc>
          <w:tcPr>
            <w:tcW w:w="12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90,777</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2"/>
          </w:tcPr>
          <w:p>
            <w:pPr>
              <w:jc w:val="center"/>
              <w:ind w:right="8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39"/>
              <w:spacing w:after="0" w:line="129"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01/08/2023</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4,469</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22,346</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01/08/2023</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11,963</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167,481</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6,315</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11,973</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grant that was early exercised by the Reporting Person. The option grant became fully vested on September 5, 2022.</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Aparna Bawa</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01/10/2023</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2023-01-10T16:40:32Z</dcterms:created>
  <dcterms:modified xsi:type="dcterms:W3CDTF">2023-01-10T16:40:32Z</dcterms:modified>
</cp:coreProperties>
</file>