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85080"/>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Subotovsky Santiago</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760" w:type="dxa"/>
            <w:vAlign w:val="bottom"/>
            <w:tcBorders>
              <w:top w:val="single" w:sz="8" w:color="0000EE"/>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30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06/16/2022</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04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3"/>
        <w:spacing w:after="0"/>
        <w:tabs>
          <w:tab w:leader="none" w:pos="512" w:val="left"/>
          <w:tab w:leader="none" w:pos="2092"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6" w:lineRule="exact"/>
        <w:rPr>
          <w:sz w:val="20"/>
          <w:szCs w:val="20"/>
          <w:color w:val="auto"/>
        </w:rPr>
      </w:pPr>
    </w:p>
    <w:p>
      <w:pPr>
        <w:sectPr>
          <w:pgSz w:w="11900" w:h="16838" w:orient="portrait"/>
          <w:cols w:equalWidth="0" w:num="2">
            <w:col w:w="7660" w:space="67"/>
            <w:col w:w="3353"/>
          </w:cols>
          <w:pgMar w:left="460" w:top="216" w:right="359" w:bottom="1440" w:gutter="0" w:footer="0" w:header="0"/>
          <w:type w:val="continuous"/>
        </w:sectPr>
      </w:pP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94402</w:t>
            </w:r>
          </w:p>
        </w:tc>
      </w:tr>
      <w:tr>
        <w:trPr>
          <w:trHeight w:val="147"/>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3"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6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2,589</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06/16/2022</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2,589</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2,589</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5,784,568</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5,784,568</w:t>
            </w:r>
          </w:p>
        </w:tc>
        <w:tc>
          <w:tcPr>
            <w:tcW w:w="720" w:type="dxa"/>
            <w:vAlign w:val="bottom"/>
            <w:vMerge w:val="restart"/>
          </w:tcPr>
          <w:p>
            <w:pPr>
              <w:ind w:left="34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2"/>
        </w:trPr>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704,257</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704,257</w:t>
            </w:r>
          </w:p>
        </w:tc>
        <w:tc>
          <w:tcPr>
            <w:tcW w:w="720" w:type="dxa"/>
            <w:vAlign w:val="bottom"/>
            <w:vMerge w:val="restart"/>
          </w:tcPr>
          <w:p>
            <w:pPr>
              <w:ind w:left="34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(5)</w:t>
            </w:r>
          </w:p>
        </w:tc>
        <w:tc>
          <w:tcPr>
            <w:tcW w:w="0" w:type="dxa"/>
            <w:vAlign w:val="bottom"/>
          </w:tcPr>
          <w:p>
            <w:pPr>
              <w:spacing w:after="0"/>
              <w:rPr>
                <w:sz w:val="1"/>
                <w:szCs w:val="1"/>
                <w:color w:val="auto"/>
              </w:rPr>
            </w:pPr>
          </w:p>
        </w:tc>
      </w:tr>
      <w:tr>
        <w:trPr>
          <w:trHeight w:val="32"/>
        </w:trPr>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16th, 2022, 100% of which will vest on the first anniversary date of the grant.</w:t>
      </w:r>
    </w:p>
    <w:p>
      <w:pPr>
        <w:spacing w:after="0" w:line="41" w:lineRule="exact"/>
        <w:rPr>
          <w:rFonts w:ascii="Times New Roman" w:cs="Times New Roman" w:eastAsia="Times New Roman" w:hAnsi="Times New Roman"/>
          <w:sz w:val="13"/>
          <w:szCs w:val="13"/>
          <w:color w:val="008000"/>
        </w:rPr>
      </w:pPr>
    </w:p>
    <w:p>
      <w:pPr>
        <w:ind w:left="40" w:right="320"/>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Emergence Capital Partners III, L.P. ("Emergence") and EZP Opportunity, L.P.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jc w:val="both"/>
        <w:ind w:left="40" w:right="32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6" w:lineRule="exact"/>
        <w:rPr>
          <w:rFonts w:ascii="Times New Roman" w:cs="Times New Roman" w:eastAsia="Times New Roman" w:hAnsi="Times New Roman"/>
          <w:sz w:val="13"/>
          <w:szCs w:val="13"/>
          <w:color w:val="008000"/>
        </w:rPr>
      </w:pPr>
    </w:p>
    <w:p>
      <w:pPr>
        <w:ind w:left="40" w:right="400"/>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2022-06-17T19:43:15Z</dcterms:created>
  <dcterms:modified xsi:type="dcterms:W3CDTF">2022-06-17T19:43:15Z</dcterms:modified>
</cp:coreProperties>
</file>