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As filed with the U.S. Securities and Exchange Commission on March 2, 2026</w:t>
      </w:r>
    </w:p>
    <w:p>
      <w:pPr>
        <w:spacing w:after="0" w:line="152" w:lineRule="exact"/>
        <w:rPr>
          <w:sz w:val="24"/>
          <w:szCs w:val="24"/>
          <w:color w:val="auto"/>
        </w:rPr>
      </w:pPr>
    </w:p>
    <w:p>
      <w:pPr>
        <w:ind w:left="8720"/>
        <w:spacing w:after="0"/>
        <w:rPr>
          <w:sz w:val="20"/>
          <w:szCs w:val="20"/>
          <w:color w:val="auto"/>
        </w:rPr>
      </w:pPr>
      <w:r>
        <w:rPr>
          <w:rFonts w:ascii="Arial" w:cs="Arial" w:eastAsia="Arial" w:hAnsi="Arial"/>
          <w:sz w:val="13"/>
          <w:szCs w:val="13"/>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590550</wp:posOffset>
            </wp:positionH>
            <wp:positionV relativeFrom="paragraph">
              <wp:posOffset>101600</wp:posOffset>
            </wp:positionV>
            <wp:extent cx="5969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63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wp:posOffset>
            </wp:positionH>
            <wp:positionV relativeFrom="paragraph">
              <wp:posOffset>126365</wp:posOffset>
            </wp:positionV>
            <wp:extent cx="5969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2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FORM S-8</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UNDER</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THE SECURITIES ACT OF 1933</w:t>
      </w:r>
    </w:p>
    <w:p>
      <w:pPr>
        <w:spacing w:after="0" w:line="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2"/>
          <w:szCs w:val="42"/>
          <w:b w:val="1"/>
          <w:bCs w:val="1"/>
          <w:color w:val="auto"/>
        </w:rPr>
        <w:t>Zoom Communications, Inc.</w:t>
      </w:r>
    </w:p>
    <w:p>
      <w:pPr>
        <w:spacing w:after="0" w:line="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8"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61-1648780</w:t>
      </w:r>
    </w:p>
    <w:p>
      <w:pPr>
        <w:spacing w:after="0" w:line="64" w:lineRule="exact"/>
        <w:rPr>
          <w:sz w:val="24"/>
          <w:szCs w:val="24"/>
          <w:color w:val="auto"/>
        </w:rPr>
      </w:pPr>
    </w:p>
    <w:p>
      <w:pPr>
        <w:sectPr>
          <w:pgSz w:w="11900" w:h="16838" w:orient="portrait"/>
          <w:cols w:equalWidth="0" w:num="2">
            <w:col w:w="8060" w:space="720"/>
            <w:col w:w="2400"/>
          </w:cols>
          <w:pgMar w:left="320" w:top="1440" w:right="3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300" w:space="720"/>
            <w:col w:w="3160"/>
          </w:cols>
          <w:pgMar w:left="320" w:top="1440" w:right="399" w:bottom="1440" w:gutter="0" w:footer="0" w:header="0"/>
          <w:type w:val="continuous"/>
        </w:sectPr>
      </w:pPr>
    </w:p>
    <w:p>
      <w:pPr>
        <w:spacing w:after="0" w:line="14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55 Almaden Blvd, 6</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ind w:left="4740"/>
        <w:spacing w:after="0" w:line="238" w:lineRule="auto"/>
        <w:rPr>
          <w:sz w:val="20"/>
          <w:szCs w:val="20"/>
          <w:color w:val="auto"/>
        </w:rPr>
      </w:pPr>
      <w:r>
        <w:rPr>
          <w:rFonts w:ascii="Times New Roman" w:cs="Times New Roman" w:eastAsia="Times New Roman" w:hAnsi="Times New Roman"/>
          <w:sz w:val="16"/>
          <w:szCs w:val="16"/>
          <w:b w:val="1"/>
          <w:bCs w:val="1"/>
          <w:color w:val="auto"/>
        </w:rPr>
        <w:t>San Jose, California 95113</w:t>
      </w:r>
    </w:p>
    <w:p>
      <w:pPr>
        <w:jc w:val="center"/>
        <w:ind w:right="-79"/>
        <w:spacing w:after="0" w:line="224" w:lineRule="auto"/>
        <w:rPr>
          <w:sz w:val="20"/>
          <w:szCs w:val="20"/>
          <w:color w:val="auto"/>
        </w:rPr>
      </w:pPr>
      <w:r>
        <w:rPr>
          <w:rFonts w:ascii="Times New Roman" w:cs="Times New Roman" w:eastAsia="Times New Roman" w:hAnsi="Times New Roman"/>
          <w:sz w:val="16"/>
          <w:szCs w:val="16"/>
          <w:b w:val="1"/>
          <w:bCs w:val="1"/>
          <w:color w:val="auto"/>
        </w:rPr>
        <w:t>(888) 799-9666</w:t>
      </w:r>
    </w:p>
    <w:p>
      <w:pPr>
        <w:jc w:val="center"/>
        <w:ind w:right="-7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Zoom Communications, Inc. 2019 Equity Incentive Plan</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Zoom Communications, Inc. 2019 Employee Stock Purchase Plan</w:t>
      </w:r>
    </w:p>
    <w:p>
      <w:pPr>
        <w:jc w:val="center"/>
        <w:ind w:right="-79"/>
        <w:spacing w:after="0"/>
        <w:rPr>
          <w:sz w:val="20"/>
          <w:szCs w:val="20"/>
          <w:color w:val="auto"/>
        </w:rPr>
      </w:pPr>
      <w:r>
        <w:rPr>
          <w:rFonts w:ascii="Times New Roman" w:cs="Times New Roman" w:eastAsia="Times New Roman" w:hAnsi="Times New Roman"/>
          <w:sz w:val="14"/>
          <w:szCs w:val="14"/>
          <w:color w:val="auto"/>
        </w:rPr>
        <w:t>(Full titles of the plans)</w:t>
      </w:r>
    </w:p>
    <w:p>
      <w:pPr>
        <w:spacing w:after="0" w:line="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2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Eric S. Yuan</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Zoom Communications, Inc.</w:t>
      </w:r>
    </w:p>
    <w:p>
      <w:pPr>
        <w:ind w:left="4720"/>
        <w:spacing w:after="0" w:line="199" w:lineRule="auto"/>
        <w:rPr>
          <w:sz w:val="20"/>
          <w:szCs w:val="20"/>
          <w:color w:val="auto"/>
        </w:rPr>
      </w:pPr>
      <w:r>
        <w:rPr>
          <w:rFonts w:ascii="Times New Roman" w:cs="Times New Roman" w:eastAsia="Times New Roman" w:hAnsi="Times New Roman"/>
          <w:sz w:val="16"/>
          <w:szCs w:val="16"/>
          <w:b w:val="1"/>
          <w:bCs w:val="1"/>
          <w:color w:val="auto"/>
        </w:rPr>
        <w:t>55 Almaden Blvd, 6</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spacing w:after="0" w:line="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San Jose, California 95113</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(888) 799-9666</w:t>
      </w:r>
    </w:p>
    <w:p>
      <w:pPr>
        <w:jc w:val="center"/>
        <w:ind w:right="-79"/>
        <w:spacing w:after="0"/>
        <w:rPr>
          <w:sz w:val="20"/>
          <w:szCs w:val="20"/>
          <w:color w:val="auto"/>
        </w:rPr>
      </w:pPr>
      <w:r>
        <w:rPr>
          <w:rFonts w:ascii="Times New Roman" w:cs="Times New Roman" w:eastAsia="Times New Roman" w:hAnsi="Times New Roman"/>
          <w:sz w:val="14"/>
          <w:szCs w:val="14"/>
          <w:color w:val="auto"/>
        </w:rPr>
        <w:t>(Name and address of agent for service) (Telephone number, including area code, of agent for service)</w:t>
      </w:r>
    </w:p>
    <w:p>
      <w:pPr>
        <w:spacing w:after="0" w:line="232" w:lineRule="exact"/>
        <w:rPr>
          <w:sz w:val="24"/>
          <w:szCs w:val="24"/>
          <w:color w:val="auto"/>
        </w:rPr>
      </w:pPr>
    </w:p>
    <w:tbl>
      <w:tblPr>
        <w:tblLayout w:type="fixed"/>
        <w:tblInd w:w="160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5080" w:type="dxa"/>
            <w:vAlign w:val="bottom"/>
          </w:tcPr>
          <w:p>
            <w:pPr>
              <w:ind w:left="94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25"/>
        </w:trPr>
        <w:tc>
          <w:tcPr>
            <w:tcW w:w="2760" w:type="dxa"/>
            <w:vAlign w:val="bottom"/>
          </w:tcPr>
          <w:p>
            <w:pPr>
              <w:jc w:val="center"/>
              <w:ind w:right="862"/>
              <w:spacing w:after="0"/>
              <w:rPr>
                <w:sz w:val="20"/>
                <w:szCs w:val="20"/>
                <w:color w:val="auto"/>
              </w:rPr>
            </w:pPr>
            <w:r>
              <w:rPr>
                <w:rFonts w:ascii="Times New Roman" w:cs="Times New Roman" w:eastAsia="Times New Roman" w:hAnsi="Times New Roman"/>
                <w:sz w:val="16"/>
                <w:szCs w:val="16"/>
                <w:b w:val="1"/>
                <w:bCs w:val="1"/>
                <w:color w:val="auto"/>
                <w:w w:val="96"/>
              </w:rPr>
              <w:t>Jon C. Avina</w:t>
            </w:r>
          </w:p>
        </w:tc>
        <w:tc>
          <w:tcPr>
            <w:tcW w:w="5080" w:type="dxa"/>
            <w:vAlign w:val="bottom"/>
          </w:tcPr>
          <w:p>
            <w:pPr>
              <w:jc w:val="center"/>
              <w:ind w:left="3202"/>
              <w:spacing w:after="0"/>
              <w:rPr>
                <w:sz w:val="20"/>
                <w:szCs w:val="20"/>
                <w:color w:val="auto"/>
              </w:rPr>
            </w:pPr>
            <w:r>
              <w:rPr>
                <w:rFonts w:ascii="Times New Roman" w:cs="Times New Roman" w:eastAsia="Times New Roman" w:hAnsi="Times New Roman"/>
                <w:sz w:val="16"/>
                <w:szCs w:val="16"/>
                <w:b w:val="1"/>
                <w:bCs w:val="1"/>
                <w:color w:val="auto"/>
                <w:w w:val="97"/>
              </w:rPr>
              <w:t>Aparna Bawa</w:t>
            </w:r>
          </w:p>
        </w:tc>
      </w:tr>
      <w:tr>
        <w:trPr>
          <w:trHeight w:val="183"/>
        </w:trPr>
        <w:tc>
          <w:tcPr>
            <w:tcW w:w="2760" w:type="dxa"/>
            <w:vAlign w:val="bottom"/>
          </w:tcPr>
          <w:p>
            <w:pPr>
              <w:jc w:val="center"/>
              <w:ind w:right="862"/>
              <w:spacing w:after="0" w:line="183" w:lineRule="exact"/>
              <w:rPr>
                <w:sz w:val="20"/>
                <w:szCs w:val="20"/>
                <w:color w:val="auto"/>
              </w:rPr>
            </w:pPr>
            <w:r>
              <w:rPr>
                <w:rFonts w:ascii="Times New Roman" w:cs="Times New Roman" w:eastAsia="Times New Roman" w:hAnsi="Times New Roman"/>
                <w:sz w:val="16"/>
                <w:szCs w:val="16"/>
                <w:b w:val="1"/>
                <w:bCs w:val="1"/>
                <w:color w:val="auto"/>
                <w:w w:val="96"/>
              </w:rPr>
              <w:t>Julia R. Boesch</w:t>
            </w:r>
          </w:p>
        </w:tc>
        <w:tc>
          <w:tcPr>
            <w:tcW w:w="5080" w:type="dxa"/>
            <w:vAlign w:val="bottom"/>
          </w:tcPr>
          <w:p>
            <w:pPr>
              <w:jc w:val="center"/>
              <w:ind w:left="3202"/>
              <w:spacing w:after="0" w:line="183" w:lineRule="exact"/>
              <w:rPr>
                <w:sz w:val="20"/>
                <w:szCs w:val="20"/>
                <w:color w:val="auto"/>
              </w:rPr>
            </w:pPr>
            <w:r>
              <w:rPr>
                <w:rFonts w:ascii="Times New Roman" w:cs="Times New Roman" w:eastAsia="Times New Roman" w:hAnsi="Times New Roman"/>
                <w:sz w:val="16"/>
                <w:szCs w:val="16"/>
                <w:b w:val="1"/>
                <w:bCs w:val="1"/>
                <w:color w:val="auto"/>
                <w:w w:val="97"/>
              </w:rPr>
              <w:t>Chief Operating Officer</w:t>
            </w:r>
          </w:p>
        </w:tc>
      </w:tr>
      <w:tr>
        <w:trPr>
          <w:trHeight w:val="183"/>
        </w:trPr>
        <w:tc>
          <w:tcPr>
            <w:tcW w:w="2760" w:type="dxa"/>
            <w:vAlign w:val="bottom"/>
          </w:tcPr>
          <w:p>
            <w:pPr>
              <w:jc w:val="center"/>
              <w:ind w:right="882"/>
              <w:spacing w:after="0" w:line="183" w:lineRule="exact"/>
              <w:rPr>
                <w:sz w:val="20"/>
                <w:szCs w:val="20"/>
                <w:color w:val="auto"/>
              </w:rPr>
            </w:pPr>
            <w:r>
              <w:rPr>
                <w:rFonts w:ascii="Times New Roman" w:cs="Times New Roman" w:eastAsia="Times New Roman" w:hAnsi="Times New Roman"/>
                <w:sz w:val="16"/>
                <w:szCs w:val="16"/>
                <w:b w:val="1"/>
                <w:bCs w:val="1"/>
                <w:color w:val="auto"/>
                <w:w w:val="97"/>
              </w:rPr>
              <w:t>Cooley LLP</w:t>
            </w:r>
          </w:p>
        </w:tc>
        <w:tc>
          <w:tcPr>
            <w:tcW w:w="5080" w:type="dxa"/>
            <w:vAlign w:val="bottom"/>
          </w:tcPr>
          <w:p>
            <w:pPr>
              <w:jc w:val="center"/>
              <w:ind w:left="3202"/>
              <w:spacing w:after="0" w:line="183" w:lineRule="exact"/>
              <w:rPr>
                <w:sz w:val="20"/>
                <w:szCs w:val="20"/>
                <w:color w:val="auto"/>
              </w:rPr>
            </w:pPr>
            <w:r>
              <w:rPr>
                <w:rFonts w:ascii="Times New Roman" w:cs="Times New Roman" w:eastAsia="Times New Roman" w:hAnsi="Times New Roman"/>
                <w:sz w:val="16"/>
                <w:szCs w:val="16"/>
                <w:b w:val="1"/>
                <w:bCs w:val="1"/>
                <w:color w:val="auto"/>
                <w:w w:val="96"/>
              </w:rPr>
              <w:t>55 Almaden Blvd, 6</w:t>
            </w:r>
            <w:r>
              <w:rPr>
                <w:rFonts w:ascii="Times New Roman" w:cs="Times New Roman" w:eastAsia="Times New Roman" w:hAnsi="Times New Roman"/>
                <w:sz w:val="20"/>
                <w:szCs w:val="20"/>
                <w:b w:val="1"/>
                <w:bCs w:val="1"/>
                <w:color w:val="auto"/>
                <w:w w:val="96"/>
                <w:vertAlign w:val="superscript"/>
              </w:rPr>
              <w:t>th</w:t>
            </w:r>
            <w:r>
              <w:rPr>
                <w:rFonts w:ascii="Times New Roman" w:cs="Times New Roman" w:eastAsia="Times New Roman" w:hAnsi="Times New Roman"/>
                <w:sz w:val="16"/>
                <w:szCs w:val="16"/>
                <w:b w:val="1"/>
                <w:bCs w:val="1"/>
                <w:color w:val="auto"/>
                <w:w w:val="96"/>
              </w:rPr>
              <w:t xml:space="preserve"> Floor</w:t>
            </w:r>
          </w:p>
        </w:tc>
      </w:tr>
      <w:tr>
        <w:trPr>
          <w:trHeight w:val="196"/>
        </w:trPr>
        <w:tc>
          <w:tcPr>
            <w:tcW w:w="2760" w:type="dxa"/>
            <w:vAlign w:val="bottom"/>
          </w:tcPr>
          <w:p>
            <w:pPr>
              <w:jc w:val="center"/>
              <w:ind w:right="862"/>
              <w:spacing w:after="0"/>
              <w:rPr>
                <w:sz w:val="20"/>
                <w:szCs w:val="20"/>
                <w:color w:val="auto"/>
              </w:rPr>
            </w:pPr>
            <w:r>
              <w:rPr>
                <w:rFonts w:ascii="Times New Roman" w:cs="Times New Roman" w:eastAsia="Times New Roman" w:hAnsi="Times New Roman"/>
                <w:sz w:val="16"/>
                <w:szCs w:val="16"/>
                <w:b w:val="1"/>
                <w:bCs w:val="1"/>
                <w:color w:val="auto"/>
                <w:w w:val="98"/>
              </w:rPr>
              <w:t>3175 Hanover Street</w:t>
            </w:r>
          </w:p>
        </w:tc>
        <w:tc>
          <w:tcPr>
            <w:tcW w:w="5080" w:type="dxa"/>
            <w:vAlign w:val="bottom"/>
          </w:tcPr>
          <w:p>
            <w:pPr>
              <w:jc w:val="center"/>
              <w:ind w:left="3222"/>
              <w:spacing w:after="0"/>
              <w:rPr>
                <w:sz w:val="20"/>
                <w:szCs w:val="20"/>
                <w:color w:val="auto"/>
              </w:rPr>
            </w:pPr>
            <w:r>
              <w:rPr>
                <w:rFonts w:ascii="Times New Roman" w:cs="Times New Roman" w:eastAsia="Times New Roman" w:hAnsi="Times New Roman"/>
                <w:sz w:val="16"/>
                <w:szCs w:val="16"/>
                <w:b w:val="1"/>
                <w:bCs w:val="1"/>
                <w:color w:val="auto"/>
                <w:w w:val="96"/>
              </w:rPr>
              <w:t>San Jose, CA 95113</w:t>
            </w:r>
          </w:p>
        </w:tc>
      </w:tr>
      <w:tr>
        <w:trPr>
          <w:trHeight w:val="183"/>
        </w:trPr>
        <w:tc>
          <w:tcPr>
            <w:tcW w:w="2760" w:type="dxa"/>
            <w:vAlign w:val="bottom"/>
          </w:tcPr>
          <w:p>
            <w:pPr>
              <w:jc w:val="center"/>
              <w:ind w:right="862"/>
              <w:spacing w:after="0" w:line="183" w:lineRule="exact"/>
              <w:rPr>
                <w:sz w:val="20"/>
                <w:szCs w:val="20"/>
                <w:color w:val="auto"/>
              </w:rPr>
            </w:pPr>
            <w:r>
              <w:rPr>
                <w:rFonts w:ascii="Times New Roman" w:cs="Times New Roman" w:eastAsia="Times New Roman" w:hAnsi="Times New Roman"/>
                <w:sz w:val="16"/>
                <w:szCs w:val="16"/>
                <w:b w:val="1"/>
                <w:bCs w:val="1"/>
                <w:color w:val="auto"/>
                <w:w w:val="97"/>
              </w:rPr>
              <w:t>Palo Alto, California 94304</w:t>
            </w:r>
          </w:p>
        </w:tc>
        <w:tc>
          <w:tcPr>
            <w:tcW w:w="5080" w:type="dxa"/>
            <w:vAlign w:val="bottom"/>
          </w:tcPr>
          <w:p>
            <w:pPr>
              <w:jc w:val="center"/>
              <w:ind w:left="3222"/>
              <w:spacing w:after="0" w:line="183" w:lineRule="exact"/>
              <w:rPr>
                <w:sz w:val="20"/>
                <w:szCs w:val="20"/>
                <w:color w:val="auto"/>
              </w:rPr>
            </w:pPr>
            <w:r>
              <w:rPr>
                <w:rFonts w:ascii="Times New Roman" w:cs="Times New Roman" w:eastAsia="Times New Roman" w:hAnsi="Times New Roman"/>
                <w:sz w:val="16"/>
                <w:szCs w:val="16"/>
                <w:b w:val="1"/>
                <w:bCs w:val="1"/>
                <w:color w:val="auto"/>
                <w:w w:val="97"/>
              </w:rPr>
              <w:t>(888) 799-9666</w:t>
            </w:r>
          </w:p>
        </w:tc>
      </w:tr>
      <w:tr>
        <w:trPr>
          <w:trHeight w:val="205"/>
        </w:trPr>
        <w:tc>
          <w:tcPr>
            <w:tcW w:w="2760" w:type="dxa"/>
            <w:vAlign w:val="bottom"/>
          </w:tcPr>
          <w:p>
            <w:pPr>
              <w:jc w:val="center"/>
              <w:ind w:right="862"/>
              <w:spacing w:after="0"/>
              <w:rPr>
                <w:sz w:val="20"/>
                <w:szCs w:val="20"/>
                <w:color w:val="auto"/>
              </w:rPr>
            </w:pPr>
            <w:r>
              <w:rPr>
                <w:rFonts w:ascii="Times New Roman" w:cs="Times New Roman" w:eastAsia="Times New Roman" w:hAnsi="Times New Roman"/>
                <w:sz w:val="16"/>
                <w:szCs w:val="16"/>
                <w:b w:val="1"/>
                <w:bCs w:val="1"/>
                <w:color w:val="auto"/>
                <w:w w:val="97"/>
              </w:rPr>
              <w:t>(650) 843-5000</w:t>
            </w:r>
          </w:p>
        </w:tc>
        <w:tc>
          <w:tcPr>
            <w:tcW w:w="5080" w:type="dxa"/>
            <w:vAlign w:val="bottom"/>
          </w:tcPr>
          <w:p>
            <w:pPr>
              <w:spacing w:after="0"/>
              <w:rPr>
                <w:sz w:val="17"/>
                <w:szCs w:val="17"/>
                <w:color w:val="auto"/>
              </w:rPr>
            </w:pPr>
          </w:p>
        </w:tc>
      </w:tr>
    </w:tbl>
    <w:p>
      <w:pPr>
        <w:spacing w:after="0" w:line="149" w:lineRule="exact"/>
        <w:rPr>
          <w:sz w:val="24"/>
          <w:szCs w:val="24"/>
          <w:color w:val="auto"/>
        </w:rPr>
      </w:pPr>
    </w:p>
    <w:p>
      <w:pPr>
        <w:jc w:val="center"/>
        <w:ind w:left="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2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62" w:lineRule="exact"/>
        <w:rPr>
          <w:sz w:val="24"/>
          <w:szCs w:val="24"/>
          <w:color w:val="auto"/>
        </w:rPr>
      </w:pPr>
    </w:p>
    <w:p>
      <w:pPr>
        <w:sectPr>
          <w:pgSz w:w="11900" w:h="16838" w:orient="portrait"/>
          <w:cols w:equalWidth="0" w:num="2">
            <w:col w:w="7080" w:space="720"/>
            <w:col w:w="3380"/>
          </w:cols>
          <w:pgMar w:left="320" w:top="1440" w:right="39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62" w:lineRule="exact"/>
        <w:rPr>
          <w:sz w:val="24"/>
          <w:szCs w:val="24"/>
          <w:color w:val="auto"/>
        </w:rPr>
      </w:pPr>
    </w:p>
    <w:p>
      <w:pPr>
        <w:sectPr>
          <w:pgSz w:w="11900" w:h="16838" w:orient="portrait"/>
          <w:cols w:equalWidth="0" w:num="2">
            <w:col w:w="7080" w:space="720"/>
            <w:col w:w="3380"/>
          </w:cols>
          <w:pgMar w:left="320" w:top="1440" w:right="399" w:bottom="1440" w:gutter="0" w:footer="0" w:header="0"/>
          <w:type w:val="continuous"/>
        </w:sectPr>
      </w:pPr>
    </w:p>
    <w:p>
      <w:pPr>
        <w:ind w:left="7800"/>
        <w:spacing w:after="0"/>
        <w:rPr>
          <w:sz w:val="20"/>
          <w:szCs w:val="20"/>
          <w:color w:val="auto"/>
        </w:rPr>
      </w:pPr>
      <w:r>
        <w:rPr>
          <w:rFonts w:ascii="Times New Roman" w:cs="Times New Roman" w:eastAsia="Times New Roman" w:hAnsi="Times New Roman"/>
          <w:sz w:val="15"/>
          <w:szCs w:val="15"/>
          <w:color w:val="auto"/>
        </w:rPr>
        <w:t>Emerging growth company</w:t>
      </w:r>
    </w:p>
    <w:p>
      <w:pPr>
        <w:sectPr>
          <w:pgSz w:w="11900" w:h="16838" w:orient="portrait"/>
          <w:cols w:equalWidth="0" w:num="1">
            <w:col w:w="11180"/>
          </w:cols>
          <w:pgMar w:left="320" w:top="1440" w:right="399" w:bottom="1440" w:gutter="0" w:footer="0" w:header="0"/>
          <w:type w:val="continuous"/>
        </w:sectPr>
      </w:pPr>
    </w:p>
    <w:p>
      <w:pPr>
        <w:spacing w:after="0" w:line="114" w:lineRule="exact"/>
        <w:rPr>
          <w:sz w:val="24"/>
          <w:szCs w:val="24"/>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00" w:lineRule="exact"/>
        <w:rPr>
          <w:sz w:val="20"/>
          <w:szCs w:val="20"/>
          <w:color w:val="auto"/>
        </w:rPr>
      </w:pPr>
    </w:p>
    <w:p>
      <w:pPr>
        <w:spacing w:after="0" w:line="228" w:lineRule="exact"/>
        <w:rPr>
          <w:sz w:val="20"/>
          <w:szCs w:val="20"/>
          <w:color w:val="auto"/>
        </w:rPr>
      </w:pPr>
    </w:p>
    <w:p>
      <w:pPr>
        <w:jc w:val="both"/>
        <w:ind w:firstLine="626"/>
        <w:spacing w:after="0" w:line="263" w:lineRule="auto"/>
        <w:rPr>
          <w:sz w:val="20"/>
          <w:szCs w:val="20"/>
          <w:color w:val="auto"/>
        </w:rPr>
      </w:pPr>
      <w:r>
        <w:rPr>
          <w:rFonts w:ascii="Times New Roman" w:cs="Times New Roman" w:eastAsia="Times New Roman" w:hAnsi="Times New Roman"/>
          <w:sz w:val="17"/>
          <w:szCs w:val="17"/>
          <w:color w:val="auto"/>
        </w:rPr>
        <w:t>Zoom Communications, Inc.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is filing this Registration Statement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to register (i) 14,776,370 additional shares of its Class A common stock under its 2019 Equity Incentive Plan (the "</w:t>
      </w:r>
      <w:r>
        <w:rPr>
          <w:rFonts w:ascii="Times New Roman" w:cs="Times New Roman" w:eastAsia="Times New Roman" w:hAnsi="Times New Roman"/>
          <w:sz w:val="17"/>
          <w:szCs w:val="17"/>
          <w:b w:val="1"/>
          <w:bCs w:val="1"/>
          <w:i w:val="1"/>
          <w:iCs w:val="1"/>
          <w:color w:val="auto"/>
        </w:rPr>
        <w:t>2019 Plan</w:t>
      </w:r>
      <w:r>
        <w:rPr>
          <w:rFonts w:ascii="Times New Roman" w:cs="Times New Roman" w:eastAsia="Times New Roman" w:hAnsi="Times New Roman"/>
          <w:sz w:val="17"/>
          <w:szCs w:val="17"/>
          <w:color w:val="auto"/>
        </w:rPr>
        <w:t>"), pursuant to the provisions of the 2019 Plan providing for an automatic increase in the number of shares Class A common stock reserved and available for issuance under the 2019 Plan on February 1, 2026 and (ii) 2,955,274 additional shares of its Class A common stock under its 2019 Employee Stock Purchase Plan (the "</w:t>
      </w:r>
      <w:r>
        <w:rPr>
          <w:rFonts w:ascii="Times New Roman" w:cs="Times New Roman" w:eastAsia="Times New Roman" w:hAnsi="Times New Roman"/>
          <w:sz w:val="17"/>
          <w:szCs w:val="17"/>
          <w:b w:val="1"/>
          <w:bCs w:val="1"/>
          <w:i w:val="1"/>
          <w:iCs w:val="1"/>
          <w:color w:val="auto"/>
        </w:rPr>
        <w:t>2019 ESPP</w:t>
      </w:r>
      <w:r>
        <w:rPr>
          <w:rFonts w:ascii="Times New Roman" w:cs="Times New Roman" w:eastAsia="Times New Roman" w:hAnsi="Times New Roman"/>
          <w:sz w:val="17"/>
          <w:szCs w:val="17"/>
          <w:color w:val="auto"/>
        </w:rPr>
        <w:t>"), pursuant to the provisions of 2019 ESPP providing for an automatic increase in the number of shares of Class A common stock reserved and available for issuance under the 2019 ESPP on February 1, 2026. In accordance with the instructional note to Part I of Form S-8 as promulgated by the Commission, the information specified by Part I of the Form S-8 has been omitted from this Registration Statement.</w:t>
      </w:r>
    </w:p>
    <w:p>
      <w:pPr>
        <w:spacing w:after="0" w:line="173" w:lineRule="exact"/>
        <w:rPr>
          <w:sz w:val="20"/>
          <w:szCs w:val="20"/>
          <w:color w:val="auto"/>
        </w:rPr>
      </w:pPr>
    </w:p>
    <w:p>
      <w:pPr>
        <w:jc w:val="both"/>
        <w:ind w:firstLine="626"/>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General Instruction E of Form S-8, the contents of the Registration Statements on Form S-8 filed with the Commission on April 23, 2019 (</w:t>
      </w:r>
      <w:hyperlink r:id="rId10">
        <w:r>
          <w:rPr>
            <w:rFonts w:ascii="Times New Roman" w:cs="Times New Roman" w:eastAsia="Times New Roman" w:hAnsi="Times New Roman"/>
            <w:sz w:val="17"/>
            <w:szCs w:val="17"/>
            <w:u w:val="single" w:color="auto"/>
            <w:color w:val="0000FF"/>
          </w:rPr>
          <w:t>File No. 333-230997</w:t>
        </w:r>
      </w:hyperlink>
      <w:r>
        <w:rPr>
          <w:rFonts w:ascii="Times New Roman" w:cs="Times New Roman" w:eastAsia="Times New Roman" w:hAnsi="Times New Roman"/>
          <w:sz w:val="17"/>
          <w:szCs w:val="17"/>
          <w:color w:val="auto"/>
        </w:rPr>
        <w:t>), March 20, 2020 (</w:t>
      </w:r>
      <w:hyperlink r:id="rId11">
        <w:r>
          <w:rPr>
            <w:rFonts w:ascii="Times New Roman" w:cs="Times New Roman" w:eastAsia="Times New Roman" w:hAnsi="Times New Roman"/>
            <w:sz w:val="17"/>
            <w:szCs w:val="17"/>
            <w:u w:val="single" w:color="auto"/>
            <w:color w:val="0000FF"/>
          </w:rPr>
          <w:t>File No. 333-237348</w:t>
        </w:r>
      </w:hyperlink>
      <w:r>
        <w:rPr>
          <w:rFonts w:ascii="Times New Roman" w:cs="Times New Roman" w:eastAsia="Times New Roman" w:hAnsi="Times New Roman"/>
          <w:sz w:val="17"/>
          <w:szCs w:val="17"/>
          <w:color w:val="auto"/>
        </w:rPr>
        <w:t>), March 18, 2021 (</w:t>
      </w:r>
      <w:hyperlink r:id="rId12">
        <w:r>
          <w:rPr>
            <w:rFonts w:ascii="Times New Roman" w:cs="Times New Roman" w:eastAsia="Times New Roman" w:hAnsi="Times New Roman"/>
            <w:sz w:val="17"/>
            <w:szCs w:val="17"/>
            <w:u w:val="single" w:color="auto"/>
            <w:color w:val="0000FF"/>
          </w:rPr>
          <w:t>File No. 333-254444</w:t>
        </w:r>
      </w:hyperlink>
      <w:r>
        <w:rPr>
          <w:rFonts w:ascii="Times New Roman" w:cs="Times New Roman" w:eastAsia="Times New Roman" w:hAnsi="Times New Roman"/>
          <w:sz w:val="17"/>
          <w:szCs w:val="17"/>
          <w:color w:val="auto"/>
        </w:rPr>
        <w:t>), March 8, 2022 (</w:t>
      </w:r>
      <w:hyperlink r:id="rId13">
        <w:r>
          <w:rPr>
            <w:rFonts w:ascii="Times New Roman" w:cs="Times New Roman" w:eastAsia="Times New Roman" w:hAnsi="Times New Roman"/>
            <w:sz w:val="17"/>
            <w:szCs w:val="17"/>
            <w:u w:val="single" w:color="auto"/>
            <w:color w:val="0000FF"/>
          </w:rPr>
          <w:t>File No. 333-263354</w:t>
        </w:r>
      </w:hyperlink>
      <w:r>
        <w:rPr>
          <w:rFonts w:ascii="Times New Roman" w:cs="Times New Roman" w:eastAsia="Times New Roman" w:hAnsi="Times New Roman"/>
          <w:sz w:val="17"/>
          <w:szCs w:val="17"/>
          <w:color w:val="auto"/>
        </w:rPr>
        <w:t>), March 3, 2023 (</w:t>
      </w:r>
      <w:hyperlink r:id="rId14">
        <w:r>
          <w:rPr>
            <w:rFonts w:ascii="Times New Roman" w:cs="Times New Roman" w:eastAsia="Times New Roman" w:hAnsi="Times New Roman"/>
            <w:sz w:val="17"/>
            <w:szCs w:val="17"/>
            <w:u w:val="single" w:color="auto"/>
            <w:color w:val="0000FF"/>
          </w:rPr>
          <w:t>File No. 333-270264</w:t>
        </w:r>
      </w:hyperlink>
      <w:r>
        <w:rPr>
          <w:rFonts w:ascii="Times New Roman" w:cs="Times New Roman" w:eastAsia="Times New Roman" w:hAnsi="Times New Roman"/>
          <w:sz w:val="17"/>
          <w:szCs w:val="17"/>
          <w:color w:val="auto"/>
        </w:rPr>
        <w:t>), March 4, 2024 (</w:t>
      </w:r>
      <w:hyperlink r:id="rId15">
        <w:r>
          <w:rPr>
            <w:rFonts w:ascii="Times New Roman" w:cs="Times New Roman" w:eastAsia="Times New Roman" w:hAnsi="Times New Roman"/>
            <w:sz w:val="17"/>
            <w:szCs w:val="17"/>
            <w:u w:val="single" w:color="auto"/>
            <w:color w:val="0000FF"/>
          </w:rPr>
          <w:t>File No. 333-277614</w:t>
        </w:r>
      </w:hyperlink>
      <w:r>
        <w:rPr>
          <w:rFonts w:ascii="Times New Roman" w:cs="Times New Roman" w:eastAsia="Times New Roman" w:hAnsi="Times New Roman"/>
          <w:sz w:val="17"/>
          <w:szCs w:val="17"/>
          <w:color w:val="auto"/>
        </w:rPr>
        <w:t>) and February 28, 2025 (</w:t>
      </w:r>
      <w:hyperlink r:id="rId16">
        <w:r>
          <w:rPr>
            <w:rFonts w:ascii="Times New Roman" w:cs="Times New Roman" w:eastAsia="Times New Roman" w:hAnsi="Times New Roman"/>
            <w:sz w:val="17"/>
            <w:szCs w:val="17"/>
            <w:u w:val="single" w:color="auto"/>
            <w:color w:val="0000FF"/>
          </w:rPr>
          <w:t>File No. 333-285440</w:t>
        </w:r>
      </w:hyperlink>
      <w:r>
        <w:rPr>
          <w:rFonts w:ascii="Times New Roman" w:cs="Times New Roman" w:eastAsia="Times New Roman" w:hAnsi="Times New Roman"/>
          <w:sz w:val="17"/>
          <w:szCs w:val="17"/>
          <w:color w:val="auto"/>
        </w:rPr>
        <w:t>) are hereby incorporated by reference in this Registration Statement to the extent not replaced hereby.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83" w:lineRule="exact"/>
        <w:rPr>
          <w:rFonts w:ascii="Times New Roman" w:cs="Times New Roman" w:eastAsia="Times New Roman" w:hAnsi="Times New Roman"/>
          <w:sz w:val="17"/>
          <w:szCs w:val="17"/>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INCORPORATION OF CERTAIN DOCUMENTS BY REFERENCE</w:t>
      </w:r>
    </w:p>
    <w:p>
      <w:pPr>
        <w:spacing w:after="0" w:line="185" w:lineRule="exact"/>
        <w:rPr>
          <w:rFonts w:ascii="Times New Roman" w:cs="Times New Roman" w:eastAsia="Times New Roman" w:hAnsi="Times New Roman"/>
          <w:sz w:val="17"/>
          <w:szCs w:val="17"/>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documents filed by the Registrant with the Commission are incorporated by reference into this Registration Statement:</w:t>
      </w:r>
    </w:p>
    <w:p>
      <w:pPr>
        <w:spacing w:after="0" w:line="192" w:lineRule="exact"/>
        <w:rPr>
          <w:rFonts w:ascii="Times New Roman" w:cs="Times New Roman" w:eastAsia="Times New Roman" w:hAnsi="Times New Roman"/>
          <w:sz w:val="17"/>
          <w:szCs w:val="17"/>
          <w:color w:val="auto"/>
        </w:rPr>
      </w:pPr>
    </w:p>
    <w:p>
      <w:pPr>
        <w:jc w:val="both"/>
        <w:ind w:firstLine="466"/>
        <w:spacing w:after="0" w:line="277" w:lineRule="auto"/>
        <w:tabs>
          <w:tab w:leader="none" w:pos="68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w:t>
      </w:r>
      <w:hyperlink r:id="rId17">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January 31, 2026 filed on February 27, 2026 (the "</w:t>
      </w:r>
      <w:r>
        <w:rPr>
          <w:rFonts w:ascii="Times New Roman" w:cs="Times New Roman" w:eastAsia="Times New Roman" w:hAnsi="Times New Roman"/>
          <w:sz w:val="17"/>
          <w:szCs w:val="17"/>
          <w:b w:val="1"/>
          <w:bCs w:val="1"/>
          <w:i w:val="1"/>
          <w:iCs w:val="1"/>
          <w:color w:val="auto"/>
        </w:rPr>
        <w:t>Annual Report</w:t>
      </w:r>
      <w:r>
        <w:rPr>
          <w:rFonts w:ascii="Times New Roman" w:cs="Times New Roman" w:eastAsia="Times New Roman" w:hAnsi="Times New Roman"/>
          <w:sz w:val="17"/>
          <w:szCs w:val="17"/>
          <w:color w:val="auto"/>
        </w:rPr>
        <w:t>"), which contains audited financial statements for the Registrant’s latest fiscal year, including the information to be incorporated by reference into the Annual Report from the Registrant’s definitive proxy statement on Schedule 14A, to be filed with the Commission.</w:t>
      </w:r>
    </w:p>
    <w:p>
      <w:pPr>
        <w:spacing w:after="0" w:line="122" w:lineRule="exact"/>
        <w:rPr>
          <w:rFonts w:ascii="Times New Roman" w:cs="Times New Roman" w:eastAsia="Times New Roman" w:hAnsi="Times New Roman"/>
          <w:sz w:val="17"/>
          <w:szCs w:val="17"/>
          <w:color w:val="auto"/>
        </w:rPr>
      </w:pPr>
    </w:p>
    <w:p>
      <w:pPr>
        <w:jc w:val="both"/>
        <w:ind w:firstLine="418"/>
        <w:spacing w:after="0" w:line="275" w:lineRule="auto"/>
        <w:tabs>
          <w:tab w:leader="none" w:pos="67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Class A Common Stock which is contained in a registration statement on </w:t>
      </w:r>
      <w:hyperlink r:id="rId18">
        <w:r>
          <w:rPr>
            <w:rFonts w:ascii="Times New Roman" w:cs="Times New Roman" w:eastAsia="Times New Roman" w:hAnsi="Times New Roman"/>
            <w:sz w:val="17"/>
            <w:szCs w:val="17"/>
            <w:color w:val="0000FF"/>
          </w:rPr>
          <w:t>Form 8-A</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filed on April 8, 2019 (File No. 001-38865) under the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xml:space="preserve">”), including any amendment or report filed for the purpose of updating such description, including </w:t>
      </w:r>
      <w:hyperlink r:id="rId19">
        <w:r>
          <w:rPr>
            <w:rFonts w:ascii="Times New Roman" w:cs="Times New Roman" w:eastAsia="Times New Roman" w:hAnsi="Times New Roman"/>
            <w:sz w:val="17"/>
            <w:szCs w:val="17"/>
            <w:u w:val="single" w:color="auto"/>
            <w:color w:val="0000FF"/>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Registrant's Annual Report.</w:t>
      </w:r>
    </w:p>
    <w:p>
      <w:pPr>
        <w:spacing w:after="0" w:line="123" w:lineRule="exact"/>
        <w:rPr>
          <w:rFonts w:ascii="Times New Roman" w:cs="Times New Roman" w:eastAsia="Times New Roman" w:hAnsi="Times New Roman"/>
          <w:sz w:val="17"/>
          <w:szCs w:val="17"/>
          <w:color w:val="auto"/>
        </w:rPr>
      </w:pPr>
    </w:p>
    <w:p>
      <w:pPr>
        <w:jc w:val="both"/>
        <w:ind w:firstLine="370"/>
        <w:spacing w:after="0" w:line="261" w:lineRule="auto"/>
        <w:tabs>
          <w:tab w:leader="none" w:pos="67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auto"/>
              </w:rPr>
              <w:t>ITEM 8.  EXHIBITS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15"/>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760" w:type="dxa"/>
            <w:vAlign w:val="bottom"/>
            <w:vMerge w:val="restart"/>
          </w:tcPr>
          <w:p>
            <w:pPr>
              <w:jc w:val="center"/>
              <w:ind w:left="213"/>
              <w:spacing w:after="0"/>
              <w:rPr>
                <w:sz w:val="20"/>
                <w:szCs w:val="20"/>
                <w:color w:val="auto"/>
              </w:rPr>
            </w:pPr>
            <w:r>
              <w:rPr>
                <w:rFonts w:ascii="Times New Roman" w:cs="Times New Roman" w:eastAsia="Times New Roman" w:hAnsi="Times New Roman"/>
                <w:sz w:val="17"/>
                <w:szCs w:val="17"/>
                <w:b w:val="1"/>
                <w:bCs w:val="1"/>
                <w:color w:val="auto"/>
              </w:rPr>
              <w:t>Form</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15"/>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5"/>
                <w:szCs w:val="15"/>
                <w:color w:val="auto"/>
              </w:rPr>
            </w:pPr>
          </w:p>
        </w:tc>
        <w:tc>
          <w:tcPr>
            <w:tcW w:w="4140" w:type="dxa"/>
            <w:vAlign w:val="bottom"/>
            <w:tcBorders>
              <w:top w:val="single" w:sz="8" w:color="auto"/>
            </w:tcBorders>
            <w:gridSpan w:val="20"/>
          </w:tcPr>
          <w:p>
            <w:pPr>
              <w:spacing w:after="0" w:line="176" w:lineRule="exact"/>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color w:val="0000FF"/>
                </w:rPr>
                <w:t>Amended and Restated Certificate of Incorporation of</w:t>
              </w:r>
            </w:hyperlink>
          </w:p>
        </w:tc>
        <w:tc>
          <w:tcPr>
            <w:tcW w:w="80" w:type="dxa"/>
            <w:vAlign w:val="bottom"/>
          </w:tcPr>
          <w:p>
            <w:pPr>
              <w:spacing w:after="0"/>
              <w:rPr>
                <w:sz w:val="15"/>
                <w:szCs w:val="15"/>
                <w:color w:val="auto"/>
              </w:rPr>
            </w:pPr>
          </w:p>
        </w:tc>
        <w:tc>
          <w:tcPr>
            <w:tcW w:w="760" w:type="dxa"/>
            <w:vAlign w:val="bottom"/>
            <w:tcBorders>
              <w:top w:val="single" w:sz="8" w:color="auto"/>
            </w:tcBorders>
          </w:tcPr>
          <w:p>
            <w:pPr>
              <w:jc w:val="center"/>
              <w:ind w:left="193"/>
              <w:spacing w:after="0" w:line="176" w:lineRule="exact"/>
              <w:rPr>
                <w:sz w:val="20"/>
                <w:szCs w:val="20"/>
                <w:color w:val="auto"/>
              </w:rPr>
            </w:pPr>
            <w:r>
              <w:rPr>
                <w:rFonts w:ascii="Times New Roman" w:cs="Times New Roman" w:eastAsia="Times New Roman" w:hAnsi="Times New Roman"/>
                <w:sz w:val="17"/>
                <w:szCs w:val="17"/>
                <w:color w:val="auto"/>
              </w:rPr>
              <w:t>8-K</w:t>
            </w: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001-38865</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2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April 23, 2019</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Borders>
              <w:top w:val="single" w:sz="8" w:color="0000FF"/>
            </w:tcBorders>
            <w:gridSpan w:val="14"/>
          </w:tcPr>
          <w:p>
            <w:pPr>
              <w:spacing w:after="0" w:line="163" w:lineRule="exact"/>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color w:val="0000FF"/>
                </w:rPr>
                <w:t>Zoom Video Communications, Inc</w:t>
              </w:r>
              <w:r>
                <w:rPr>
                  <w:rFonts w:ascii="Times New Roman" w:cs="Times New Roman" w:eastAsia="Times New Roman" w:hAnsi="Times New Roman"/>
                  <w:sz w:val="17"/>
                  <w:szCs w:val="17"/>
                  <w:color w:val="000000"/>
                </w:rPr>
                <w:t>.</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Borders>
              <w:top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7"/>
                <w:szCs w:val="17"/>
                <w:color w:val="auto"/>
              </w:rPr>
            </w:pPr>
          </w:p>
        </w:tc>
        <w:tc>
          <w:tcPr>
            <w:tcW w:w="4220" w:type="dxa"/>
            <w:vAlign w:val="bottom"/>
            <w:gridSpan w:val="21"/>
          </w:tcPr>
          <w:p>
            <w:pPr>
              <w:spacing w:after="0"/>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Certificate of Amendment to Certificate of Incorporation</w:t>
              </w:r>
            </w:hyperlink>
          </w:p>
        </w:tc>
        <w:tc>
          <w:tcPr>
            <w:tcW w:w="7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8-K</w:t>
            </w:r>
          </w:p>
        </w:tc>
        <w:tc>
          <w:tcPr>
            <w:tcW w:w="16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001-38865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 25, 2024</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8"/>
          </w:tcPr>
          <w:p>
            <w:pPr>
              <w:spacing w:after="0" w:line="163" w:lineRule="exact"/>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of Zoom Communications, Inc.</w:t>
              </w:r>
            </w:hyperlink>
          </w:p>
        </w:tc>
        <w:tc>
          <w:tcPr>
            <w:tcW w:w="176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4220" w:type="dxa"/>
            <w:vAlign w:val="bottom"/>
            <w:gridSpan w:val="21"/>
          </w:tcPr>
          <w:p>
            <w:pPr>
              <w:spacing w:after="0"/>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Amended and Restated Bylaws of Zoom Communications,</w:t>
              </w:r>
            </w:hyperlink>
          </w:p>
        </w:tc>
        <w:tc>
          <w:tcPr>
            <w:tcW w:w="7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8-K</w:t>
            </w:r>
          </w:p>
        </w:tc>
        <w:tc>
          <w:tcPr>
            <w:tcW w:w="16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001-38865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 25, 2024</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0000FF"/>
              <w:bottom w:val="single" w:sz="8" w:color="0000FF"/>
            </w:tcBorders>
          </w:tcPr>
          <w:p>
            <w:pPr>
              <w:spacing w:after="0" w:line="163" w:lineRule="exact"/>
              <w:rPr>
                <w:rFonts w:ascii="Times New Roman" w:cs="Times New Roman" w:eastAsia="Times New Roman" w:hAnsi="Times New Roman"/>
                <w:sz w:val="17"/>
                <w:szCs w:val="17"/>
                <w:color w:val="0000FF"/>
                <w:w w:val="99"/>
              </w:rPr>
            </w:pPr>
            <w:hyperlink r:id="rId22">
              <w:r>
                <w:rPr>
                  <w:rFonts w:ascii="Times New Roman" w:cs="Times New Roman" w:eastAsia="Times New Roman" w:hAnsi="Times New Roman"/>
                  <w:sz w:val="17"/>
                  <w:szCs w:val="17"/>
                  <w:color w:val="0000FF"/>
                  <w:w w:val="99"/>
                </w:rPr>
                <w:t>Inc.</w:t>
              </w:r>
            </w:hyperlink>
          </w:p>
        </w:tc>
        <w:tc>
          <w:tcPr>
            <w:tcW w:w="3820" w:type="dxa"/>
            <w:vAlign w:val="bottom"/>
            <w:tcBorders>
              <w:top w:val="single" w:sz="8" w:color="0000FF"/>
            </w:tcBorders>
            <w:gridSpan w:val="18"/>
          </w:tcPr>
          <w:p>
            <w:pPr>
              <w:spacing w:after="0"/>
              <w:rPr>
                <w:sz w:val="14"/>
                <w:szCs w:val="14"/>
                <w:color w:val="auto"/>
              </w:rPr>
            </w:pPr>
          </w:p>
        </w:tc>
        <w:tc>
          <w:tcPr>
            <w:tcW w:w="12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7"/>
                <w:szCs w:val="17"/>
                <w:color w:val="auto"/>
              </w:rPr>
            </w:pPr>
          </w:p>
        </w:tc>
        <w:tc>
          <w:tcPr>
            <w:tcW w:w="4220" w:type="dxa"/>
            <w:vAlign w:val="bottom"/>
            <w:gridSpan w:val="21"/>
          </w:tcPr>
          <w:p>
            <w:pPr>
              <w:spacing w:after="0"/>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Form of Class A common stock certificate of the</w:t>
              </w:r>
            </w:hyperlink>
          </w:p>
        </w:tc>
        <w:tc>
          <w:tcPr>
            <w:tcW w:w="76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auto"/>
              </w:rPr>
              <w:t>S-1/A</w:t>
            </w:r>
          </w:p>
        </w:tc>
        <w:tc>
          <w:tcPr>
            <w:tcW w:w="16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333-230444</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April 8, 2019</w:t>
            </w:r>
          </w:p>
        </w:tc>
        <w:tc>
          <w:tcPr>
            <w:tcW w:w="0" w:type="dxa"/>
            <w:vAlign w:val="bottom"/>
          </w:tcPr>
          <w:p>
            <w:pPr>
              <w:spacing w:after="0"/>
              <w:rPr>
                <w:sz w:val="1"/>
                <w:szCs w:val="1"/>
                <w:color w:val="auto"/>
              </w:rPr>
            </w:pPr>
          </w:p>
        </w:tc>
      </w:tr>
      <w:tr>
        <w:trPr>
          <w:trHeight w:val="163"/>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4"/>
                <w:szCs w:val="14"/>
                <w:color w:val="auto"/>
              </w:rPr>
            </w:pPr>
          </w:p>
        </w:tc>
        <w:tc>
          <w:tcPr>
            <w:tcW w:w="3400" w:type="dxa"/>
            <w:vAlign w:val="bottom"/>
            <w:tcBorders>
              <w:top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Registrant.</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Opinion of Cooley LLP.</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20"/>
                <w:szCs w:val="20"/>
                <w:color w:val="auto"/>
              </w:rPr>
            </w:pPr>
          </w:p>
        </w:tc>
        <w:tc>
          <w:tcPr>
            <w:tcW w:w="34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Consent of Cooley LLP (included in Exhibit 5.1).</w:t>
            </w:r>
          </w:p>
        </w:tc>
        <w:tc>
          <w:tcPr>
            <w:tcW w:w="740" w:type="dxa"/>
            <w:vAlign w:val="bottom"/>
            <w:gridSpan w:val="9"/>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8"/>
                <w:szCs w:val="18"/>
                <w:color w:val="auto"/>
              </w:rPr>
            </w:pPr>
          </w:p>
        </w:tc>
        <w:tc>
          <w:tcPr>
            <w:tcW w:w="42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Consent of KPMG LLP, Independent Registered Public</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Borders>
              <w:top w:val="single" w:sz="8" w:color="0000FF"/>
            </w:tcBorders>
            <w:gridSpan w:val="15"/>
          </w:tcPr>
          <w:p>
            <w:pPr>
              <w:spacing w:after="0" w:line="163" w:lineRule="exact"/>
              <w:rPr>
                <w:sz w:val="20"/>
                <w:szCs w:val="20"/>
                <w:color w:val="auto"/>
              </w:rPr>
            </w:pPr>
            <w:r>
              <w:rPr>
                <w:rFonts w:ascii="Times New Roman" w:cs="Times New Roman" w:eastAsia="Times New Roman" w:hAnsi="Times New Roman"/>
                <w:sz w:val="17"/>
                <w:szCs w:val="17"/>
                <w:color w:val="0000FF"/>
              </w:rPr>
              <w:t>Accounting Firm.</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7"/>
                <w:szCs w:val="17"/>
                <w:color w:val="auto"/>
              </w:rPr>
            </w:pPr>
          </w:p>
        </w:tc>
        <w:tc>
          <w:tcPr>
            <w:tcW w:w="42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Power of Attorney (included on the signature page of this</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7"/>
                <w:szCs w:val="17"/>
                <w:color w:val="0000FF"/>
              </w:rPr>
              <w:t>Form S-8).</w:t>
            </w:r>
          </w:p>
        </w:tc>
        <w:tc>
          <w:tcPr>
            <w:tcW w:w="3240" w:type="dxa"/>
            <w:vAlign w:val="bottom"/>
            <w:tcBorders>
              <w:top w:val="single" w:sz="8" w:color="0000FF"/>
            </w:tcBorders>
            <w:gridSpan w:val="15"/>
          </w:tcPr>
          <w:p>
            <w:pPr>
              <w:spacing w:after="0"/>
              <w:rPr>
                <w:sz w:val="14"/>
                <w:szCs w:val="14"/>
                <w:color w:val="auto"/>
              </w:rPr>
            </w:pPr>
          </w:p>
        </w:tc>
        <w:tc>
          <w:tcPr>
            <w:tcW w:w="2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7"/>
                <w:szCs w:val="17"/>
                <w:color w:val="auto"/>
              </w:rPr>
            </w:pPr>
          </w:p>
        </w:tc>
        <w:tc>
          <w:tcPr>
            <w:tcW w:w="4220" w:type="dxa"/>
            <w:vAlign w:val="bottom"/>
            <w:gridSpan w:val="21"/>
          </w:tcPr>
          <w:p>
            <w:pPr>
              <w:spacing w:after="0"/>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Zoom Communications, Inc. 2019 Equity Incentive Plan,</w:t>
              </w:r>
            </w:hyperlink>
          </w:p>
        </w:tc>
        <w:tc>
          <w:tcPr>
            <w:tcW w:w="7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10-K</w:t>
            </w:r>
          </w:p>
        </w:tc>
        <w:tc>
          <w:tcPr>
            <w:tcW w:w="16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001-38865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218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auto"/>
              </w:rPr>
              <w:t>February 28, 2025</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11"/>
          </w:tcPr>
          <w:p>
            <w:pPr>
              <w:spacing w:after="0" w:line="163" w:lineRule="exact"/>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as amended, and forms of agreements thereunder.</w:t>
              </w:r>
            </w:hyperlink>
          </w:p>
        </w:tc>
        <w:tc>
          <w:tcPr>
            <w:tcW w:w="540" w:type="dxa"/>
            <w:vAlign w:val="bottom"/>
            <w:tcBorders>
              <w:top w:val="single" w:sz="8" w:color="0000FF"/>
            </w:tcBorders>
            <w:gridSpan w:val="6"/>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tcPr>
          <w:p>
            <w:pPr>
              <w:spacing w:after="0"/>
              <w:rPr>
                <w:sz w:val="17"/>
                <w:szCs w:val="17"/>
                <w:color w:val="auto"/>
              </w:rPr>
            </w:pPr>
          </w:p>
        </w:tc>
        <w:tc>
          <w:tcPr>
            <w:tcW w:w="4220" w:type="dxa"/>
            <w:vAlign w:val="bottom"/>
            <w:gridSpan w:val="21"/>
          </w:tcPr>
          <w:p>
            <w:pPr>
              <w:spacing w:after="0"/>
              <w:rPr>
                <w:rFonts w:ascii="Times New Roman" w:cs="Times New Roman" w:eastAsia="Times New Roman" w:hAnsi="Times New Roman"/>
                <w:sz w:val="17"/>
                <w:szCs w:val="17"/>
                <w:color w:val="0000FF"/>
              </w:rPr>
            </w:pPr>
            <w:hyperlink r:id="rId25">
              <w:r>
                <w:rPr>
                  <w:rFonts w:ascii="Times New Roman" w:cs="Times New Roman" w:eastAsia="Times New Roman" w:hAnsi="Times New Roman"/>
                  <w:sz w:val="17"/>
                  <w:szCs w:val="17"/>
                  <w:color w:val="0000FF"/>
                </w:rPr>
                <w:t>Zoom Communications, Inc. 2019 Employee Stock</w:t>
              </w:r>
            </w:hyperlink>
          </w:p>
        </w:tc>
        <w:tc>
          <w:tcPr>
            <w:tcW w:w="7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10-K</w:t>
            </w:r>
          </w:p>
        </w:tc>
        <w:tc>
          <w:tcPr>
            <w:tcW w:w="16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001-38865</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218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auto"/>
              </w:rPr>
              <w:t>February 28, 2025</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4"/>
          </w:tcPr>
          <w:p>
            <w:pPr>
              <w:spacing w:after="0" w:line="163" w:lineRule="exact"/>
              <w:rPr>
                <w:rFonts w:ascii="Times New Roman" w:cs="Times New Roman" w:eastAsia="Times New Roman" w:hAnsi="Times New Roman"/>
                <w:sz w:val="17"/>
                <w:szCs w:val="17"/>
                <w:color w:val="0000FF"/>
              </w:rPr>
            </w:pPr>
            <w:hyperlink r:id="rId25">
              <w:r>
                <w:rPr>
                  <w:rFonts w:ascii="Times New Roman" w:cs="Times New Roman" w:eastAsia="Times New Roman" w:hAnsi="Times New Roman"/>
                  <w:sz w:val="17"/>
                  <w:szCs w:val="17"/>
                  <w:color w:val="0000FF"/>
                </w:rPr>
                <w:t>Purchase Plan.</w:t>
              </w:r>
            </w:hyperlink>
          </w:p>
        </w:tc>
        <w:tc>
          <w:tcPr>
            <w:tcW w:w="2540" w:type="dxa"/>
            <w:vAlign w:val="bottom"/>
            <w:tcBorders>
              <w:top w:val="single" w:sz="8" w:color="0000FF"/>
            </w:tcBorders>
            <w:gridSpan w:val="9"/>
          </w:tcPr>
          <w:p>
            <w:pPr>
              <w:spacing w:after="0"/>
              <w:rPr>
                <w:sz w:val="14"/>
                <w:szCs w:val="14"/>
                <w:color w:val="auto"/>
              </w:rPr>
            </w:pPr>
          </w:p>
        </w:tc>
        <w:tc>
          <w:tcPr>
            <w:tcW w:w="640" w:type="dxa"/>
            <w:vAlign w:val="bottom"/>
            <w:gridSpan w:val="8"/>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7"/>
                <w:szCs w:val="17"/>
                <w:color w:val="auto"/>
              </w:rPr>
            </w:pPr>
          </w:p>
        </w:tc>
        <w:tc>
          <w:tcPr>
            <w:tcW w:w="42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Filing Fee Table</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top w:val="single" w:sz="8" w:color="0000FF"/>
              <w:bottom w:val="single" w:sz="8" w:color="auto"/>
            </w:tcBorders>
          </w:tcPr>
          <w:p>
            <w:pPr>
              <w:spacing w:after="0"/>
              <w:rPr>
                <w:sz w:val="10"/>
                <w:szCs w:val="10"/>
                <w:color w:val="auto"/>
              </w:rPr>
            </w:pPr>
          </w:p>
        </w:tc>
        <w:tc>
          <w:tcPr>
            <w:tcW w:w="480" w:type="dxa"/>
            <w:vAlign w:val="bottom"/>
            <w:tcBorders>
              <w:top w:val="single" w:sz="8" w:color="0000FF"/>
              <w:bottom w:val="single" w:sz="8" w:color="auto"/>
            </w:tcBorders>
          </w:tcPr>
          <w:p>
            <w:pPr>
              <w:spacing w:after="0"/>
              <w:rPr>
                <w:sz w:val="10"/>
                <w:szCs w:val="10"/>
                <w:color w:val="auto"/>
              </w:rPr>
            </w:pPr>
          </w:p>
        </w:tc>
        <w:tc>
          <w:tcPr>
            <w:tcW w:w="20" w:type="dxa"/>
            <w:vAlign w:val="bottom"/>
            <w:tcBorders>
              <w:top w:val="single" w:sz="8" w:color="0000FF"/>
              <w:bottom w:val="single" w:sz="8" w:color="auto"/>
            </w:tcBorders>
          </w:tcPr>
          <w:p>
            <w:pPr>
              <w:spacing w:after="0"/>
              <w:rPr>
                <w:sz w:val="10"/>
                <w:szCs w:val="10"/>
                <w:color w:val="auto"/>
              </w:rPr>
            </w:pPr>
          </w:p>
        </w:tc>
        <w:tc>
          <w:tcPr>
            <w:tcW w:w="260" w:type="dxa"/>
            <w:vAlign w:val="bottom"/>
            <w:tcBorders>
              <w:top w:val="single" w:sz="8" w:color="0000FF"/>
              <w:bottom w:val="single" w:sz="8" w:color="auto"/>
            </w:tcBorders>
          </w:tcPr>
          <w:p>
            <w:pPr>
              <w:spacing w:after="0"/>
              <w:rPr>
                <w:sz w:val="10"/>
                <w:szCs w:val="10"/>
                <w:color w:val="auto"/>
              </w:rPr>
            </w:pPr>
          </w:p>
        </w:tc>
        <w:tc>
          <w:tcPr>
            <w:tcW w:w="100" w:type="dxa"/>
            <w:vAlign w:val="bottom"/>
            <w:tcBorders>
              <w:top w:val="single" w:sz="8" w:color="0000FF"/>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 Filed herewith</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4" w:lineRule="exact"/>
        <w:rPr>
          <w:sz w:val="20"/>
          <w:szCs w:val="20"/>
          <w:color w:val="auto"/>
        </w:rPr>
      </w:pPr>
    </w:p>
    <w:p>
      <w:pPr>
        <w:jc w:val="both"/>
        <w:ind w:right="100" w:firstLine="626"/>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2nd day of March, 2026.</w:t>
      </w:r>
    </w:p>
    <w:p>
      <w:pPr>
        <w:spacing w:after="0" w:line="2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276" w:lineRule="exact"/>
        <w:rPr>
          <w:sz w:val="20"/>
          <w:szCs w:val="20"/>
          <w:color w:val="auto"/>
        </w:rPr>
      </w:pPr>
    </w:p>
    <w:tbl>
      <w:tblPr>
        <w:tblLayout w:type="fixed"/>
        <w:tblInd w:w="672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Eric S. Yuan</w:t>
            </w:r>
          </w:p>
        </w:tc>
      </w:tr>
      <w:tr>
        <w:trPr>
          <w:trHeight w:val="209"/>
        </w:trPr>
        <w:tc>
          <w:tcPr>
            <w:tcW w:w="54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S. Yuan</w:t>
            </w:r>
          </w:p>
        </w:tc>
      </w:tr>
      <w:tr>
        <w:trPr>
          <w:trHeight w:val="220"/>
        </w:trPr>
        <w:tc>
          <w:tcPr>
            <w:tcW w:w="5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9"/>
        </w:trPr>
        <w:tc>
          <w:tcPr>
            <w:tcW w:w="54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340"/>
          </w:cols>
          <w:pgMar w:left="320" w:top="144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7"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b w:val="1"/>
          <w:bCs w:val="1"/>
          <w:color w:val="auto"/>
        </w:rPr>
        <w:t>Know All Persons By These Presents</w:t>
      </w:r>
      <w:r>
        <w:rPr>
          <w:rFonts w:ascii="Times New Roman" w:cs="Times New Roman" w:eastAsia="Times New Roman" w:hAnsi="Times New Roman"/>
          <w:sz w:val="17"/>
          <w:szCs w:val="17"/>
          <w:color w:val="auto"/>
        </w:rPr>
        <w:t>, that each person whose signature appears below constitutes and appoints Eric S. Yuan, Michelle Chang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3"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371" w:right="339" w:bottom="1440" w:gutter="0" w:footer="0" w:header="0"/>
        </w:sectPr>
      </w:pPr>
    </w:p>
    <w:p>
      <w:pPr>
        <w:spacing w:after="0" w:line="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2210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28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Eric S. Yuan</w:t>
      </w:r>
    </w:p>
    <w:p>
      <w:pPr>
        <w:spacing w:after="0" w:line="28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Michelle Chang</w:t>
      </w:r>
    </w:p>
    <w:p>
      <w:pPr>
        <w:spacing w:after="0" w:line="27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Kimberly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Kimberly McGarry</w:t>
      </w:r>
    </w:p>
    <w:p>
      <w:pPr>
        <w:spacing w:after="0" w:line="27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Jonathan Chadwick</w:t>
      </w:r>
    </w:p>
    <w:p>
      <w:pPr>
        <w:spacing w:after="0" w:line="27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Mike Fenger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Mike Fenger</w:t>
      </w:r>
    </w:p>
    <w:p>
      <w:pPr>
        <w:spacing w:after="0" w:line="27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Cindy L. Hoots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Cindy L. Hoots</w:t>
      </w:r>
    </w:p>
    <w:p>
      <w:pPr>
        <w:spacing w:after="0" w:line="2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William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William R. McDermott</w:t>
      </w:r>
    </w:p>
    <w:p>
      <w:pPr>
        <w:spacing w:after="0" w:line="26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Herbert Raymond McMaster</w:t>
      </w:r>
    </w:p>
    <w:p>
      <w:pPr>
        <w:spacing w:after="0" w:line="26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Dan Scheinman</w:t>
      </w:r>
    </w:p>
    <w:p>
      <w:pPr>
        <w:spacing w:after="0" w:line="27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210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Santiago Subotovsky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21590</wp:posOffset>
            </wp:positionV>
            <wp:extent cx="3195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3195955" cy="8255"/>
                    </a:xfrm>
                    <a:prstGeom prst="rect">
                      <a:avLst/>
                    </a:prstGeom>
                    <a:noFill/>
                  </pic:spPr>
                </pic:pic>
              </a:graphicData>
            </a:graphic>
          </wp:anchor>
        </w:drawing>
      </w:r>
    </w:p>
    <w:p>
      <w:pPr>
        <w:spacing w:after="0" w:line="30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30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p>
      <w:pPr>
        <w:spacing w:after="0" w:line="200" w:lineRule="exact"/>
        <w:rPr>
          <w:sz w:val="20"/>
          <w:szCs w:val="20"/>
          <w:color w:val="auto"/>
        </w:rPr>
      </w:pPr>
    </w:p>
    <w:p>
      <w:pPr>
        <w:spacing w:after="0" w:line="21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6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0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6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21590</wp:posOffset>
            </wp:positionV>
            <wp:extent cx="1341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 2026</w:t>
      </w:r>
    </w:p>
    <w:p>
      <w:pPr>
        <w:sectPr>
          <w:pgSz w:w="11900" w:h="16838" w:orient="portrait"/>
          <w:cols w:equalWidth="0" w:num="3">
            <w:col w:w="3900" w:space="720"/>
            <w:col w:w="4280" w:space="720"/>
            <w:col w:w="1620"/>
          </w:cols>
          <w:pgMar w:left="320" w:top="1371"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S-8</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Zoom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168910</wp:posOffset>
            </wp:positionV>
            <wp:extent cx="5547360" cy="2459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5547360" cy="2459355"/>
                    </a:xfrm>
                    <a:prstGeom prst="rect">
                      <a:avLst/>
                    </a:prstGeom>
                    <a:noFill/>
                  </pic:spPr>
                </pic:pic>
              </a:graphicData>
            </a:graphic>
          </wp:anchor>
        </w:drawing>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Table 1 – Newly Registered Securities</w:t>
      </w:r>
    </w:p>
    <w:p>
      <w:pPr>
        <w:spacing w:after="0" w:line="45"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82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Proposed</w:t>
            </w:r>
          </w:p>
        </w:tc>
        <w:tc>
          <w:tcPr>
            <w:tcW w:w="136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3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04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9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60" w:type="dxa"/>
            <w:vAlign w:val="bottom"/>
          </w:tcPr>
          <w:p>
            <w:pPr>
              <w:spacing w:after="0"/>
              <w:rPr>
                <w:sz w:val="18"/>
                <w:szCs w:val="18"/>
                <w:color w:val="auto"/>
              </w:rPr>
            </w:pPr>
          </w:p>
        </w:tc>
        <w:tc>
          <w:tcPr>
            <w:tcW w:w="98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5"/>
              </w:rPr>
              <w:t>Calculation</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Aggregate Offering</w:t>
            </w:r>
          </w:p>
        </w:tc>
        <w:tc>
          <w:tcPr>
            <w:tcW w:w="1040" w:type="dxa"/>
            <w:vAlign w:val="bottom"/>
            <w:tcBorders>
              <w:right w:val="single" w:sz="8" w:color="auto"/>
            </w:tcBorders>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of</w:t>
            </w:r>
          </w:p>
        </w:tc>
        <w:tc>
          <w:tcPr>
            <w:tcW w:w="0" w:type="dxa"/>
            <w:vAlign w:val="bottom"/>
          </w:tcPr>
          <w:p>
            <w:pPr>
              <w:spacing w:after="0"/>
              <w:rPr>
                <w:sz w:val="1"/>
                <w:szCs w:val="1"/>
                <w:color w:val="auto"/>
              </w:rPr>
            </w:pPr>
          </w:p>
        </w:tc>
      </w:tr>
      <w:tr>
        <w:trPr>
          <w:trHeight w:val="45"/>
        </w:trPr>
        <w:tc>
          <w:tcPr>
            <w:tcW w:w="82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Class Title</w:t>
            </w:r>
          </w:p>
        </w:tc>
        <w:tc>
          <w:tcPr>
            <w:tcW w:w="60" w:type="dxa"/>
            <w:vAlign w:val="bottom"/>
          </w:tcPr>
          <w:p>
            <w:pPr>
              <w:spacing w:after="0"/>
              <w:rPr>
                <w:sz w:val="3"/>
                <w:szCs w:val="3"/>
                <w:color w:val="auto"/>
              </w:rPr>
            </w:pPr>
          </w:p>
        </w:tc>
        <w:tc>
          <w:tcPr>
            <w:tcW w:w="980" w:type="dxa"/>
            <w:vAlign w:val="bottom"/>
            <w:tcBorders>
              <w:right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100" w:type="dxa"/>
            <w:vAlign w:val="bottom"/>
            <w:tcBorders>
              <w:right w:val="single" w:sz="8" w:color="auto"/>
            </w:tcBorders>
            <w:vMerge w:val="continue"/>
          </w:tcPr>
          <w:p>
            <w:pPr>
              <w:spacing w:after="0"/>
              <w:rPr>
                <w:sz w:val="3"/>
                <w:szCs w:val="3"/>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Fee Rate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Registration Fee</w:t>
            </w:r>
          </w:p>
        </w:tc>
        <w:tc>
          <w:tcPr>
            <w:tcW w:w="0" w:type="dxa"/>
            <w:vAlign w:val="bottom"/>
          </w:tcPr>
          <w:p>
            <w:pPr>
              <w:spacing w:after="0"/>
              <w:rPr>
                <w:sz w:val="1"/>
                <w:szCs w:val="1"/>
                <w:color w:val="auto"/>
              </w:rPr>
            </w:pPr>
          </w:p>
        </w:tc>
      </w:tr>
      <w:tr>
        <w:trPr>
          <w:trHeight w:val="209"/>
        </w:trPr>
        <w:tc>
          <w:tcPr>
            <w:tcW w:w="820" w:type="dxa"/>
            <w:vAlign w:val="bottom"/>
            <w:tcBorders>
              <w:bottom w:val="single" w:sz="8" w:color="auto"/>
              <w:right w:val="single" w:sz="8" w:color="auto"/>
            </w:tcBorders>
            <w:vMerge w:val="continue"/>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line="208" w:lineRule="exact"/>
              <w:rPr>
                <w:sz w:val="20"/>
                <w:szCs w:val="20"/>
                <w:color w:val="auto"/>
              </w:rPr>
            </w:pPr>
            <w:r>
              <w:rPr>
                <w:rFonts w:ascii="Times New Roman" w:cs="Times New Roman" w:eastAsia="Times New Roman" w:hAnsi="Times New Roman"/>
                <w:sz w:val="16"/>
                <w:szCs w:val="16"/>
                <w:b w:val="1"/>
                <w:bCs w:val="1"/>
                <w:color w:val="auto"/>
                <w:w w:val="92"/>
              </w:rPr>
              <w:t>Registered</w:t>
            </w:r>
            <w:r>
              <w:rPr>
                <w:rFonts w:ascii="Times New Roman" w:cs="Times New Roman" w:eastAsia="Times New Roman" w:hAnsi="Times New Roman"/>
                <w:sz w:val="20"/>
                <w:szCs w:val="20"/>
                <w:b w:val="1"/>
                <w:bCs w:val="1"/>
                <w:color w:val="auto"/>
                <w:w w:val="92"/>
                <w:vertAlign w:val="superscript"/>
              </w:rPr>
              <w:t>(1)</w:t>
            </w: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360" w:type="dxa"/>
            <w:vAlign w:val="bottom"/>
            <w:tcBorders>
              <w:bottom w:val="single" w:sz="8" w:color="auto"/>
              <w:right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Equity</w:t>
            </w:r>
          </w:p>
        </w:tc>
        <w:tc>
          <w:tcPr>
            <w:tcW w:w="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Class A</w:t>
            </w:r>
          </w:p>
        </w:tc>
        <w:tc>
          <w:tcPr>
            <w:tcW w:w="60" w:type="dxa"/>
            <w:vAlign w:val="bottom"/>
          </w:tcPr>
          <w:p>
            <w:pPr>
              <w:spacing w:after="0"/>
              <w:rPr>
                <w:sz w:val="18"/>
                <w:szCs w:val="18"/>
                <w:color w:val="auto"/>
              </w:rPr>
            </w:pPr>
          </w:p>
        </w:tc>
        <w:tc>
          <w:tcPr>
            <w:tcW w:w="980" w:type="dxa"/>
            <w:vAlign w:val="bottom"/>
            <w:tcBorders>
              <w:right w:val="single" w:sz="8" w:color="auto"/>
            </w:tcBorders>
          </w:tcPr>
          <w:p>
            <w:pPr>
              <w:jc w:val="center"/>
              <w:ind w:right="22"/>
              <w:spacing w:after="0" w:line="214" w:lineRule="exact"/>
              <w:rPr>
                <w:sz w:val="20"/>
                <w:szCs w:val="20"/>
                <w:color w:val="auto"/>
              </w:rPr>
            </w:pPr>
            <w:r>
              <w:rPr>
                <w:rFonts w:ascii="Times New Roman" w:cs="Times New Roman" w:eastAsia="Times New Roman" w:hAnsi="Times New Roman"/>
                <w:sz w:val="16"/>
                <w:szCs w:val="16"/>
                <w:color w:val="auto"/>
                <w:w w:val="92"/>
              </w:rPr>
              <w:t>Other</w:t>
            </w:r>
            <w:r>
              <w:rPr>
                <w:rFonts w:ascii="Times New Roman" w:cs="Times New Roman" w:eastAsia="Times New Roman" w:hAnsi="Times New Roman"/>
                <w:sz w:val="20"/>
                <w:szCs w:val="20"/>
                <w:color w:val="auto"/>
                <w:w w:val="92"/>
                <w:vertAlign w:val="superscript"/>
              </w:rPr>
              <w:t>(2)</w:t>
            </w:r>
          </w:p>
        </w:tc>
        <w:tc>
          <w:tcPr>
            <w:tcW w:w="1100" w:type="dxa"/>
            <w:vAlign w:val="bottom"/>
            <w:tcBorders>
              <w:right w:val="single" w:sz="8" w:color="auto"/>
            </w:tcBorders>
          </w:tcPr>
          <w:p>
            <w:pPr>
              <w:jc w:val="center"/>
              <w:ind w:right="162"/>
              <w:spacing w:after="0" w:line="213" w:lineRule="exact"/>
              <w:rPr>
                <w:sz w:val="20"/>
                <w:szCs w:val="20"/>
                <w:color w:val="auto"/>
              </w:rPr>
            </w:pPr>
            <w:r>
              <w:rPr>
                <w:rFonts w:ascii="Times New Roman" w:cs="Times New Roman" w:eastAsia="Times New Roman" w:hAnsi="Times New Roman"/>
                <w:sz w:val="16"/>
                <w:szCs w:val="16"/>
                <w:color w:val="auto"/>
                <w:w w:val="92"/>
              </w:rPr>
              <w:t>14,776,370</w:t>
            </w:r>
            <w:r>
              <w:rPr>
                <w:rFonts w:ascii="Times New Roman" w:cs="Times New Roman" w:eastAsia="Times New Roman" w:hAnsi="Times New Roman"/>
                <w:sz w:val="20"/>
                <w:szCs w:val="20"/>
                <w:color w:val="auto"/>
                <w:w w:val="92"/>
                <w:vertAlign w:val="superscript"/>
              </w:rPr>
              <w:t>(</w:t>
            </w:r>
            <w:r>
              <w:rPr>
                <w:rFonts w:ascii="Times New Roman" w:cs="Times New Roman" w:eastAsia="Times New Roman" w:hAnsi="Times New Roman"/>
                <w:sz w:val="22"/>
                <w:szCs w:val="22"/>
                <w:color w:val="auto"/>
                <w:w w:val="92"/>
                <w:vertAlign w:val="superscript"/>
              </w:rPr>
              <w:t>3)</w:t>
            </w:r>
          </w:p>
        </w:tc>
        <w:tc>
          <w:tcPr>
            <w:tcW w:w="9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color w:val="auto"/>
                <w:w w:val="90"/>
              </w:rPr>
              <w:t>$76.59</w:t>
            </w:r>
            <w:r>
              <w:rPr>
                <w:rFonts w:ascii="Times New Roman" w:cs="Times New Roman" w:eastAsia="Times New Roman" w:hAnsi="Times New Roman"/>
                <w:sz w:val="20"/>
                <w:szCs w:val="20"/>
                <w:color w:val="auto"/>
                <w:w w:val="90"/>
                <w:vertAlign w:val="superscript"/>
              </w:rPr>
              <w:t>(2)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$1,131,722,178.3</w:t>
            </w:r>
          </w:p>
        </w:tc>
        <w:tc>
          <w:tcPr>
            <w:tcW w:w="104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0.00013810</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$156,290.83</w:t>
            </w:r>
          </w:p>
        </w:tc>
        <w:tc>
          <w:tcPr>
            <w:tcW w:w="0" w:type="dxa"/>
            <w:vAlign w:val="bottom"/>
          </w:tcPr>
          <w:p>
            <w:pPr>
              <w:spacing w:after="0"/>
              <w:rPr>
                <w:sz w:val="1"/>
                <w:szCs w:val="1"/>
                <w:color w:val="auto"/>
              </w:rPr>
            </w:pPr>
          </w:p>
        </w:tc>
      </w:tr>
      <w:tr>
        <w:trPr>
          <w:trHeight w:val="203"/>
        </w:trPr>
        <w:tc>
          <w:tcPr>
            <w:tcW w:w="8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82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Equity</w:t>
            </w:r>
          </w:p>
        </w:tc>
        <w:tc>
          <w:tcPr>
            <w:tcW w:w="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Class A</w:t>
            </w:r>
          </w:p>
        </w:tc>
        <w:tc>
          <w:tcPr>
            <w:tcW w:w="60" w:type="dxa"/>
            <w:vAlign w:val="bottom"/>
          </w:tcPr>
          <w:p>
            <w:pPr>
              <w:spacing w:after="0"/>
              <w:rPr>
                <w:sz w:val="18"/>
                <w:szCs w:val="18"/>
                <w:color w:val="auto"/>
              </w:rPr>
            </w:pPr>
          </w:p>
        </w:tc>
        <w:tc>
          <w:tcPr>
            <w:tcW w:w="980" w:type="dxa"/>
            <w:vAlign w:val="bottom"/>
            <w:tcBorders>
              <w:right w:val="single" w:sz="8" w:color="auto"/>
            </w:tcBorders>
          </w:tcPr>
          <w:p>
            <w:pPr>
              <w:jc w:val="center"/>
              <w:ind w:right="22"/>
              <w:spacing w:after="0" w:line="214" w:lineRule="exact"/>
              <w:rPr>
                <w:sz w:val="20"/>
                <w:szCs w:val="20"/>
                <w:color w:val="auto"/>
              </w:rPr>
            </w:pPr>
            <w:r>
              <w:rPr>
                <w:rFonts w:ascii="Times New Roman" w:cs="Times New Roman" w:eastAsia="Times New Roman" w:hAnsi="Times New Roman"/>
                <w:sz w:val="16"/>
                <w:szCs w:val="16"/>
                <w:color w:val="auto"/>
                <w:w w:val="92"/>
              </w:rPr>
              <w:t>Other</w:t>
            </w:r>
            <w:r>
              <w:rPr>
                <w:rFonts w:ascii="Times New Roman" w:cs="Times New Roman" w:eastAsia="Times New Roman" w:hAnsi="Times New Roman"/>
                <w:sz w:val="20"/>
                <w:szCs w:val="20"/>
                <w:color w:val="auto"/>
                <w:w w:val="92"/>
                <w:vertAlign w:val="superscript"/>
              </w:rPr>
              <w:t>(4)</w:t>
            </w:r>
          </w:p>
        </w:tc>
        <w:tc>
          <w:tcPr>
            <w:tcW w:w="1100" w:type="dxa"/>
            <w:vAlign w:val="bottom"/>
            <w:tcBorders>
              <w:right w:val="single" w:sz="8" w:color="auto"/>
            </w:tcBorders>
          </w:tcPr>
          <w:p>
            <w:pPr>
              <w:jc w:val="center"/>
              <w:ind w:right="202"/>
              <w:spacing w:after="0" w:line="214" w:lineRule="exact"/>
              <w:rPr>
                <w:sz w:val="20"/>
                <w:szCs w:val="20"/>
                <w:color w:val="auto"/>
              </w:rPr>
            </w:pPr>
            <w:r>
              <w:rPr>
                <w:rFonts w:ascii="Times New Roman" w:cs="Times New Roman" w:eastAsia="Times New Roman" w:hAnsi="Times New Roman"/>
                <w:sz w:val="16"/>
                <w:szCs w:val="16"/>
                <w:color w:val="auto"/>
                <w:w w:val="97"/>
              </w:rPr>
              <w:t>2,955,274</w:t>
            </w:r>
            <w:r>
              <w:rPr>
                <w:rFonts w:ascii="Times New Roman" w:cs="Times New Roman" w:eastAsia="Times New Roman" w:hAnsi="Times New Roman"/>
                <w:sz w:val="20"/>
                <w:szCs w:val="20"/>
                <w:color w:val="auto"/>
                <w:w w:val="97"/>
                <w:vertAlign w:val="superscript"/>
              </w:rPr>
              <w:t>(5)</w:t>
            </w:r>
          </w:p>
        </w:tc>
        <w:tc>
          <w:tcPr>
            <w:tcW w:w="980" w:type="dxa"/>
            <w:vAlign w:val="bottom"/>
            <w:tcBorders>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color w:val="auto"/>
                <w:w w:val="90"/>
              </w:rPr>
              <w:t>$65.10</w:t>
            </w:r>
            <w:r>
              <w:rPr>
                <w:rFonts w:ascii="Times New Roman" w:cs="Times New Roman" w:eastAsia="Times New Roman" w:hAnsi="Times New Roman"/>
                <w:sz w:val="20"/>
                <w:szCs w:val="20"/>
                <w:color w:val="auto"/>
                <w:w w:val="90"/>
                <w:vertAlign w:val="superscript"/>
              </w:rPr>
              <w:t>(4)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$192,388,337.4</w:t>
            </w:r>
          </w:p>
        </w:tc>
        <w:tc>
          <w:tcPr>
            <w:tcW w:w="104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0.00013810</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$26,568.83</w:t>
            </w:r>
          </w:p>
        </w:tc>
        <w:tc>
          <w:tcPr>
            <w:tcW w:w="0" w:type="dxa"/>
            <w:vAlign w:val="bottom"/>
          </w:tcPr>
          <w:p>
            <w:pPr>
              <w:spacing w:after="0"/>
              <w:rPr>
                <w:sz w:val="1"/>
                <w:szCs w:val="1"/>
                <w:color w:val="auto"/>
              </w:rPr>
            </w:pPr>
          </w:p>
        </w:tc>
      </w:tr>
      <w:tr>
        <w:trPr>
          <w:trHeight w:val="203"/>
        </w:trPr>
        <w:tc>
          <w:tcPr>
            <w:tcW w:w="8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82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Offering Amounts</w:t>
            </w:r>
          </w:p>
        </w:tc>
        <w:tc>
          <w:tcPr>
            <w:tcW w:w="9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$1,324,110,515.7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$182,859.66</w:t>
            </w:r>
          </w:p>
        </w:tc>
        <w:tc>
          <w:tcPr>
            <w:tcW w:w="0" w:type="dxa"/>
            <w:vAlign w:val="bottom"/>
          </w:tcPr>
          <w:p>
            <w:pPr>
              <w:spacing w:after="0"/>
              <w:rPr>
                <w:sz w:val="1"/>
                <w:szCs w:val="1"/>
                <w:color w:val="auto"/>
              </w:rPr>
            </w:pPr>
          </w:p>
        </w:tc>
      </w:tr>
      <w:tr>
        <w:trPr>
          <w:trHeight w:val="45"/>
        </w:trPr>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w w:val="98"/>
              </w:rPr>
              <w:t>Total Fees Previously Paid</w:t>
            </w:r>
          </w:p>
        </w:tc>
        <w:tc>
          <w:tcPr>
            <w:tcW w:w="9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5"/>
        </w:trPr>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Fee Offsets</w:t>
            </w:r>
          </w:p>
        </w:tc>
        <w:tc>
          <w:tcPr>
            <w:tcW w:w="9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$182,859.66</w:t>
            </w:r>
          </w:p>
        </w:tc>
        <w:tc>
          <w:tcPr>
            <w:tcW w:w="0" w:type="dxa"/>
            <w:vAlign w:val="bottom"/>
          </w:tcPr>
          <w:p>
            <w:pPr>
              <w:spacing w:after="0"/>
              <w:rPr>
                <w:sz w:val="1"/>
                <w:szCs w:val="1"/>
                <w:color w:val="auto"/>
              </w:rPr>
            </w:pPr>
          </w:p>
        </w:tc>
      </w:tr>
      <w:tr>
        <w:trPr>
          <w:trHeight w:val="45"/>
        </w:trPr>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Net Fee Due</w:t>
            </w:r>
          </w:p>
        </w:tc>
        <w:tc>
          <w:tcPr>
            <w:tcW w:w="9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45"/>
        </w:trPr>
        <w:tc>
          <w:tcPr>
            <w:tcW w:w="8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left="320" w:hanging="316"/>
        <w:spacing w:after="0" w:line="226" w:lineRule="auto"/>
        <w:tabs>
          <w:tab w:leader="none" w:pos="378"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416(a) promulgated under the Securities Act of 1933, as amended (the "Securities Act"), this Registration Statement shall also cover any additional shares of Class A common stock of Zoom Communications, Inc. (the “Registrant”) that become issuable under the plans set forth herein by reason of any stock dividend, stock split, recapitalization, or other similar transaction effected that results in an increase to the number of outstanding shares of the Registrant’s Class A common stock, as applicable.</w:t>
      </w:r>
    </w:p>
    <w:p>
      <w:pPr>
        <w:ind w:left="320" w:hanging="316"/>
        <w:spacing w:after="0" w:line="204" w:lineRule="auto"/>
        <w:tabs>
          <w:tab w:leader="none" w:pos="39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457(c) and (h) solely for the purpose of calculating the registration fee on the basis of the average of the high and low prices of the Registrant’s Class A common stock as reported on the Nasdaq Global Select Market on February 26, 2026.</w:t>
      </w:r>
    </w:p>
    <w:p>
      <w:pPr>
        <w:ind w:left="320" w:hanging="316"/>
        <w:spacing w:after="0" w:line="204" w:lineRule="auto"/>
        <w:tabs>
          <w:tab w:leader="none" w:pos="39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automatic annual increase equal to 5% of the total number of shares of the Registrant’s Class A common stock and Class B common stock outstanding on January 31 of the preceding fiscal year, which annual increase is provided by the Registrant’s 2019 Equity Incentive Plan.</w:t>
      </w:r>
    </w:p>
    <w:p>
      <w:pPr>
        <w:jc w:val="both"/>
        <w:ind w:left="320" w:hanging="316"/>
        <w:spacing w:after="0" w:line="204" w:lineRule="auto"/>
        <w:tabs>
          <w:tab w:leader="none" w:pos="39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457(c) and (h) solely for the purpose of calculating the registration fee on the basis of the average of the high and low prices of the Registrant’s Class A common stock as reported on the Nasdaq Global Select Market on February 26, 2026, multiplied by 85%, which is the percentage of the price per share applicable to purchases under the Registrant’s 2019 Employee Stock Purchase Plan (the “2019 ESPP”).</w:t>
      </w:r>
    </w:p>
    <w:p>
      <w:pPr>
        <w:ind w:left="320" w:hanging="316"/>
        <w:spacing w:after="0" w:line="222" w:lineRule="auto"/>
        <w:tabs>
          <w:tab w:leader="none" w:pos="35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automatic increase equal to 1% of the total number of shares of the Registrant’s Class A common stock and Class B common stock outstanding on January 31 of the preceding fiscal year, which annual increase is provided by the 2019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2028825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 w:name="page7"/>
    <w:bookmarkEnd w:id="6"/>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Table 2: Fee Offset Claims and Sources</w:t>
      </w: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880" w:type="dxa"/>
            <w:vAlign w:val="bottom"/>
            <w:tcBorders>
              <w:top w:val="single" w:sz="8" w:color="auto"/>
              <w:left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right w:val="single" w:sz="8" w:color="auto"/>
            </w:tcBorders>
          </w:tcPr>
          <w:p>
            <w:pPr>
              <w:spacing w:after="0"/>
              <w:rPr>
                <w:sz w:val="22"/>
                <w:szCs w:val="22"/>
                <w:color w:val="auto"/>
              </w:rPr>
            </w:pPr>
          </w:p>
        </w:tc>
        <w:tc>
          <w:tcPr>
            <w:tcW w:w="96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Unsold</w:t>
            </w:r>
          </w:p>
        </w:tc>
        <w:tc>
          <w:tcPr>
            <w:tcW w:w="130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Unsold</w:t>
            </w:r>
          </w:p>
        </w:tc>
        <w:tc>
          <w:tcPr>
            <w:tcW w:w="9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88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Form or</w:t>
            </w: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9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9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30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Offering Amount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Paid</w:t>
            </w:r>
          </w:p>
        </w:tc>
        <w:tc>
          <w:tcPr>
            <w:tcW w:w="0" w:type="dxa"/>
            <w:vAlign w:val="bottom"/>
          </w:tcPr>
          <w:p>
            <w:pPr>
              <w:spacing w:after="0"/>
              <w:rPr>
                <w:sz w:val="1"/>
                <w:szCs w:val="1"/>
                <w:color w:val="auto"/>
              </w:rPr>
            </w:pPr>
          </w:p>
        </w:tc>
      </w:tr>
      <w:tr>
        <w:trPr>
          <w:trHeight w:val="52"/>
        </w:trPr>
        <w:tc>
          <w:tcPr>
            <w:tcW w:w="88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7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 with</w:t>
            </w:r>
          </w:p>
        </w:tc>
        <w:tc>
          <w:tcPr>
            <w:tcW w:w="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8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Registrant or</w:t>
            </w:r>
          </w:p>
        </w:tc>
        <w:tc>
          <w:tcPr>
            <w:tcW w:w="8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 Fee</w:t>
            </w:r>
          </w:p>
        </w:tc>
        <w:tc>
          <w:tcPr>
            <w:tcW w:w="0" w:type="dxa"/>
            <w:vAlign w:val="bottom"/>
          </w:tcPr>
          <w:p>
            <w:pPr>
              <w:spacing w:after="0"/>
              <w:rPr>
                <w:sz w:val="1"/>
                <w:szCs w:val="1"/>
                <w:color w:val="auto"/>
              </w:rPr>
            </w:pPr>
          </w:p>
        </w:tc>
      </w:tr>
      <w:tr>
        <w:trPr>
          <w:trHeight w:val="78"/>
        </w:trPr>
        <w:tc>
          <w:tcPr>
            <w:tcW w:w="880" w:type="dxa"/>
            <w:vAlign w:val="bottom"/>
            <w:tcBorders>
              <w:left w:val="single" w:sz="8" w:color="auto"/>
              <w:right w:val="single" w:sz="8" w:color="auto"/>
            </w:tcBorders>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jc w:val="center"/>
              <w:spacing w:after="0" w:line="79" w:lineRule="exact"/>
              <w:rPr>
                <w:sz w:val="20"/>
                <w:szCs w:val="20"/>
                <w:color w:val="auto"/>
              </w:rPr>
            </w:pPr>
            <w:r>
              <w:rPr>
                <w:rFonts w:ascii="Times New Roman" w:cs="Times New Roman" w:eastAsia="Times New Roman" w:hAnsi="Times New Roman"/>
                <w:sz w:val="9"/>
                <w:szCs w:val="9"/>
                <w:b w:val="1"/>
                <w:bCs w:val="1"/>
                <w:color w:val="auto"/>
              </w:rPr>
              <w:t>Filing</w:t>
            </w:r>
          </w:p>
        </w:tc>
        <w:tc>
          <w:tcPr>
            <w:tcW w:w="84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 Fee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 Fee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with Fee</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 Offset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Offset</w:t>
            </w:r>
          </w:p>
        </w:tc>
        <w:tc>
          <w:tcPr>
            <w:tcW w:w="0" w:type="dxa"/>
            <w:vAlign w:val="bottom"/>
          </w:tcPr>
          <w:p>
            <w:pPr>
              <w:spacing w:after="0"/>
              <w:rPr>
                <w:sz w:val="1"/>
                <w:szCs w:val="1"/>
                <w:color w:val="auto"/>
              </w:rPr>
            </w:pPr>
          </w:p>
        </w:tc>
      </w:tr>
      <w:tr>
        <w:trPr>
          <w:trHeight w:val="117"/>
        </w:trPr>
        <w:tc>
          <w:tcPr>
            <w:tcW w:w="8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Filer Name</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ind w:left="160"/>
              <w:spacing w:after="0" w:line="105" w:lineRule="exact"/>
              <w:rPr>
                <w:sz w:val="20"/>
                <w:szCs w:val="20"/>
                <w:color w:val="auto"/>
              </w:rPr>
            </w:pPr>
            <w:r>
              <w:rPr>
                <w:rFonts w:ascii="Times New Roman" w:cs="Times New Roman" w:eastAsia="Times New Roman" w:hAnsi="Times New Roman"/>
                <w:sz w:val="12"/>
                <w:szCs w:val="12"/>
                <w:b w:val="1"/>
                <w:bCs w:val="1"/>
                <w:color w:val="auto"/>
              </w:rPr>
              <w:t>Number</w:t>
            </w:r>
          </w:p>
        </w:tc>
        <w:tc>
          <w:tcPr>
            <w:tcW w:w="8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Date</w:t>
            </w:r>
          </w:p>
        </w:tc>
        <w:tc>
          <w:tcPr>
            <w:tcW w:w="7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ind w:left="200"/>
              <w:spacing w:after="0" w:line="105" w:lineRule="exact"/>
              <w:rPr>
                <w:sz w:val="20"/>
                <w:szCs w:val="20"/>
                <w:color w:val="auto"/>
              </w:rPr>
            </w:pPr>
            <w:r>
              <w:rPr>
                <w:rFonts w:ascii="Times New Roman" w:cs="Times New Roman" w:eastAsia="Times New Roman" w:hAnsi="Times New Roman"/>
                <w:sz w:val="12"/>
                <w:szCs w:val="12"/>
                <w:b w:val="1"/>
                <w:bCs w:val="1"/>
                <w:color w:val="auto"/>
              </w:rPr>
              <w:t>Claimed</w:t>
            </w:r>
          </w:p>
        </w:tc>
        <w:tc>
          <w:tcPr>
            <w:tcW w:w="92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Offset</w:t>
            </w:r>
          </w:p>
        </w:tc>
        <w:tc>
          <w:tcPr>
            <w:tcW w:w="92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Offset</w:t>
            </w:r>
          </w:p>
        </w:tc>
        <w:tc>
          <w:tcPr>
            <w:tcW w:w="90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Offset</w:t>
            </w:r>
          </w:p>
        </w:tc>
        <w:tc>
          <w:tcPr>
            <w:tcW w:w="130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Claimed</w:t>
            </w:r>
          </w:p>
        </w:tc>
        <w:tc>
          <w:tcPr>
            <w:tcW w:w="92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Source</w:t>
            </w:r>
          </w:p>
        </w:tc>
        <w:tc>
          <w:tcPr>
            <w:tcW w:w="0" w:type="dxa"/>
            <w:vAlign w:val="bottom"/>
          </w:tcPr>
          <w:p>
            <w:pPr>
              <w:spacing w:after="0"/>
              <w:rPr>
                <w:sz w:val="1"/>
                <w:szCs w:val="1"/>
                <w:color w:val="auto"/>
              </w:rPr>
            </w:pPr>
          </w:p>
        </w:tc>
      </w:tr>
      <w:tr>
        <w:trPr>
          <w:trHeight w:val="130"/>
        </w:trPr>
        <w:tc>
          <w:tcPr>
            <w:tcW w:w="88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Claimed</w:t>
            </w:r>
          </w:p>
        </w:tc>
        <w:tc>
          <w:tcPr>
            <w:tcW w:w="92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Claimed</w:t>
            </w:r>
          </w:p>
        </w:tc>
        <w:tc>
          <w:tcPr>
            <w:tcW w:w="900" w:type="dxa"/>
            <w:vAlign w:val="bottom"/>
            <w:tcBorders>
              <w:bottom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Claimed</w:t>
            </w:r>
          </w:p>
        </w:tc>
        <w:tc>
          <w:tcPr>
            <w:tcW w:w="13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2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Rules 457(b) and 0-11(a)(2)</w:t>
            </w: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88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8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Fee Offset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Claims</w:t>
            </w:r>
          </w:p>
        </w:tc>
        <w:tc>
          <w:tcPr>
            <w:tcW w:w="11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880" w:type="dxa"/>
            <w:vAlign w:val="bottom"/>
            <w:tcBorders>
              <w:left w:val="single" w:sz="8" w:color="auto"/>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Sources</w:t>
            </w:r>
          </w:p>
        </w:tc>
        <w:tc>
          <w:tcPr>
            <w:tcW w:w="11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8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Rule 457(p)</w:t>
            </w: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88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 Offset</w:t>
            </w:r>
          </w:p>
        </w:tc>
        <w:tc>
          <w:tcPr>
            <w:tcW w:w="114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Zoom Video</w:t>
            </w: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August 13,</w:t>
            </w: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$182,859.66</w:t>
            </w:r>
            <w:r>
              <w:rPr>
                <w:rFonts w:ascii="Times New Roman" w:cs="Times New Roman" w:eastAsia="Times New Roman" w:hAnsi="Times New Roman"/>
                <w:sz w:val="18"/>
                <w:szCs w:val="18"/>
                <w:color w:val="auto"/>
                <w:w w:val="95"/>
                <w:vertAlign w:val="superscript"/>
              </w:rPr>
              <w:t>(1)</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Class A</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43,673,988</w:t>
            </w:r>
          </w:p>
        </w:tc>
        <w:tc>
          <w:tcPr>
            <w:tcW w:w="1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80" w:type="dxa"/>
            <w:vAlign w:val="bottom"/>
            <w:tcBorders>
              <w:left w:val="single" w:sz="8" w:color="auto"/>
              <w:right w:val="single" w:sz="8" w:color="auto"/>
            </w:tcBorders>
            <w:vMerge w:val="continue"/>
          </w:tcPr>
          <w:p>
            <w:pPr>
              <w:spacing w:after="0"/>
              <w:rPr>
                <w:sz w:val="11"/>
                <w:szCs w:val="1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Communications,</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2"/>
              </w:rPr>
              <w:t>S-4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333-258815</w:t>
            </w:r>
          </w:p>
        </w:tc>
        <w:tc>
          <w:tcPr>
            <w:tcW w:w="840" w:type="dxa"/>
            <w:vAlign w:val="bottom"/>
            <w:tcBorders>
              <w:right w:val="single" w:sz="8" w:color="auto"/>
            </w:tcBorders>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Common</w:t>
            </w:r>
          </w:p>
        </w:tc>
        <w:tc>
          <w:tcPr>
            <w:tcW w:w="90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$15,057,382,692.48</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80" w:type="dxa"/>
            <w:vAlign w:val="bottom"/>
            <w:tcBorders>
              <w:left w:val="single" w:sz="8" w:color="auto"/>
              <w:right w:val="single" w:sz="8" w:color="auto"/>
            </w:tcBorders>
          </w:tcPr>
          <w:p>
            <w:pPr>
              <w:jc w:val="center"/>
              <w:spacing w:after="0" w:line="92" w:lineRule="exact"/>
              <w:rPr>
                <w:sz w:val="20"/>
                <w:szCs w:val="20"/>
                <w:color w:val="auto"/>
              </w:rPr>
            </w:pPr>
            <w:r>
              <w:rPr>
                <w:rFonts w:ascii="Times New Roman" w:cs="Times New Roman" w:eastAsia="Times New Roman" w:hAnsi="Times New Roman"/>
                <w:sz w:val="8"/>
                <w:szCs w:val="8"/>
                <w:color w:val="auto"/>
              </w:rPr>
              <w:t>Claims</w:t>
            </w:r>
            <w:r>
              <w:rPr>
                <w:rFonts w:ascii="Times New Roman" w:cs="Times New Roman" w:eastAsia="Times New Roman" w:hAnsi="Times New Roman"/>
                <w:sz w:val="10"/>
                <w:szCs w:val="10"/>
                <w:color w:val="auto"/>
                <w:vertAlign w:val="superscript"/>
              </w:rPr>
              <w:t>(1)</w:t>
            </w:r>
          </w:p>
        </w:tc>
        <w:tc>
          <w:tcPr>
            <w:tcW w:w="11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2021</w:t>
            </w:r>
          </w:p>
        </w:tc>
        <w:tc>
          <w:tcPr>
            <w:tcW w:w="7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shares</w:t>
            </w:r>
          </w:p>
        </w:tc>
        <w:tc>
          <w:tcPr>
            <w:tcW w:w="13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Inc.</w:t>
            </w: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 Offset</w:t>
            </w:r>
          </w:p>
        </w:tc>
        <w:tc>
          <w:tcPr>
            <w:tcW w:w="114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Zoom Video</w:t>
            </w: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August 13,</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$182,859.66</w:t>
            </w:r>
            <w:r>
              <w:rPr>
                <w:rFonts w:ascii="Times New Roman" w:cs="Times New Roman" w:eastAsia="Times New Roman" w:hAnsi="Times New Roman"/>
                <w:sz w:val="18"/>
                <w:szCs w:val="18"/>
                <w:color w:val="auto"/>
                <w:w w:val="95"/>
                <w:vertAlign w:val="superscript"/>
              </w:rPr>
              <w:t>(1)</w:t>
            </w:r>
          </w:p>
        </w:tc>
        <w:tc>
          <w:tcPr>
            <w:tcW w:w="0" w:type="dxa"/>
            <w:vAlign w:val="bottom"/>
          </w:tcPr>
          <w:p>
            <w:pPr>
              <w:spacing w:after="0"/>
              <w:rPr>
                <w:sz w:val="1"/>
                <w:szCs w:val="1"/>
                <w:color w:val="auto"/>
              </w:rPr>
            </w:pPr>
          </w:p>
        </w:tc>
      </w:tr>
      <w:tr>
        <w:trPr>
          <w:trHeight w:val="88"/>
        </w:trPr>
        <w:tc>
          <w:tcPr>
            <w:tcW w:w="88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Communications,</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2"/>
              </w:rPr>
              <w:t>S-4</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333-258815</w:t>
            </w:r>
          </w:p>
        </w:tc>
        <w:tc>
          <w:tcPr>
            <w:tcW w:w="840" w:type="dxa"/>
            <w:vAlign w:val="bottom"/>
            <w:tcBorders>
              <w:right w:val="single" w:sz="8" w:color="auto"/>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Sources</w:t>
            </w:r>
            <w:r>
              <w:rPr>
                <w:rFonts w:ascii="Times New Roman" w:cs="Times New Roman" w:eastAsia="Times New Roman" w:hAnsi="Times New Roman"/>
                <w:sz w:val="15"/>
                <w:szCs w:val="15"/>
                <w:color w:val="auto"/>
                <w:vertAlign w:val="superscript"/>
              </w:rPr>
              <w:t>(1)</w:t>
            </w:r>
          </w:p>
        </w:tc>
        <w:tc>
          <w:tcPr>
            <w:tcW w:w="114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w w:val="94"/>
              </w:rPr>
              <w:t>(2)</w:t>
            </w:r>
          </w:p>
        </w:tc>
        <w:tc>
          <w:tcPr>
            <w:tcW w:w="0" w:type="dxa"/>
            <w:vAlign w:val="bottom"/>
          </w:tcPr>
          <w:p>
            <w:pPr>
              <w:spacing w:after="0"/>
              <w:rPr>
                <w:sz w:val="1"/>
                <w:szCs w:val="1"/>
                <w:color w:val="auto"/>
              </w:rPr>
            </w:pPr>
          </w:p>
        </w:tc>
      </w:tr>
      <w:tr>
        <w:trPr>
          <w:trHeight w:val="143"/>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Inc.</w:t>
            </w: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left="320" w:right="20" w:hanging="316"/>
        <w:spacing w:after="0" w:line="215" w:lineRule="auto"/>
        <w:tabs>
          <w:tab w:leader="none" w:pos="36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previously registered $15,057,382,692.48 in aggregate offering amount of Class A common stock pursuant to the Registration Statement on Form S-4 (File Number 333-258815) filed on August 13, 2021, as amended by Pre-Effective Amendment No. 1 filed on August 26, 2021 (the “Prior Registration Statement”). The Registrant has withdrawn the Prior Registration Statement and no securities were sold thereunder.</w:t>
      </w:r>
    </w:p>
    <w:p>
      <w:pPr>
        <w:spacing w:after="0" w:line="1" w:lineRule="exact"/>
        <w:rPr>
          <w:rFonts w:ascii="Times New Roman" w:cs="Times New Roman" w:eastAsia="Times New Roman" w:hAnsi="Times New Roman"/>
          <w:sz w:val="17"/>
          <w:szCs w:val="17"/>
          <w:color w:val="auto"/>
        </w:rPr>
      </w:pPr>
    </w:p>
    <w:p>
      <w:pPr>
        <w:ind w:left="320" w:right="80" w:hanging="316"/>
        <w:spacing w:after="0" w:line="227" w:lineRule="auto"/>
        <w:tabs>
          <w:tab w:leader="none" w:pos="36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expects to offset the registration fee due hereunder by an amount of fees that was previously paid with respect to the Prior Registration Statement pursuant to Rule 457(p) under the Securities Act. The fee previously paid for the Prior Registration Statement was $1,642,760.45. Pursuant to Rule 457(p) under the Securities Act, the Registrant previously offset $192,507.12 of the total registration fees due under its Registration Statement on Form S-8 (File Number 333-263354), filed on March 8, 2022, $132,800.37 of the total registration fees due under its Registration Statement on Form S-8 (File Number 333-270264), filed on March 3, 2023, $168,978.58 of the total registration fees due under its Registration Statement on Form S-8 (File Number 333-277614), filed on March 4, 2024 and $201,872.85 of the total registration fees due under its Registration Statement on Form S-8 (File Number 333-285440), filed on February 28, 2025 against the fees previously paid in connection with the Prior Registration Statement, leaving a remaining balance of $946,601.53 available for future fee offsets by the Registrant. Pursuant to Rule 457(p) under the Securities Act, the Registrant hereby offsets the total registration fee due under this Registration Statement of $182,859.66 from the fees previously paid in connection with the Prior Registration Statement, with $763,741.87 remaining to be applied to future filings. Accordingly, no additional registration fee is being paid in connection with the filing of this Registration Statement.</w:t>
      </w:r>
    </w:p>
    <w:p>
      <w:pPr>
        <w:sectPr>
          <w:pgSz w:w="11900" w:h="16838" w:orient="portrait"/>
          <w:cols w:equalWidth="0" w:num="1">
            <w:col w:w="11260"/>
          </w:cols>
          <w:pgMar w:left="320" w:top="1440" w:right="319" w:bottom="1440" w:gutter="0" w:footer="0" w:header="0"/>
        </w:sectPr>
      </w:pPr>
    </w:p>
    <w:bookmarkStart w:id="7" w:name="page8"/>
    <w:bookmarkEnd w:id="7"/>
    <w:p>
      <w:pPr>
        <w:spacing w:after="0"/>
        <w:rPr>
          <w:sz w:val="20"/>
          <w:szCs w:val="20"/>
          <w:color w:val="auto"/>
        </w:rPr>
      </w:pPr>
      <w:r>
        <w:rPr>
          <w:sz w:val="1"/>
          <w:szCs w:val="1"/>
          <w:color w:val="auto"/>
        </w:rPr>
        <w:drawing>
          <wp:inline distT="0" distB="0" distL="0" distR="0">
            <wp:extent cx="943610" cy="3060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943610" cy="306070"/>
                    </a:xfrm>
                    <a:prstGeom prst="rect">
                      <a:avLst/>
                    </a:prstGeom>
                    <a:noFill/>
                    <a:ln>
                      <a:noFill/>
                    </a:ln>
                  </pic:spPr>
                </pic:pic>
              </a:graphicData>
            </a:graphic>
          </wp:inline>
        </w:drawing>
      </w:r>
      <w:r>
        <w:rPr>
          <w:rFonts w:ascii="Arial" w:cs="Arial" w:eastAsia="Arial" w:hAnsi="Arial"/>
          <w:sz w:val="24"/>
          <w:szCs w:val="24"/>
          <w:color w:val="auto"/>
        </w:rPr>
        <w:t xml:space="preserve"> Exhibit 5.1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color w:val="auto"/>
        </w:rPr>
        <w:t>Jon Avina</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+1 650 843 5307</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javina@cooley.com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March 2, 2026</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Zoom Communications, Inc.</w:t>
      </w:r>
    </w:p>
    <w:p>
      <w:pPr>
        <w:spacing w:after="0" w:line="13" w:lineRule="exact"/>
        <w:rPr>
          <w:sz w:val="20"/>
          <w:szCs w:val="20"/>
          <w:color w:val="auto"/>
        </w:rPr>
      </w:pPr>
    </w:p>
    <w:p>
      <w:pPr>
        <w:ind w:right="8260" w:firstLine="4"/>
        <w:spacing w:after="0" w:line="236" w:lineRule="auto"/>
        <w:tabs>
          <w:tab w:leader="none" w:pos="290" w:val="left"/>
        </w:tabs>
        <w:numPr>
          <w:ilvl w:val="0"/>
          <w:numId w:val="4"/>
        </w:numPr>
        <w:rPr>
          <w:rFonts w:ascii="Arial" w:cs="Arial" w:eastAsia="Arial" w:hAnsi="Arial"/>
          <w:sz w:val="21"/>
          <w:szCs w:val="21"/>
          <w:color w:val="auto"/>
        </w:rPr>
      </w:pPr>
      <w:r>
        <w:rPr>
          <w:rFonts w:ascii="Arial" w:cs="Arial" w:eastAsia="Arial" w:hAnsi="Arial"/>
          <w:sz w:val="21"/>
          <w:szCs w:val="21"/>
          <w:color w:val="auto"/>
        </w:rPr>
        <w:t>Almaden Boulevard, 6</w:t>
      </w:r>
      <w:r>
        <w:rPr>
          <w:rFonts w:ascii="Arial" w:cs="Arial" w:eastAsia="Arial" w:hAnsi="Arial"/>
          <w:sz w:val="11"/>
          <w:szCs w:val="11"/>
          <w:color w:val="auto"/>
        </w:rPr>
        <w:t>th</w:t>
      </w:r>
      <w:r>
        <w:rPr>
          <w:rFonts w:ascii="Arial" w:cs="Arial" w:eastAsia="Arial" w:hAnsi="Arial"/>
          <w:sz w:val="21"/>
          <w:szCs w:val="21"/>
          <w:color w:val="auto"/>
        </w:rPr>
        <w:t xml:space="preserve"> Floor San Jose, CA 95113</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Registration on Form S-8</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28" w:lineRule="exact"/>
        <w:rPr>
          <w:sz w:val="20"/>
          <w:szCs w:val="20"/>
          <w:color w:val="auto"/>
        </w:rPr>
      </w:pPr>
    </w:p>
    <w:p>
      <w:pPr>
        <w:ind w:right="80"/>
        <w:spacing w:after="0" w:line="239" w:lineRule="auto"/>
        <w:rPr>
          <w:sz w:val="20"/>
          <w:szCs w:val="20"/>
          <w:color w:val="auto"/>
        </w:rPr>
      </w:pPr>
      <w:r>
        <w:rPr>
          <w:rFonts w:ascii="Arial" w:cs="Arial" w:eastAsia="Arial" w:hAnsi="Arial"/>
          <w:sz w:val="21"/>
          <w:szCs w:val="21"/>
          <w:color w:val="auto"/>
        </w:rPr>
        <w:t>We have acted as counsel to Zoom Communications,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in connection with the filing by the Company of a registration statement on Form S-8 (the “ </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with the Securities and Exchange Commission (the “</w:t>
      </w:r>
      <w:r>
        <w:rPr>
          <w:rFonts w:ascii="Arial" w:cs="Arial" w:eastAsia="Arial" w:hAnsi="Arial"/>
          <w:sz w:val="21"/>
          <w:szCs w:val="21"/>
          <w:b w:val="1"/>
          <w:bCs w:val="1"/>
          <w:i w:val="1"/>
          <w:iCs w:val="1"/>
          <w:color w:val="auto"/>
        </w:rPr>
        <w:t>Commission</w:t>
      </w:r>
      <w:r>
        <w:rPr>
          <w:rFonts w:ascii="Arial" w:cs="Arial" w:eastAsia="Arial" w:hAnsi="Arial"/>
          <w:sz w:val="21"/>
          <w:szCs w:val="21"/>
          <w:color w:val="auto"/>
        </w:rPr>
        <w:t xml:space="preserve">”) covering the offering of up to </w:t>
      </w:r>
      <w:r>
        <w:rPr>
          <w:rFonts w:ascii="Arial" w:cs="Arial" w:eastAsia="Arial" w:hAnsi="Arial"/>
          <w:sz w:val="17"/>
          <w:szCs w:val="17"/>
          <w:color w:val="auto"/>
        </w:rPr>
        <w:t>17,731,644</w:t>
      </w:r>
    </w:p>
    <w:p>
      <w:pPr>
        <w:spacing w:after="0" w:line="3" w:lineRule="exact"/>
        <w:rPr>
          <w:sz w:val="20"/>
          <w:szCs w:val="20"/>
          <w:color w:val="auto"/>
        </w:rPr>
      </w:pPr>
    </w:p>
    <w:p>
      <w:pPr>
        <w:ind w:right="120"/>
        <w:spacing w:after="0" w:line="241" w:lineRule="auto"/>
        <w:rPr>
          <w:sz w:val="20"/>
          <w:szCs w:val="20"/>
          <w:color w:val="auto"/>
        </w:rPr>
      </w:pPr>
      <w:r>
        <w:rPr>
          <w:rFonts w:ascii="Arial" w:cs="Arial" w:eastAsia="Arial" w:hAnsi="Arial"/>
          <w:sz w:val="21"/>
          <w:szCs w:val="21"/>
          <w:color w:val="auto"/>
        </w:rPr>
        <w:t xml:space="preserve">shares (the “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of the Company’s Class A common stock, par value $0.001 per share (”</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xml:space="preserve">”), consisting of (a) </w:t>
      </w:r>
      <w:r>
        <w:rPr>
          <w:rFonts w:ascii="Arial" w:cs="Arial" w:eastAsia="Arial" w:hAnsi="Arial"/>
          <w:sz w:val="17"/>
          <w:szCs w:val="17"/>
          <w:color w:val="auto"/>
        </w:rPr>
        <w:t>14,776,370</w:t>
      </w:r>
      <w:r>
        <w:rPr>
          <w:rFonts w:ascii="Arial" w:cs="Arial" w:eastAsia="Arial" w:hAnsi="Arial"/>
          <w:sz w:val="21"/>
          <w:szCs w:val="21"/>
          <w:color w:val="auto"/>
        </w:rPr>
        <w:t xml:space="preserve"> shares of Common Stock issuable pursuant to the Company’s 2019 Equity Incentive Plan (the “</w:t>
      </w:r>
      <w:r>
        <w:rPr>
          <w:rFonts w:ascii="Arial" w:cs="Arial" w:eastAsia="Arial" w:hAnsi="Arial"/>
          <w:sz w:val="21"/>
          <w:szCs w:val="21"/>
          <w:b w:val="1"/>
          <w:bCs w:val="1"/>
          <w:i w:val="1"/>
          <w:iCs w:val="1"/>
          <w:color w:val="auto"/>
        </w:rPr>
        <w:t>2019 EIP</w:t>
      </w:r>
      <w:r>
        <w:rPr>
          <w:rFonts w:ascii="Arial" w:cs="Arial" w:eastAsia="Arial" w:hAnsi="Arial"/>
          <w:sz w:val="21"/>
          <w:szCs w:val="21"/>
          <w:color w:val="auto"/>
        </w:rPr>
        <w:t xml:space="preserve">”) and (b) </w:t>
      </w:r>
      <w:r>
        <w:rPr>
          <w:rFonts w:ascii="Arial" w:cs="Arial" w:eastAsia="Arial" w:hAnsi="Arial"/>
          <w:sz w:val="17"/>
          <w:szCs w:val="17"/>
          <w:color w:val="auto"/>
        </w:rPr>
        <w:t>2,955,274</w:t>
      </w:r>
      <w:r>
        <w:rPr>
          <w:rFonts w:ascii="Arial" w:cs="Arial" w:eastAsia="Arial" w:hAnsi="Arial"/>
          <w:sz w:val="21"/>
          <w:szCs w:val="21"/>
          <w:color w:val="auto"/>
        </w:rPr>
        <w:t xml:space="preserve"> shares of Common Stock issuable pursuant to the Company’s 2019 Employee Stock Purchase Plan (together with the 2019 EIP, the “</w:t>
      </w:r>
      <w:r>
        <w:rPr>
          <w:rFonts w:ascii="Arial" w:cs="Arial" w:eastAsia="Arial" w:hAnsi="Arial"/>
          <w:sz w:val="21"/>
          <w:szCs w:val="21"/>
          <w:b w:val="1"/>
          <w:bCs w:val="1"/>
          <w:i w:val="1"/>
          <w:iCs w:val="1"/>
          <w:color w:val="auto"/>
        </w:rPr>
        <w:t>Plans</w:t>
      </w:r>
      <w:r>
        <w:rPr>
          <w:rFonts w:ascii="Arial" w:cs="Arial" w:eastAsia="Arial" w:hAnsi="Arial"/>
          <w:sz w:val="21"/>
          <w:szCs w:val="21"/>
          <w:color w:val="auto"/>
        </w:rPr>
        <w:t>”).</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sz w:val="1"/>
          <w:szCs w:val="1"/>
          <w:color w:val="auto"/>
        </w:rPr>
        <w:drawing>
          <wp:inline distT="0" distB="0" distL="0" distR="0">
            <wp:extent cx="943610" cy="3060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943610" cy="306070"/>
                    </a:xfrm>
                    <a:prstGeom prst="rect">
                      <a:avLst/>
                    </a:prstGeom>
                    <a:noFill/>
                    <a:ln>
                      <a:noFill/>
                    </a:ln>
                  </pic:spPr>
                </pic:pic>
              </a:graphicData>
            </a:graphic>
          </wp:inline>
        </w:drawing>
      </w:r>
      <w:r>
        <w:rPr>
          <w:rFonts w:ascii="Arial" w:cs="Arial" w:eastAsia="Arial" w:hAnsi="Arial"/>
          <w:sz w:val="24"/>
          <w:szCs w:val="24"/>
          <w:color w:val="auto"/>
        </w:rPr>
        <w:t xml:space="preserve"> 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Jon Avina</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Jon Avina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13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1"/>
          <w:szCs w:val="2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0" w:lineRule="exact"/>
        <w:rPr>
          <w:sz w:val="20"/>
          <w:szCs w:val="20"/>
          <w:color w:val="auto"/>
        </w:rPr>
      </w:pPr>
    </w:p>
    <w:p>
      <w:pPr>
        <w:ind w:right="380"/>
        <w:spacing w:after="0" w:line="297" w:lineRule="auto"/>
        <w:rPr>
          <w:sz w:val="20"/>
          <w:szCs w:val="20"/>
          <w:color w:val="auto"/>
        </w:rPr>
      </w:pPr>
      <w:r>
        <w:rPr>
          <w:rFonts w:ascii="Arial" w:cs="Arial" w:eastAsia="Arial" w:hAnsi="Arial"/>
          <w:sz w:val="17"/>
          <w:szCs w:val="17"/>
          <w:color w:val="auto"/>
        </w:rPr>
        <w:t>We consent to the use of our report dated February 27, 2026, with respect to the consolidated financial statements of Zoom Communications, Inc., and the effectiveness of internal control over financial reporting, incorporated herein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sectPr>
      <w:pgSz w:w="11900" w:h="16838" w:orient="portrait"/>
      <w:cols w:equalWidth="0" w:num="1">
        <w:col w:w="11240"/>
      </w:cols>
      <w:pgMar w:left="320" w:top="5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jpeg"/><Relationship Id="rId42" Type="http://schemas.openxmlformats.org/officeDocument/2006/relationships/image" Target="media/image19.jpeg"/><Relationship Id="rId10" Type="http://schemas.openxmlformats.org/officeDocument/2006/relationships/hyperlink" Target="https://www.sec.gov/Archives/edgar/data/1585521/000119312519115105/d724945ds8.htm" TargetMode="External"/><Relationship Id="rId11" Type="http://schemas.openxmlformats.org/officeDocument/2006/relationships/hyperlink" Target="https://www.sec.gov/Archives/edgar/data/1585521/000158552120000096/zm-sx8_2020.htm" TargetMode="External"/><Relationship Id="rId12" Type="http://schemas.openxmlformats.org/officeDocument/2006/relationships/hyperlink" Target="https://www.sec.gov/Archives/edgar/data/1585521/000158552121000050/zm-sx8_2021.htm" TargetMode="External"/><Relationship Id="rId13" Type="http://schemas.openxmlformats.org/officeDocument/2006/relationships/hyperlink" Target="https://www.sec.gov/Archives/edgar/data/1585521/000158552122000040/zm-sx8_2022.htm" TargetMode="External"/><Relationship Id="rId14" Type="http://schemas.openxmlformats.org/officeDocument/2006/relationships/hyperlink" Target="https://www.sec.gov/Archives/edgar/data/1585521/000158552123000037/zm-sx8_2023.htm" TargetMode="External"/><Relationship Id="rId15" Type="http://schemas.openxmlformats.org/officeDocument/2006/relationships/hyperlink" Target="https://www.sec.gov/Archives/edgar/data/1585521/000158552124000032/zm-sx8_2024.htm" TargetMode="External"/><Relationship Id="rId16" Type="http://schemas.openxmlformats.org/officeDocument/2006/relationships/hyperlink" Target="https://www.sec.gov/Archives/edgar/data/1585521/000158552125000044/zm-sx8_2025.htm" TargetMode="External"/><Relationship Id="rId17" Type="http://schemas.openxmlformats.org/officeDocument/2006/relationships/hyperlink" Target="https://www.sec.gov/ix?doc=/Archives/edgar/data/0001585521/000158552126000030/zm-20260131.htm" TargetMode="External"/><Relationship Id="rId18" Type="http://schemas.openxmlformats.org/officeDocument/2006/relationships/hyperlink" Target="https://www.sec.gov/Archives/edgar/data/1585521/000119312519099830/d730043d8a12b.htm" TargetMode="External"/><Relationship Id="rId19" Type="http://schemas.openxmlformats.org/officeDocument/2006/relationships/hyperlink" Target="https://www.sec.gov/Archives/edgar/data/1585521/000158552126000030/ex42_securities.htm" TargetMode="External"/><Relationship Id="rId20" Type="http://schemas.openxmlformats.org/officeDocument/2006/relationships/hyperlink" Target="https://www.sec.gov/Archives/edgar/data/1585521/000119312519115111/d736915dex31.htm" TargetMode="External"/><Relationship Id="rId21" Type="http://schemas.openxmlformats.org/officeDocument/2006/relationships/hyperlink" Target="https://www.sec.gov/Archives/edgar/data/1585521/000158552124000257/certificateofamendmenttoce.htm" TargetMode="External"/><Relationship Id="rId22" Type="http://schemas.openxmlformats.org/officeDocument/2006/relationships/hyperlink" Target="https://www.sec.gov/Archives/edgar/data/1585521/000158552124000257/amendedandrestatedbylaws.htm" TargetMode="External"/><Relationship Id="rId23" Type="http://schemas.openxmlformats.org/officeDocument/2006/relationships/hyperlink" Target="https://www.sec.gov/Archives/edgar/data/1585521/000119312519099813/d642624dex41.htm" TargetMode="External"/><Relationship Id="rId24" Type="http://schemas.openxmlformats.org/officeDocument/2006/relationships/hyperlink" Target="https://www.sec.gov/Archives/edgar/data/1585521/000158552125000042/eip.htm" TargetMode="External"/><Relationship Id="rId25" Type="http://schemas.openxmlformats.org/officeDocument/2006/relationships/hyperlink" Target="https://www.sec.gov/Archives/edgar/data/1585521/000158552125000042/esp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2026-03-02T12:07:25Z</dcterms:created>
  <dcterms:modified xsi:type="dcterms:W3CDTF">2026-03-02T12:07:25Z</dcterms:modified>
</cp:coreProperties>
</file>