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1020" w:right="2020"/>
        <w:spacing w:after="0" w:line="246" w:lineRule="auto"/>
        <w:rPr>
          <w:sz w:val="20"/>
          <w:szCs w:val="20"/>
          <w:color w:val="auto"/>
        </w:rPr>
      </w:pPr>
      <w:r>
        <w:rPr>
          <w:rFonts w:ascii="Arial" w:cs="Arial" w:eastAsia="Arial" w:hAnsi="Arial"/>
          <w:sz w:val="13"/>
          <w:szCs w:val="13"/>
          <w:b w:val="1"/>
          <w:bCs w:val="1"/>
          <w:color w:val="auto"/>
        </w:rPr>
        <w:t>As confidentially submitted to the Securities and Exchange Commission on December 21, 2018.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2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ZOOM VIDEO COMMUNICATIONS, INC.</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91"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7370</w:t>
      </w:r>
    </w:p>
    <w:p>
      <w:pPr>
        <w:spacing w:after="0" w:line="3"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61-1648780</w:t>
      </w:r>
    </w:p>
    <w:p>
      <w:pPr>
        <w:jc w:val="center"/>
        <w:ind w:right="106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91" w:orient="portrait"/>
          <w:cols w:equalWidth="0" w:num="3">
            <w:col w:w="4100" w:space="720"/>
            <w:col w:w="3120" w:space="720"/>
            <w:col w:w="2480"/>
          </w:cols>
          <w:pgMar w:left="320" w:top="230" w:right="439" w:bottom="0" w:gutter="0" w:footer="0" w:header="0"/>
          <w:type w:val="continuous"/>
        </w:sectPr>
      </w:pPr>
    </w:p>
    <w:p>
      <w:pPr>
        <w:spacing w:after="0" w:line="13"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55 Almaden Boulevard, 6</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Floor</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San Jose, California 95113</w:t>
      </w:r>
    </w:p>
    <w:p>
      <w:pPr>
        <w:ind w:left="5180"/>
        <w:spacing w:after="0"/>
        <w:rPr>
          <w:sz w:val="20"/>
          <w:szCs w:val="20"/>
          <w:color w:val="auto"/>
        </w:rPr>
      </w:pPr>
      <w:r>
        <w:rPr>
          <w:rFonts w:ascii="Arial" w:cs="Arial" w:eastAsia="Arial" w:hAnsi="Arial"/>
          <w:sz w:val="14"/>
          <w:szCs w:val="14"/>
          <w:b w:val="1"/>
          <w:bCs w:val="1"/>
          <w:color w:val="auto"/>
        </w:rPr>
        <w:t>(888) 799-9666</w:t>
      </w:r>
    </w:p>
    <w:p>
      <w:pPr>
        <w:sectPr>
          <w:pgSz w:w="11900" w:h="16891" w:orient="portrait"/>
          <w:cols w:equalWidth="0" w:num="1">
            <w:col w:w="11140"/>
          </w:cols>
          <w:pgMar w:left="320" w:top="230" w:right="439" w:bottom="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Eric S. Yuan</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Zoom Video Communications, Inc.</w:t>
      </w:r>
    </w:p>
    <w:p>
      <w:pPr>
        <w:jc w:val="center"/>
        <w:ind w:right="-119"/>
        <w:spacing w:after="0" w:line="222"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19"/>
        <w:spacing w:after="0" w:line="221" w:lineRule="auto"/>
        <w:rPr>
          <w:sz w:val="20"/>
          <w:szCs w:val="20"/>
          <w:color w:val="auto"/>
        </w:rPr>
      </w:pPr>
      <w:r>
        <w:rPr>
          <w:rFonts w:ascii="Arial" w:cs="Arial" w:eastAsia="Arial" w:hAnsi="Arial"/>
          <w:sz w:val="14"/>
          <w:szCs w:val="14"/>
          <w:b w:val="1"/>
          <w:bCs w:val="1"/>
          <w:color w:val="auto"/>
        </w:rPr>
        <w:t>San Jose, California 95113</w:t>
      </w:r>
    </w:p>
    <w:p>
      <w:pPr>
        <w:jc w:val="center"/>
        <w:ind w:right="-119"/>
        <w:spacing w:after="0" w:line="222" w:lineRule="auto"/>
        <w:rPr>
          <w:sz w:val="20"/>
          <w:szCs w:val="20"/>
          <w:color w:val="auto"/>
        </w:rPr>
      </w:pPr>
      <w:r>
        <w:rPr>
          <w:rFonts w:ascii="Arial" w:cs="Arial" w:eastAsia="Arial" w:hAnsi="Arial"/>
          <w:sz w:val="14"/>
          <w:szCs w:val="14"/>
          <w:b w:val="1"/>
          <w:bCs w:val="1"/>
          <w:color w:val="auto"/>
        </w:rPr>
        <w:t>(888) 799-9666</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16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3680" w:type="dxa"/>
            <w:vAlign w:val="bottom"/>
          </w:tcPr>
          <w:p>
            <w:pPr>
              <w:ind w:left="1540"/>
              <w:spacing w:after="0"/>
              <w:rPr>
                <w:sz w:val="20"/>
                <w:szCs w:val="20"/>
                <w:color w:val="auto"/>
              </w:rPr>
            </w:pPr>
            <w:r>
              <w:rPr>
                <w:rFonts w:ascii="Arial" w:cs="Arial" w:eastAsia="Arial" w:hAnsi="Arial"/>
                <w:sz w:val="14"/>
                <w:szCs w:val="14"/>
                <w:b w:val="1"/>
                <w:bCs w:val="1"/>
                <w:i w:val="1"/>
                <w:iCs w:val="1"/>
                <w:color w:val="auto"/>
              </w:rPr>
              <w:t>Copies to:</w:t>
            </w:r>
          </w:p>
        </w:tc>
        <w:tc>
          <w:tcPr>
            <w:tcW w:w="3120" w:type="dxa"/>
            <w:vAlign w:val="bottom"/>
          </w:tcPr>
          <w:p>
            <w:pPr>
              <w:spacing w:after="0"/>
              <w:rPr>
                <w:sz w:val="15"/>
                <w:szCs w:val="15"/>
                <w:color w:val="auto"/>
              </w:rPr>
            </w:pPr>
          </w:p>
        </w:tc>
      </w:tr>
      <w:tr>
        <w:trPr>
          <w:trHeight w:val="354"/>
        </w:trPr>
        <w:tc>
          <w:tcPr>
            <w:tcW w:w="262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Jon C. Avina</w:t>
            </w:r>
          </w:p>
        </w:tc>
        <w:tc>
          <w:tcPr>
            <w:tcW w:w="368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Aparna Bawa</w:t>
            </w:r>
          </w:p>
        </w:tc>
        <w:tc>
          <w:tcPr>
            <w:tcW w:w="3120" w:type="dxa"/>
            <w:vAlign w:val="bottom"/>
          </w:tcPr>
          <w:p>
            <w:pPr>
              <w:jc w:val="center"/>
              <w:ind w:left="628"/>
              <w:spacing w:after="0"/>
              <w:rPr>
                <w:sz w:val="20"/>
                <w:szCs w:val="20"/>
                <w:color w:val="auto"/>
              </w:rPr>
            </w:pPr>
            <w:r>
              <w:rPr>
                <w:rFonts w:ascii="Arial" w:cs="Arial" w:eastAsia="Arial" w:hAnsi="Arial"/>
                <w:sz w:val="14"/>
                <w:szCs w:val="14"/>
                <w:b w:val="1"/>
                <w:bCs w:val="1"/>
                <w:color w:val="auto"/>
                <w:w w:val="94"/>
              </w:rPr>
              <w:t>Allison B. Spinner</w:t>
            </w:r>
          </w:p>
        </w:tc>
      </w:tr>
      <w:tr>
        <w:trPr>
          <w:trHeight w:val="148"/>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Calise Y. Cheng</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General Counsel</w:t>
            </w: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Shannon R. Delahaye</w:t>
            </w:r>
          </w:p>
        </w:tc>
      </w:tr>
      <w:tr>
        <w:trPr>
          <w:trHeight w:val="148"/>
        </w:trPr>
        <w:tc>
          <w:tcPr>
            <w:tcW w:w="262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9"/>
              </w:rPr>
              <w:t>Bradley M. Libuit</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55 Almaden Boulevard, 6</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w:t>
            </w: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Catherine D. Doxsee</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Alex K. Kassai</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San Jose, California 95113</w:t>
            </w: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Wilson Sonsini Goodrich &amp; Rosati, P.C.</w:t>
            </w:r>
          </w:p>
        </w:tc>
      </w:tr>
      <w:tr>
        <w:trPr>
          <w:trHeight w:val="148"/>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6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(888) 799-9666</w:t>
            </w: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6"/>
              </w:rPr>
              <w:t>650 Page Mill Road</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680" w:type="dxa"/>
            <w:vAlign w:val="bottom"/>
          </w:tcPr>
          <w:p>
            <w:pPr>
              <w:spacing w:after="0"/>
              <w:rPr>
                <w:sz w:val="12"/>
                <w:szCs w:val="12"/>
                <w:color w:val="auto"/>
              </w:rPr>
            </w:pP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r>
      <w:tr>
        <w:trPr>
          <w:trHeight w:val="148"/>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80" w:type="dxa"/>
            <w:vAlign w:val="bottom"/>
          </w:tcPr>
          <w:p>
            <w:pPr>
              <w:spacing w:after="0"/>
              <w:rPr>
                <w:sz w:val="12"/>
                <w:szCs w:val="12"/>
                <w:color w:val="auto"/>
              </w:rPr>
            </w:pPr>
          </w:p>
        </w:tc>
        <w:tc>
          <w:tcPr>
            <w:tcW w:w="312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(650) 493-9300</w:t>
            </w:r>
          </w:p>
        </w:tc>
      </w:tr>
      <w:tr>
        <w:trPr>
          <w:trHeight w:val="186"/>
        </w:trPr>
        <w:tc>
          <w:tcPr>
            <w:tcW w:w="262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(650) 843-5000</w:t>
            </w:r>
          </w:p>
        </w:tc>
        <w:tc>
          <w:tcPr>
            <w:tcW w:w="3680" w:type="dxa"/>
            <w:vAlign w:val="bottom"/>
          </w:tcPr>
          <w:p>
            <w:pPr>
              <w:spacing w:after="0"/>
              <w:rPr>
                <w:sz w:val="16"/>
                <w:szCs w:val="16"/>
                <w:color w:val="auto"/>
              </w:rPr>
            </w:pPr>
          </w:p>
        </w:tc>
        <w:tc>
          <w:tcPr>
            <w:tcW w:w="31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08" w:lineRule="exact"/>
        <w:rPr>
          <w:sz w:val="24"/>
          <w:szCs w:val="24"/>
          <w:color w:val="auto"/>
        </w:rPr>
      </w:pPr>
    </w:p>
    <w:p>
      <w:pPr>
        <w:ind w:left="120" w:right="460" w:firstLine="33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420" w:firstLine="33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6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4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140" w:firstLine="33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4" w:lineRule="exact"/>
        <w:rPr>
          <w:sz w:val="24"/>
          <w:szCs w:val="24"/>
          <w:color w:val="auto"/>
        </w:rPr>
      </w:pPr>
    </w:p>
    <w:p>
      <w:pPr>
        <w:jc w:val="both"/>
        <w:ind w:left="120" w:right="40" w:firstLine="33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4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7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Price(1)(2)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$0.001 par value per share</w:t>
            </w:r>
          </w:p>
        </w:tc>
        <w:tc>
          <w:tcPr>
            <w:tcW w:w="1640" w:type="dxa"/>
            <w:vAlign w:val="bottom"/>
            <w:tcBorders>
              <w:bottom w:val="single" w:sz="8" w:color="auto"/>
              <w:right w:val="single" w:sz="8" w:color="auto"/>
            </w:tcBorders>
          </w:tcPr>
          <w:p>
            <w:pPr>
              <w:jc w:val="right"/>
              <w:ind w:right="891"/>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91" w:orient="portrait"/>
          <w:cols w:equalWidth="0" w:num="1">
            <w:col w:w="11140"/>
          </w:cols>
          <w:pgMar w:left="320" w:top="230" w:right="439" w:bottom="0" w:gutter="0" w:footer="0" w:header="0"/>
          <w:type w:val="continuous"/>
        </w:sectPr>
      </w:pPr>
    </w:p>
    <w:bookmarkStart w:id="1" w:name="page2"/>
    <w:bookmarkEnd w:id="1"/>
    <w:p>
      <w:pPr>
        <w:ind w:left="324" w:hanging="324"/>
        <w:spacing w:after="0"/>
        <w:tabs>
          <w:tab w:leader="none" w:pos="324"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324" w:hanging="324"/>
        <w:spacing w:after="0"/>
        <w:tabs>
          <w:tab w:leader="none" w:pos="32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 w:firstLine="33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134"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right="32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820" w:type="dxa"/>
            <w:vAlign w:val="bottom"/>
            <w:gridSpan w:val="2"/>
          </w:tcPr>
          <w:p>
            <w:pPr>
              <w:spacing w:after="0"/>
              <w:rPr>
                <w:sz w:val="20"/>
                <w:szCs w:val="20"/>
                <w:color w:val="auto"/>
              </w:rPr>
            </w:pPr>
            <w:r>
              <w:rPr>
                <w:rFonts w:ascii="Arial" w:cs="Arial" w:eastAsia="Arial" w:hAnsi="Arial"/>
                <w:sz w:val="22"/>
                <w:szCs w:val="22"/>
                <w:i w:val="1"/>
                <w:iCs w:val="1"/>
                <w:color w:val="CC062A"/>
                <w:w w:val="98"/>
              </w:rPr>
              <w:t>PROSPECTUS (Subject to Completion)</w:t>
            </w:r>
          </w:p>
        </w:tc>
        <w:tc>
          <w:tcPr>
            <w:tcW w:w="5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22"/>
                <w:szCs w:val="22"/>
                <w:i w:val="1"/>
                <w:iCs w:val="1"/>
                <w:color w:val="CC062A"/>
              </w:rPr>
              <w:t>Issued</w:t>
            </w:r>
          </w:p>
        </w:tc>
        <w:tc>
          <w:tcPr>
            <w:tcW w:w="2700" w:type="dxa"/>
            <w:vAlign w:val="bottom"/>
          </w:tcPr>
          <w:p>
            <w:pPr>
              <w:jc w:val="right"/>
              <w:ind w:right="1492"/>
              <w:spacing w:after="0"/>
              <w:rPr>
                <w:sz w:val="20"/>
                <w:szCs w:val="20"/>
                <w:color w:val="auto"/>
              </w:rPr>
            </w:pPr>
            <w:r>
              <w:rPr>
                <w:rFonts w:ascii="Arial" w:cs="Arial" w:eastAsia="Arial" w:hAnsi="Arial"/>
                <w:sz w:val="22"/>
                <w:szCs w:val="22"/>
                <w:i w:val="1"/>
                <w:iCs w:val="1"/>
                <w:color w:val="CC062A"/>
              </w:rPr>
              <w:t>, 2019</w:t>
            </w:r>
          </w:p>
        </w:tc>
        <w:tc>
          <w:tcPr>
            <w:tcW w:w="5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666"/>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2"/>
          </w:tcPr>
          <w:p>
            <w:pPr>
              <w:ind w:left="1780"/>
              <w:spacing w:after="0"/>
              <w:rPr>
                <w:sz w:val="20"/>
                <w:szCs w:val="20"/>
                <w:color w:val="auto"/>
              </w:rPr>
            </w:pPr>
            <w:r>
              <w:rPr>
                <w:rFonts w:ascii="Arial" w:cs="Arial" w:eastAsia="Arial" w:hAnsi="Arial"/>
                <w:sz w:val="32"/>
                <w:szCs w:val="32"/>
                <w:i w:val="1"/>
                <w:iCs w:val="1"/>
                <w:color w:val="auto"/>
              </w:rPr>
              <w:t>Shares</w:t>
            </w:r>
          </w:p>
        </w:tc>
      </w:tr>
      <w:tr>
        <w:trPr>
          <w:trHeight w:val="1102"/>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60" w:type="dxa"/>
            <w:vAlign w:val="bottom"/>
            <w:gridSpan w:val="3"/>
          </w:tcPr>
          <w:p>
            <w:pPr>
              <w:ind w:left="420"/>
              <w:spacing w:after="0"/>
              <w:rPr>
                <w:sz w:val="20"/>
                <w:szCs w:val="20"/>
                <w:color w:val="auto"/>
              </w:rPr>
            </w:pPr>
            <w:r>
              <w:rPr>
                <w:rFonts w:ascii="Arial" w:cs="Arial" w:eastAsia="Arial" w:hAnsi="Arial"/>
                <w:sz w:val="22"/>
                <w:szCs w:val="22"/>
                <w:i w:val="1"/>
                <w:iCs w:val="1"/>
                <w:color w:val="auto"/>
              </w:rPr>
              <w:t>CLASS A COMMON STOCK</w:t>
            </w:r>
          </w:p>
        </w:tc>
      </w:tr>
      <w:tr>
        <w:trPr>
          <w:trHeight w:val="341"/>
        </w:trPr>
        <w:tc>
          <w:tcPr>
            <w:tcW w:w="38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320" w:type="dxa"/>
            <w:vAlign w:val="bottom"/>
          </w:tcPr>
          <w:p>
            <w:pPr>
              <w:spacing w:after="0"/>
              <w:rPr>
                <w:sz w:val="24"/>
                <w:szCs w:val="24"/>
                <w:color w:val="auto"/>
              </w:rPr>
            </w:pPr>
          </w:p>
        </w:tc>
      </w:tr>
      <w:tr>
        <w:trPr>
          <w:trHeight w:val="425"/>
        </w:trPr>
        <w:tc>
          <w:tcPr>
            <w:tcW w:w="38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Zoom Video Communications, Inc. is offering</w:t>
            </w:r>
          </w:p>
        </w:tc>
        <w:tc>
          <w:tcPr>
            <w:tcW w:w="6160" w:type="dxa"/>
            <w:vAlign w:val="bottom"/>
            <w:gridSpan w:val="3"/>
          </w:tcPr>
          <w:p>
            <w:pPr>
              <w:ind w:left="380"/>
              <w:spacing w:after="0"/>
              <w:rPr>
                <w:sz w:val="20"/>
                <w:szCs w:val="20"/>
                <w:color w:val="auto"/>
              </w:rPr>
            </w:pPr>
            <w:r>
              <w:rPr>
                <w:rFonts w:ascii="Arial" w:cs="Arial" w:eastAsia="Arial" w:hAnsi="Arial"/>
                <w:sz w:val="18"/>
                <w:szCs w:val="18"/>
                <w:b w:val="1"/>
                <w:bCs w:val="1"/>
                <w:i w:val="1"/>
                <w:iCs w:val="1"/>
                <w:color w:val="auto"/>
                <w:w w:val="85"/>
              </w:rPr>
              <w:t>shares of our Class A common stock, and the selling stockholders are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-1053465</wp:posOffset>
            </wp:positionV>
            <wp:extent cx="144018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325755"/>
                    </a:xfrm>
                    <a:prstGeom prst="rect">
                      <a:avLst/>
                    </a:prstGeom>
                    <a:noFill/>
                  </pic:spPr>
                </pic:pic>
              </a:graphicData>
            </a:graphic>
          </wp:anchor>
        </w:drawing>
      </w:r>
    </w:p>
    <w:p>
      <w:pPr>
        <w:ind w:left="120" w:right="280" w:firstLine="765"/>
        <w:spacing w:after="0" w:line="300" w:lineRule="auto"/>
        <w:rPr>
          <w:sz w:val="20"/>
          <w:szCs w:val="20"/>
          <w:color w:val="auto"/>
        </w:rPr>
      </w:pPr>
      <w:r>
        <w:rPr>
          <w:rFonts w:ascii="Arial" w:cs="Arial" w:eastAsia="Arial" w:hAnsi="Arial"/>
          <w:sz w:val="15"/>
          <w:szCs w:val="15"/>
          <w:b w:val="1"/>
          <w:bCs w:val="1"/>
          <w:i w:val="1"/>
          <w:iCs w:val="1"/>
          <w:color w:val="auto"/>
        </w:rPr>
        <w:t>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w:t>
      </w:r>
    </w:p>
    <w:p>
      <w:pPr>
        <w:spacing w:after="0" w:line="1" w:lineRule="exact"/>
        <w:rPr>
          <w:sz w:val="20"/>
          <w:szCs w:val="20"/>
          <w:color w:val="auto"/>
        </w:rPr>
      </w:pPr>
    </w:p>
    <w:p>
      <w:pPr>
        <w:ind w:left="120"/>
        <w:spacing w:after="0"/>
        <w:tabs>
          <w:tab w:leader="none" w:pos="1240" w:val="left"/>
          <w:tab w:leader="none" w:pos="2060" w:val="left"/>
        </w:tabs>
        <w:rPr>
          <w:sz w:val="20"/>
          <w:szCs w:val="20"/>
          <w:color w:val="auto"/>
        </w:rPr>
      </w:pPr>
      <w:r>
        <w:rPr>
          <w:rFonts w:ascii="Arial" w:cs="Arial" w:eastAsia="Arial" w:hAnsi="Arial"/>
          <w:sz w:val="18"/>
          <w:szCs w:val="18"/>
          <w:b w:val="1"/>
          <w:bCs w:val="1"/>
          <w:i w:val="1"/>
          <w:iCs w:val="1"/>
          <w:color w:val="auto"/>
        </w:rPr>
        <w:t>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11" w:lineRule="exact"/>
        <w:rPr>
          <w:sz w:val="20"/>
          <w:szCs w:val="20"/>
          <w:color w:val="auto"/>
        </w:rPr>
      </w:pPr>
    </w:p>
    <w:p>
      <w:pPr>
        <w:jc w:val="both"/>
        <w:ind w:left="120" w:right="160"/>
        <w:spacing w:after="0" w:line="307" w:lineRule="auto"/>
        <w:rPr>
          <w:sz w:val="20"/>
          <w:szCs w:val="20"/>
          <w:color w:val="auto"/>
        </w:rPr>
      </w:pPr>
      <w:r>
        <w:rPr>
          <w:rFonts w:ascii="Arial" w:cs="Arial" w:eastAsia="Arial" w:hAnsi="Arial"/>
          <w:sz w:val="15"/>
          <w:szCs w:val="15"/>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ind w:left="120" w:right="140"/>
        <w:spacing w:after="0" w:line="260" w:lineRule="auto"/>
        <w:rPr>
          <w:sz w:val="20"/>
          <w:szCs w:val="20"/>
          <w:color w:val="auto"/>
        </w:rPr>
      </w:pPr>
      <w:r>
        <w:rPr>
          <w:rFonts w:ascii="Arial" w:cs="Arial" w:eastAsia="Arial" w:hAnsi="Arial"/>
          <w:sz w:val="18"/>
          <w:szCs w:val="18"/>
          <w:b w:val="1"/>
          <w:bCs w:val="1"/>
          <w:i w:val="1"/>
          <w:iCs w:val="1"/>
          <w:color w:val="auto"/>
        </w:rPr>
        <w:t>Outstanding shares of Class B common stock will represent approximately % of the voting power of our outstanding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4980" w:val="left"/>
          <w:tab w:leader="none" w:pos="7120" w:val="left"/>
        </w:tabs>
        <w:rPr>
          <w:sz w:val="20"/>
          <w:szCs w:val="20"/>
          <w:color w:val="auto"/>
        </w:rPr>
      </w:pPr>
      <w:r>
        <w:rPr>
          <w:rFonts w:ascii="Arial" w:cs="Arial" w:eastAsia="Arial" w:hAnsi="Arial"/>
          <w:sz w:val="18"/>
          <w:szCs w:val="18"/>
          <w:b w:val="1"/>
          <w:bCs w:val="1"/>
          <w:i w:val="1"/>
          <w:iCs w:val="1"/>
          <w:color w:val="auto"/>
        </w:rPr>
        <w:t>We intend to apply to list our Class A common stock on</w:t>
      </w:r>
      <w:r>
        <w:rPr>
          <w:sz w:val="20"/>
          <w:szCs w:val="20"/>
          <w:color w:val="auto"/>
        </w:rPr>
        <w:tab/>
      </w:r>
      <w:r>
        <w:rPr>
          <w:rFonts w:ascii="Arial" w:cs="Arial" w:eastAsia="Arial" w:hAnsi="Arial"/>
          <w:sz w:val="18"/>
          <w:szCs w:val="18"/>
          <w:b w:val="1"/>
          <w:bCs w:val="1"/>
          <w:i w:val="1"/>
          <w:iCs w:val="1"/>
          <w:color w:val="auto"/>
        </w:rPr>
        <w:t>under the symbol “</w:t>
      </w:r>
      <w:r>
        <w:rPr>
          <w:sz w:val="20"/>
          <w:szCs w:val="20"/>
          <w:color w:val="auto"/>
        </w:rPr>
        <w:tab/>
      </w:r>
      <w:r>
        <w:rPr>
          <w:rFonts w:ascii="Arial" w:cs="Arial" w:eastAsia="Arial" w:hAnsi="Arial"/>
          <w:sz w:val="15"/>
          <w:szCs w:val="15"/>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20" w:right="50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Class A common stock involves risks. See “</w:t>
      </w:r>
      <w:hyperlink w:anchor="page1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940" w:type="dxa"/>
            <w:vAlign w:val="bottom"/>
          </w:tcPr>
          <w:p>
            <w:pPr>
              <w:ind w:left="280"/>
              <w:spacing w:after="0"/>
              <w:rPr>
                <w:sz w:val="20"/>
                <w:szCs w:val="20"/>
                <w:color w:val="auto"/>
              </w:rPr>
            </w:pPr>
            <w:r>
              <w:rPr>
                <w:rFonts w:ascii="Arial" w:cs="Arial" w:eastAsia="Arial" w:hAnsi="Arial"/>
                <w:sz w:val="18"/>
                <w:szCs w:val="18"/>
                <w:i w:val="1"/>
                <w:iCs w:val="1"/>
                <w:color w:val="auto"/>
                <w:w w:val="91"/>
              </w:rPr>
              <w:t>PRICE $</w:t>
            </w:r>
          </w:p>
        </w:tc>
        <w:tc>
          <w:tcPr>
            <w:tcW w:w="1380" w:type="dxa"/>
            <w:vAlign w:val="bottom"/>
          </w:tcPr>
          <w:p>
            <w:pPr>
              <w:ind w:left="400"/>
              <w:spacing w:after="0"/>
              <w:rPr>
                <w:sz w:val="20"/>
                <w:szCs w:val="20"/>
                <w:color w:val="auto"/>
              </w:rPr>
            </w:pPr>
            <w:r>
              <w:rPr>
                <w:rFonts w:ascii="Arial" w:cs="Arial" w:eastAsia="Arial" w:hAnsi="Arial"/>
                <w:sz w:val="18"/>
                <w:szCs w:val="18"/>
                <w:i w:val="1"/>
                <w:iCs w:val="1"/>
                <w:color w:val="auto"/>
              </w:rPr>
              <w:t>A SHARE</w:t>
            </w:r>
          </w:p>
        </w:tc>
        <w:tc>
          <w:tcPr>
            <w:tcW w:w="1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20" w:type="dxa"/>
            <w:vAlign w:val="bottom"/>
            <w:vMerge w:val="restart"/>
          </w:tcPr>
          <w:p>
            <w:pPr>
              <w:jc w:val="center"/>
              <w:ind w:right="308"/>
              <w:spacing w:after="0"/>
              <w:rPr>
                <w:sz w:val="20"/>
                <w:szCs w:val="20"/>
                <w:color w:val="auto"/>
              </w:rPr>
            </w:pPr>
            <w:r>
              <w:rPr>
                <w:rFonts w:ascii="Arial" w:cs="Arial" w:eastAsia="Arial" w:hAnsi="Arial"/>
                <w:sz w:val="14"/>
                <w:szCs w:val="14"/>
                <w:b w:val="1"/>
                <w:bCs w:val="1"/>
                <w:i w:val="1"/>
                <w:iCs w:val="1"/>
                <w:color w:val="auto"/>
                <w:w w:val="92"/>
              </w:rPr>
              <w:t>Underwriting</w:t>
            </w:r>
          </w:p>
        </w:tc>
        <w:tc>
          <w:tcPr>
            <w:tcW w:w="1560" w:type="dxa"/>
            <w:vAlign w:val="bottom"/>
          </w:tcPr>
          <w:p>
            <w:pPr>
              <w:spacing w:after="0"/>
              <w:rPr>
                <w:sz w:val="24"/>
                <w:szCs w:val="24"/>
                <w:color w:val="auto"/>
              </w:rPr>
            </w:pPr>
          </w:p>
        </w:tc>
        <w:tc>
          <w:tcPr>
            <w:tcW w:w="1220" w:type="dxa"/>
            <w:vAlign w:val="bottom"/>
            <w:vMerge w:val="restart"/>
          </w:tcPr>
          <w:p>
            <w:pPr>
              <w:jc w:val="center"/>
              <w:ind w:left="388"/>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380" w:type="dxa"/>
            <w:vAlign w:val="bottom"/>
          </w:tcPr>
          <w:p>
            <w:pPr>
              <w:jc w:val="center"/>
              <w:ind w:right="842"/>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4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i w:val="1"/>
                <w:iCs w:val="1"/>
                <w:color w:val="auto"/>
                <w:w w:val="89"/>
              </w:rPr>
              <w:t>Discounts and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1220" w:type="dxa"/>
            <w:vAlign w:val="bottom"/>
          </w:tcPr>
          <w:p>
            <w:pPr>
              <w:jc w:val="center"/>
              <w:ind w:left="388"/>
              <w:spacing w:after="0" w:line="149" w:lineRule="exact"/>
              <w:rPr>
                <w:sz w:val="20"/>
                <w:szCs w:val="20"/>
                <w:color w:val="auto"/>
              </w:rPr>
            </w:pPr>
            <w:r>
              <w:rPr>
                <w:rFonts w:ascii="Arial" w:cs="Arial" w:eastAsia="Arial" w:hAnsi="Arial"/>
                <w:sz w:val="14"/>
                <w:szCs w:val="14"/>
                <w:b w:val="1"/>
                <w:bCs w:val="1"/>
                <w:i w:val="1"/>
                <w:iCs w:val="1"/>
                <w:color w:val="auto"/>
                <w:w w:val="87"/>
              </w:rPr>
              <w:t>Selling</w:t>
            </w: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380" w:type="dxa"/>
            <w:vAlign w:val="bottom"/>
          </w:tcPr>
          <w:p>
            <w:pPr>
              <w:jc w:val="center"/>
              <w:ind w:right="842"/>
              <w:spacing w:after="0"/>
              <w:rPr>
                <w:sz w:val="20"/>
                <w:szCs w:val="20"/>
                <w:color w:val="auto"/>
              </w:rPr>
            </w:pPr>
            <w:r>
              <w:rPr>
                <w:rFonts w:ascii="Arial" w:cs="Arial" w:eastAsia="Arial" w:hAnsi="Arial"/>
                <w:sz w:val="14"/>
                <w:szCs w:val="14"/>
                <w:b w:val="1"/>
                <w:bCs w:val="1"/>
                <w:i w:val="1"/>
                <w:iCs w:val="1"/>
                <w:color w:val="auto"/>
                <w:w w:val="90"/>
              </w:rPr>
              <w:t>Public</w:t>
            </w:r>
          </w:p>
        </w:tc>
        <w:tc>
          <w:tcPr>
            <w:tcW w:w="1420" w:type="dxa"/>
            <w:vAlign w:val="bottom"/>
          </w:tcPr>
          <w:p>
            <w:pPr>
              <w:jc w:val="center"/>
              <w:ind w:right="328"/>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Zoom</w:t>
            </w:r>
          </w:p>
        </w:tc>
        <w:tc>
          <w:tcPr>
            <w:tcW w:w="1220" w:type="dxa"/>
            <w:vAlign w:val="bottom"/>
          </w:tcPr>
          <w:p>
            <w:pPr>
              <w:jc w:val="center"/>
              <w:ind w:left="388"/>
              <w:spacing w:after="0"/>
              <w:rPr>
                <w:sz w:val="20"/>
                <w:szCs w:val="20"/>
                <w:color w:val="auto"/>
              </w:rPr>
            </w:pPr>
            <w:r>
              <w:rPr>
                <w:rFonts w:ascii="Arial" w:cs="Arial" w:eastAsia="Arial" w:hAnsi="Arial"/>
                <w:sz w:val="14"/>
                <w:szCs w:val="14"/>
                <w:b w:val="1"/>
                <w:bCs w:val="1"/>
                <w:i w:val="1"/>
                <w:iCs w:val="1"/>
                <w:u w:val="single" w:color="auto"/>
                <w:color w:val="auto"/>
                <w:w w:val="85"/>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0</wp:posOffset>
            </wp:positionV>
            <wp:extent cx="4368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i w:val="1"/>
                <w:iCs w:val="1"/>
                <w:color w:val="auto"/>
              </w:rPr>
              <w:t>Per Share</w:t>
            </w:r>
          </w:p>
        </w:tc>
        <w:tc>
          <w:tcPr>
            <w:tcW w:w="2340" w:type="dxa"/>
            <w:vAlign w:val="bottom"/>
          </w:tcPr>
          <w:p>
            <w:pPr>
              <w:spacing w:after="0"/>
              <w:rPr>
                <w:sz w:val="16"/>
                <w:szCs w:val="16"/>
                <w:color w:val="auto"/>
              </w:rPr>
            </w:pPr>
          </w:p>
        </w:tc>
        <w:tc>
          <w:tcPr>
            <w:tcW w:w="46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i w:val="1"/>
                <w:iCs w:val="1"/>
                <w:color w:val="auto"/>
              </w:rPr>
              <w:t>$</w:t>
            </w:r>
          </w:p>
        </w:tc>
        <w:tc>
          <w:tcPr>
            <w:tcW w:w="960" w:type="dxa"/>
            <w:vAlign w:val="bottom"/>
          </w:tcPr>
          <w:p>
            <w:pPr>
              <w:spacing w:after="0"/>
              <w:rPr>
                <w:sz w:val="16"/>
                <w:szCs w:val="16"/>
                <w:color w:val="auto"/>
              </w:rPr>
            </w:pPr>
          </w:p>
        </w:tc>
        <w:tc>
          <w:tcPr>
            <w:tcW w:w="96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i w:val="1"/>
                <w:iCs w:val="1"/>
                <w:color w:val="auto"/>
              </w:rPr>
              <w:t>$</w:t>
            </w:r>
          </w:p>
        </w:tc>
      </w:tr>
      <w:tr>
        <w:trPr>
          <w:trHeight w:val="230"/>
        </w:trPr>
        <w:tc>
          <w:tcPr>
            <w:tcW w:w="294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2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60" w:type="dxa"/>
            <w:vAlign w:val="bottom"/>
          </w:tcPr>
          <w:p>
            <w:pPr>
              <w:spacing w:after="0"/>
              <w:rPr>
                <w:sz w:val="20"/>
                <w:szCs w:val="20"/>
                <w:color w:val="auto"/>
              </w:rPr>
            </w:pPr>
          </w:p>
        </w:tc>
        <w:tc>
          <w:tcPr>
            <w:tcW w:w="1920" w:type="dxa"/>
            <w:vAlign w:val="bottom"/>
            <w:gridSpan w:val="2"/>
          </w:tcPr>
          <w:p>
            <w:pPr>
              <w:jc w:val="right"/>
              <w:ind w:right="610"/>
              <w:spacing w:after="0"/>
              <w:rPr>
                <w:sz w:val="20"/>
                <w:szCs w:val="20"/>
                <w:color w:val="auto"/>
              </w:rPr>
            </w:pPr>
            <w:r>
              <w:rPr>
                <w:rFonts w:ascii="Arial" w:cs="Arial" w:eastAsia="Arial" w:hAnsi="Arial"/>
                <w:sz w:val="18"/>
                <w:szCs w:val="18"/>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the section titled “Underwriters” for a description of the compensation payable to the underwriters.</w:t>
      </w:r>
    </w:p>
    <w:p>
      <w:pPr>
        <w:spacing w:after="0" w:line="20" w:lineRule="exact"/>
        <w:rPr>
          <w:sz w:val="20"/>
          <w:szCs w:val="20"/>
          <w:color w:val="auto"/>
        </w:rPr>
      </w:pPr>
      <w:r>
        <w:rPr>
          <w:sz w:val="20"/>
          <w:szCs w:val="20"/>
          <w:color w:val="auto"/>
        </w:rPr>
        <w:br w:type="column"/>
      </w:r>
    </w:p>
    <w:p>
      <w:pPr>
        <w:ind w:left="180"/>
        <w:spacing w:after="0"/>
        <w:tabs>
          <w:tab w:leader="none" w:pos="1800" w:val="left"/>
        </w:tabs>
        <w:rPr>
          <w:sz w:val="20"/>
          <w:szCs w:val="20"/>
          <w:color w:val="auto"/>
        </w:rPr>
      </w:pPr>
      <w:r>
        <w:rPr>
          <w:rFonts w:ascii="Arial" w:cs="Arial" w:eastAsia="Arial" w:hAnsi="Arial"/>
          <w:sz w:val="13"/>
          <w:szCs w:val="13"/>
          <w:i w:val="1"/>
          <w:iCs w:val="1"/>
          <w:color w:val="auto"/>
        </w:rPr>
        <w:t>$</w:t>
      </w:r>
      <w:r>
        <w:rPr>
          <w:sz w:val="20"/>
          <w:szCs w:val="20"/>
          <w:color w:val="auto"/>
        </w:rPr>
        <w:tab/>
      </w:r>
      <w:r>
        <w:rPr>
          <w:rFonts w:ascii="Arial" w:cs="Arial" w:eastAsia="Arial" w:hAnsi="Arial"/>
          <w:sz w:val="13"/>
          <w:szCs w:val="13"/>
          <w:i w:val="1"/>
          <w:iCs w:val="1"/>
          <w:color w:val="auto"/>
        </w:rPr>
        <w:t>$</w:t>
      </w:r>
    </w:p>
    <w:p>
      <w:pPr>
        <w:spacing w:after="0" w:line="8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p>
    <w:p>
      <w:pPr>
        <w:spacing w:after="0" w:line="567" w:lineRule="exact"/>
        <w:rPr>
          <w:sz w:val="20"/>
          <w:szCs w:val="20"/>
          <w:color w:val="auto"/>
        </w:rPr>
      </w:pPr>
    </w:p>
    <w:p>
      <w:pPr>
        <w:sectPr>
          <w:pgSz w:w="11900" w:h="16838" w:orient="portrait"/>
          <w:cols w:equalWidth="0" w:num="2">
            <w:col w:w="8060" w:space="560"/>
            <w:col w:w="2520"/>
          </w:cols>
          <w:pgMar w:left="320" w:top="459" w:right="439" w:bottom="1440" w:gutter="0" w:footer="0" w:header="0"/>
          <w:type w:val="continuous"/>
        </w:sectPr>
      </w:pPr>
    </w:p>
    <w:p>
      <w:pPr>
        <w:spacing w:after="0" w:line="48"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18"/>
          <w:szCs w:val="18"/>
          <w:i w:val="1"/>
          <w:iCs w:val="1"/>
          <w:color w:val="auto"/>
        </w:rPr>
        <w:t>We and the selling stockholders have granted the underwriters the right to purchase up to an additional</w:t>
      </w:r>
      <w:r>
        <w:rPr>
          <w:sz w:val="20"/>
          <w:szCs w:val="20"/>
          <w:color w:val="auto"/>
        </w:rPr>
        <w:tab/>
      </w:r>
      <w:r>
        <w:rPr>
          <w:rFonts w:ascii="Arial" w:cs="Arial" w:eastAsia="Arial" w:hAnsi="Arial"/>
          <w:sz w:val="15"/>
          <w:szCs w:val="15"/>
          <w:i w:val="1"/>
          <w:iCs w:val="1"/>
          <w:color w:val="auto"/>
        </w:rPr>
        <w:t>shares of Class A common stock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 overallotments, if any.</w:t>
      </w:r>
    </w:p>
    <w:p>
      <w:pPr>
        <w:spacing w:after="0" w:line="21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gridSpan w:val="3"/>
          </w:tcPr>
          <w:p>
            <w:pPr>
              <w:spacing w:after="0"/>
              <w:rPr>
                <w:sz w:val="20"/>
                <w:szCs w:val="20"/>
                <w:color w:val="auto"/>
              </w:rPr>
            </w:pPr>
            <w:r>
              <w:rPr>
                <w:rFonts w:ascii="Arial" w:cs="Arial" w:eastAsia="Arial" w:hAnsi="Arial"/>
                <w:sz w:val="18"/>
                <w:szCs w:val="18"/>
                <w:i w:val="1"/>
                <w:iCs w:val="1"/>
                <w:color w:val="auto"/>
                <w:w w:val="89"/>
              </w:rPr>
              <w:t>The underwriters expect to deliver the shares of Class A common stock to purchasers on</w:t>
            </w:r>
          </w:p>
        </w:tc>
        <w:tc>
          <w:tcPr>
            <w:tcW w:w="182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 2019.</w:t>
            </w: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51"/>
        </w:trPr>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r>
      <w:tr>
        <w:trPr>
          <w:trHeight w:val="493"/>
        </w:trPr>
        <w:tc>
          <w:tcPr>
            <w:tcW w:w="2200" w:type="dxa"/>
            <w:vAlign w:val="bottom"/>
          </w:tcPr>
          <w:p>
            <w:pPr>
              <w:spacing w:after="0"/>
              <w:rPr>
                <w:sz w:val="20"/>
                <w:szCs w:val="20"/>
                <w:color w:val="auto"/>
              </w:rPr>
            </w:pPr>
            <w:r>
              <w:rPr>
                <w:rFonts w:ascii="Arial" w:cs="Arial" w:eastAsia="Arial" w:hAnsi="Arial"/>
                <w:sz w:val="18"/>
                <w:szCs w:val="18"/>
                <w:i w:val="1"/>
                <w:iCs w:val="1"/>
                <w:color w:val="auto"/>
              </w:rPr>
              <w:t>MORGAN STANLEY</w:t>
            </w:r>
          </w:p>
        </w:tc>
        <w:tc>
          <w:tcPr>
            <w:tcW w:w="4160" w:type="dxa"/>
            <w:vAlign w:val="bottom"/>
            <w:gridSpan w:val="2"/>
          </w:tcPr>
          <w:p>
            <w:pPr>
              <w:ind w:left="920"/>
              <w:spacing w:after="0"/>
              <w:rPr>
                <w:sz w:val="20"/>
                <w:szCs w:val="20"/>
                <w:color w:val="auto"/>
              </w:rPr>
            </w:pPr>
            <w:r>
              <w:rPr>
                <w:rFonts w:ascii="Arial" w:cs="Arial" w:eastAsia="Arial" w:hAnsi="Arial"/>
                <w:sz w:val="18"/>
                <w:szCs w:val="18"/>
                <w:i w:val="1"/>
                <w:iCs w:val="1"/>
                <w:color w:val="auto"/>
              </w:rPr>
              <w:t>J.P. MORGAN</w:t>
            </w:r>
          </w:p>
        </w:tc>
        <w:tc>
          <w:tcPr>
            <w:tcW w:w="2680" w:type="dxa"/>
            <w:vAlign w:val="bottom"/>
            <w:gridSpan w:val="3"/>
          </w:tcPr>
          <w:p>
            <w:pPr>
              <w:jc w:val="center"/>
              <w:ind w:right="268"/>
              <w:spacing w:after="0"/>
              <w:rPr>
                <w:sz w:val="20"/>
                <w:szCs w:val="20"/>
                <w:color w:val="auto"/>
              </w:rPr>
            </w:pPr>
            <w:r>
              <w:rPr>
                <w:rFonts w:ascii="Arial" w:cs="Arial" w:eastAsia="Arial" w:hAnsi="Arial"/>
                <w:sz w:val="18"/>
                <w:szCs w:val="18"/>
                <w:i w:val="1"/>
                <w:iCs w:val="1"/>
                <w:color w:val="auto"/>
                <w:w w:val="93"/>
              </w:rPr>
              <w:t>GOLDMAN SACHS &amp; CO. LLC</w:t>
            </w:r>
          </w:p>
        </w:tc>
        <w:tc>
          <w:tcPr>
            <w:tcW w:w="1980" w:type="dxa"/>
            <w:vAlign w:val="bottom"/>
          </w:tcPr>
          <w:p>
            <w:pPr>
              <w:jc w:val="right"/>
              <w:spacing w:after="0"/>
              <w:rPr>
                <w:sz w:val="20"/>
                <w:szCs w:val="20"/>
                <w:color w:val="auto"/>
              </w:rPr>
            </w:pPr>
            <w:r>
              <w:rPr>
                <w:rFonts w:ascii="Arial" w:cs="Arial" w:eastAsia="Arial" w:hAnsi="Arial"/>
                <w:sz w:val="18"/>
                <w:szCs w:val="18"/>
                <w:i w:val="1"/>
                <w:iCs w:val="1"/>
                <w:color w:val="auto"/>
              </w:rPr>
              <w:t>CREDIT SUISSE</w:t>
            </w:r>
          </w:p>
        </w:tc>
      </w:tr>
      <w:tr>
        <w:trPr>
          <w:trHeight w:val="318"/>
        </w:trPr>
        <w:tc>
          <w:tcPr>
            <w:tcW w:w="2200" w:type="dxa"/>
            <w:vAlign w:val="bottom"/>
          </w:tcPr>
          <w:p>
            <w:pPr>
              <w:spacing w:after="0"/>
              <w:rPr>
                <w:sz w:val="20"/>
                <w:szCs w:val="20"/>
                <w:color w:val="auto"/>
              </w:rPr>
            </w:pPr>
            <w:r>
              <w:rPr>
                <w:rFonts w:ascii="Arial" w:cs="Arial" w:eastAsia="Arial" w:hAnsi="Arial"/>
                <w:sz w:val="16"/>
                <w:szCs w:val="16"/>
                <w:i w:val="1"/>
                <w:iCs w:val="1"/>
                <w:color w:val="auto"/>
              </w:rPr>
              <w:t>BofA MERRILL LYNCH</w:t>
            </w:r>
          </w:p>
        </w:tc>
        <w:tc>
          <w:tcPr>
            <w:tcW w:w="4160" w:type="dxa"/>
            <w:vAlign w:val="bottom"/>
            <w:gridSpan w:val="2"/>
          </w:tcPr>
          <w:p>
            <w:pPr>
              <w:ind w:left="2120"/>
              <w:spacing w:after="0"/>
              <w:rPr>
                <w:sz w:val="20"/>
                <w:szCs w:val="20"/>
                <w:color w:val="auto"/>
              </w:rPr>
            </w:pPr>
            <w:r>
              <w:rPr>
                <w:rFonts w:ascii="Arial" w:cs="Arial" w:eastAsia="Arial" w:hAnsi="Arial"/>
                <w:sz w:val="16"/>
                <w:szCs w:val="16"/>
                <w:i w:val="1"/>
                <w:iCs w:val="1"/>
                <w:color w:val="auto"/>
              </w:rPr>
              <w:t>RBC CAPITAL MARKETS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6"/>
                <w:szCs w:val="16"/>
                <w:i w:val="1"/>
                <w:iCs w:val="1"/>
                <w:color w:val="auto"/>
                <w:w w:val="90"/>
              </w:rPr>
              <w:t>WELLS FARGO SECURITIES</w:t>
            </w:r>
          </w:p>
        </w:tc>
      </w:tr>
      <w:tr>
        <w:trPr>
          <w:trHeight w:val="291"/>
        </w:trPr>
        <w:tc>
          <w:tcPr>
            <w:tcW w:w="2200" w:type="dxa"/>
            <w:vAlign w:val="bottom"/>
          </w:tcPr>
          <w:p>
            <w:pPr>
              <w:spacing w:after="0"/>
              <w:rPr>
                <w:sz w:val="20"/>
                <w:szCs w:val="20"/>
                <w:color w:val="auto"/>
              </w:rPr>
            </w:pPr>
            <w:r>
              <w:rPr>
                <w:rFonts w:ascii="Arial" w:cs="Arial" w:eastAsia="Arial" w:hAnsi="Arial"/>
                <w:sz w:val="14"/>
                <w:szCs w:val="14"/>
                <w:i w:val="1"/>
                <w:iCs w:val="1"/>
                <w:color w:val="auto"/>
              </w:rPr>
              <w:t>JMP SECURITIES</w:t>
            </w:r>
          </w:p>
        </w:tc>
        <w:tc>
          <w:tcPr>
            <w:tcW w:w="4160" w:type="dxa"/>
            <w:vAlign w:val="bottom"/>
            <w:gridSpan w:val="2"/>
          </w:tcPr>
          <w:p>
            <w:pPr>
              <w:ind w:left="620"/>
              <w:spacing w:after="0"/>
              <w:rPr>
                <w:sz w:val="20"/>
                <w:szCs w:val="20"/>
                <w:color w:val="auto"/>
              </w:rPr>
            </w:pPr>
            <w:r>
              <w:rPr>
                <w:rFonts w:ascii="Arial" w:cs="Arial" w:eastAsia="Arial" w:hAnsi="Arial"/>
                <w:sz w:val="14"/>
                <w:szCs w:val="14"/>
                <w:i w:val="1"/>
                <w:iCs w:val="1"/>
                <w:color w:val="auto"/>
              </w:rPr>
              <w:t>KEYBANC CAPITAL MARKETS</w:t>
            </w:r>
          </w:p>
        </w:tc>
        <w:tc>
          <w:tcPr>
            <w:tcW w:w="30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Arial" w:cs="Arial" w:eastAsia="Arial" w:hAnsi="Arial"/>
                <w:sz w:val="14"/>
                <w:szCs w:val="14"/>
                <w:i w:val="1"/>
                <w:iCs w:val="1"/>
                <w:color w:val="auto"/>
              </w:rPr>
              <w:t>PIPER JAFFRAY</w:t>
            </w:r>
          </w:p>
        </w:tc>
        <w:tc>
          <w:tcPr>
            <w:tcW w:w="860" w:type="dxa"/>
            <w:vAlign w:val="bottom"/>
          </w:tcPr>
          <w:p>
            <w:pPr>
              <w:ind w:left="400"/>
              <w:spacing w:after="0"/>
              <w:rPr>
                <w:sz w:val="20"/>
                <w:szCs w:val="20"/>
                <w:color w:val="auto"/>
              </w:rPr>
            </w:pPr>
            <w:r>
              <w:rPr>
                <w:rFonts w:ascii="Arial" w:cs="Arial" w:eastAsia="Arial" w:hAnsi="Arial"/>
                <w:sz w:val="14"/>
                <w:szCs w:val="14"/>
                <w:i w:val="1"/>
                <w:iCs w:val="1"/>
                <w:color w:val="auto"/>
                <w:w w:val="92"/>
              </w:rPr>
              <w:t>STIFEL</w:t>
            </w:r>
          </w:p>
        </w:tc>
        <w:tc>
          <w:tcPr>
            <w:tcW w:w="198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bl>
    <w:p>
      <w:pPr>
        <w:spacing w:after="0" w:line="187"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1020"/>
        <w:spacing w:after="0"/>
        <w:rPr>
          <w:sz w:val="20"/>
          <w:szCs w:val="20"/>
          <w:color w:val="auto"/>
        </w:rPr>
      </w:pPr>
      <w:r>
        <w:rPr>
          <w:rFonts w:ascii="Arial" w:cs="Arial" w:eastAsia="Arial" w:hAnsi="Arial"/>
          <w:sz w:val="15"/>
          <w:szCs w:val="15"/>
          <w:i w:val="1"/>
          <w:iCs w:val="1"/>
          <w:color w:val="auto"/>
        </w:rPr>
        <w:t>, 2019</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TABLE OF CONTENTS</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100"/>
          </w:cols>
          <w:pgMar w:left="320" w:top="459" w:right="479" w:bottom="1440" w:gutter="0" w:footer="0" w:header="0"/>
        </w:sect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gridSpan w:val="19"/>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 LETTER FROM ERIC S. YUAN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92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23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8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SPECIAL NOTE REGARDING FORWARD-LOOKING</w:t>
              </w:r>
            </w:hyperlink>
          </w:p>
        </w:tc>
        <w:tc>
          <w:tcPr>
            <w:tcW w:w="7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STATEMENTS</w:t>
              </w:r>
            </w:hyperlink>
          </w:p>
        </w:tc>
        <w:tc>
          <w:tcPr>
            <w:tcW w:w="360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92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MARKET AND INDUSTRY DATA</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USE OF PROCEEDS</w:t>
              </w:r>
            </w:hyperlink>
          </w:p>
        </w:tc>
        <w:tc>
          <w:tcPr>
            <w:tcW w:w="1040" w:type="dxa"/>
            <w:vAlign w:val="bottom"/>
            <w:tcBorders>
              <w:top w:val="single" w:sz="8" w:color="0000EE"/>
            </w:tcBorders>
            <w:gridSpan w:val="4"/>
          </w:tcPr>
          <w:p>
            <w:pPr>
              <w:spacing w:after="0"/>
              <w:rPr>
                <w:sz w:val="17"/>
                <w:szCs w:val="17"/>
                <w:color w:val="auto"/>
              </w:rPr>
            </w:pPr>
          </w:p>
        </w:tc>
        <w:tc>
          <w:tcPr>
            <w:tcW w:w="22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DIVIDEND POLICY</w:t>
              </w:r>
            </w:hyperlink>
          </w:p>
        </w:tc>
        <w:tc>
          <w:tcPr>
            <w:tcW w:w="33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CAPITALIZATION</w:t>
              </w:r>
            </w:hyperlink>
          </w:p>
        </w:tc>
        <w:tc>
          <w:tcPr>
            <w:tcW w:w="34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DILUTION</w:t>
              </w:r>
            </w:hyperlink>
          </w:p>
        </w:tc>
        <w:tc>
          <w:tcPr>
            <w:tcW w:w="40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SELECTED CONSOLIDATED FINANCIAL DATA</w:t>
              </w:r>
            </w:hyperlink>
          </w:p>
        </w:tc>
        <w:tc>
          <w:tcPr>
            <w:tcW w:w="10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MANAGEMENT’S DISCUSSION AND ANALYSIS OF</w:t>
              </w:r>
            </w:hyperlink>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FINANCIAL CONDITION AND RESULTS OF</w:t>
              </w:r>
            </w:hyperlink>
          </w:p>
        </w:tc>
        <w:tc>
          <w:tcPr>
            <w:tcW w:w="120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OPERATIONS</w:t>
              </w:r>
            </w:hyperlink>
          </w:p>
        </w:tc>
        <w:tc>
          <w:tcPr>
            <w:tcW w:w="36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BUSINESS</w:t>
              </w:r>
            </w:hyperlink>
          </w:p>
        </w:tc>
        <w:tc>
          <w:tcPr>
            <w:tcW w:w="40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88">
              <w:r>
                <w:rPr>
                  <w:rFonts w:ascii="Arial" w:cs="Arial" w:eastAsia="Arial" w:hAnsi="Arial"/>
                  <w:sz w:val="18"/>
                  <w:szCs w:val="18"/>
                  <w:color w:val="0000EE"/>
                  <w:w w:val="99"/>
                </w:rPr>
                <w:t>MANAGEMENT</w:t>
              </w:r>
            </w:hyperlink>
          </w:p>
        </w:tc>
        <w:tc>
          <w:tcPr>
            <w:tcW w:w="36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4920" w:type="dxa"/>
            <w:vAlign w:val="bottom"/>
            <w:gridSpan w:val="1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60" w:type="dxa"/>
            <w:vAlign w:val="bottom"/>
            <w:gridSpan w:val="12"/>
            <w:vMerge w:val="restart"/>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CERTAIN RELATIONSHIPS AND RELATED PARTY</w:t>
              </w:r>
            </w:hyperlink>
          </w:p>
        </w:tc>
        <w:tc>
          <w:tcPr>
            <w:tcW w:w="960" w:type="dxa"/>
            <w:vAlign w:val="bottom"/>
            <w:gridSpan w:val="3"/>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060" w:type="dxa"/>
            <w:vAlign w:val="bottom"/>
            <w:tcBorders>
              <w:bottom w:val="single" w:sz="8" w:color="0000EE"/>
            </w:tcBorders>
            <w:gridSpan w:val="1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PRINCIPAL AND SELLING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DESCRIPTION OF CAPITAL STOCK</w:t>
              </w:r>
            </w:hyperlink>
          </w:p>
        </w:tc>
        <w:tc>
          <w:tcPr>
            <w:tcW w:w="14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16">
              <w:r>
                <w:rPr>
                  <w:rFonts w:ascii="Arial" w:cs="Arial" w:eastAsia="Arial" w:hAnsi="Arial"/>
                  <w:sz w:val="18"/>
                  <w:szCs w:val="18"/>
                  <w:color w:val="0000EE"/>
                  <w:w w:val="95"/>
                </w:rPr>
                <w:t>SHARES ELIGIBLE FOR FUTURE SALE</w:t>
              </w:r>
            </w:hyperlink>
          </w:p>
        </w:tc>
        <w:tc>
          <w:tcPr>
            <w:tcW w:w="18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MATERIAL U.S. FEDERAL INCOME TAX</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CONSEQUENCES TO NON-U.S. HOLDERS OF OUR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CLASS A COMMON STOCK</w:t>
              </w:r>
            </w:hyperlink>
          </w:p>
        </w:tc>
        <w:tc>
          <w:tcPr>
            <w:tcW w:w="7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UNDERWRITERS</w:t>
              </w:r>
            </w:hyperlink>
          </w:p>
        </w:tc>
        <w:tc>
          <w:tcPr>
            <w:tcW w:w="3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32">
              <w:r>
                <w:rPr>
                  <w:rFonts w:ascii="Arial" w:cs="Arial" w:eastAsia="Arial" w:hAnsi="Arial"/>
                  <w:sz w:val="18"/>
                  <w:szCs w:val="18"/>
                  <w:color w:val="0000EE"/>
                  <w:w w:val="96"/>
                </w:rPr>
                <w:t>LEGAL MATTERS</w:t>
              </w:r>
            </w:hyperlink>
          </w:p>
        </w:tc>
        <w:tc>
          <w:tcPr>
            <w:tcW w:w="3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WHERE YOU CAN FIND MORE INFORMATION</w:t>
              </w:r>
            </w:hyperlink>
          </w:p>
        </w:tc>
        <w:tc>
          <w:tcPr>
            <w:tcW w:w="12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891540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5340" w:space="400"/>
            <w:col w:w="5360"/>
          </w:cols>
          <w:pgMar w:left="320" w:top="459" w:right="4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91"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LETTER FROM ERIC S. YUAN</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Thank you for reading our prospectus and considering an investment in Zoom. As the founder and CEO of Zoom, it is my privilege to share with you what we’re all about.</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Life is about the pursuit of happiness. The greatest, most sustainable happiness comes from making others happy. Delivering happiness is what we do at Zoom.</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65" w:lineRule="exact"/>
        <w:rPr>
          <w:sz w:val="20"/>
          <w:szCs w:val="20"/>
          <w:color w:val="auto"/>
        </w:rPr>
      </w:pPr>
    </w:p>
    <w:p>
      <w:pPr>
        <w:jc w:val="both"/>
        <w:ind w:left="120" w:right="200"/>
        <w:spacing w:after="0" w:line="301" w:lineRule="auto"/>
        <w:rPr>
          <w:sz w:val="20"/>
          <w:szCs w:val="20"/>
          <w:color w:val="auto"/>
        </w:rPr>
      </w:pPr>
      <w:r>
        <w:rPr>
          <w:rFonts w:ascii="Arial" w:cs="Arial" w:eastAsia="Arial" w:hAnsi="Arial"/>
          <w:sz w:val="16"/>
          <w:szCs w:val="16"/>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5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Happiness delivers results. In 2018, our average customer Net Promoter Score has been over 70, demonstrating that our high-quality, easy-to-use platform is making customers happy. We have consistently earned high scores across customer review sites, including Gartner Peer Insights. And let’s not forget our employees. Zoom has received multiple awards from Glassdoor based on high ratings and reviews from our employees.</w:t>
      </w:r>
    </w:p>
    <w:p>
      <w:pPr>
        <w:spacing w:after="0" w:line="14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care deeply for our community, our customers, our team and our company. And today, we want to add you to that list.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019810"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20" w:firstLine="426"/>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users across disparate devices and locations in a single meeting.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64"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7"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9"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jc w:val="both"/>
        <w:ind w:left="300" w:right="280" w:firstLine="426"/>
        <w:spacing w:after="0" w:line="263"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 frictionless communications experience. Many customers also choose to implement Zoom Rooms, our software-based conference room system, which enables users to easily experience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342" w:lineRule="auto"/>
        <w:rPr>
          <w:sz w:val="20"/>
          <w:szCs w:val="20"/>
          <w:color w:val="auto"/>
        </w:rPr>
      </w:pPr>
      <w:r>
        <w:rPr>
          <w:rFonts w:ascii="Arial" w:cs="Arial" w:eastAsia="Arial" w:hAnsi="Arial"/>
          <w:sz w:val="16"/>
          <w:szCs w:val="16"/>
          <w:color w:val="auto"/>
        </w:rPr>
        <w:t>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2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The happiness we bring is recognized by customers and industry analysts alike. In 2018, our average customer Net Promoter Score (NPS) has been over 70. Gartner has named Zoom a Leader in its Magic Quadrant for Meeting Solutions based on our “ability to execute” and “completeness of vision.” Zoom also has consistently high scores across customer review sites, including Gartner Peer Insights. We have been recognized as a 2018 Gartner Peer Insights Customers’ Choice for Meeting Solutions (Web Conferencing).</w:t>
      </w:r>
    </w:p>
    <w:p>
      <w:pPr>
        <w:spacing w:after="0" w:line="171"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6"/>
          <w:szCs w:val="16"/>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w:t>
      </w:r>
    </w:p>
    <w:p>
      <w:pPr>
        <w:spacing w:after="0" w:line="1" w:lineRule="exact"/>
        <w:rPr>
          <w:sz w:val="20"/>
          <w:szCs w:val="20"/>
          <w:color w:val="auto"/>
        </w:rPr>
      </w:pPr>
    </w:p>
    <w:p>
      <w:pPr>
        <w:ind w:left="300"/>
        <w:spacing w:after="0"/>
        <w:tabs>
          <w:tab w:leader="none" w:pos="7960" w:val="left"/>
        </w:tabs>
        <w:rPr>
          <w:sz w:val="20"/>
          <w:szCs w:val="20"/>
          <w:color w:val="auto"/>
        </w:rPr>
      </w:pPr>
      <w:r>
        <w:rPr>
          <w:rFonts w:ascii="Arial" w:cs="Arial" w:eastAsia="Arial" w:hAnsi="Arial"/>
          <w:sz w:val="18"/>
          <w:szCs w:val="18"/>
          <w:color w:val="auto"/>
        </w:rPr>
        <w:t>to efficiently turn a single non-paying user into a full enterprise deployment. As of January 31, 2019,</w:t>
      </w:r>
      <w:r>
        <w:rPr>
          <w:sz w:val="20"/>
          <w:szCs w:val="20"/>
          <w:color w:val="auto"/>
        </w:rPr>
        <w:tab/>
      </w:r>
      <w:r>
        <w:rPr>
          <w:rFonts w:ascii="Arial" w:cs="Arial" w:eastAsia="Arial" w:hAnsi="Arial"/>
          <w:sz w:val="16"/>
          <w:szCs w:val="16"/>
          <w:color w:val="auto"/>
        </w:rPr>
        <w:t>% of our customers in the past 12</w:t>
      </w:r>
    </w:p>
    <w:p>
      <w:pPr>
        <w:spacing w:after="0" w:line="9" w:lineRule="exact"/>
        <w:rPr>
          <w:sz w:val="20"/>
          <w:szCs w:val="20"/>
          <w:color w:val="auto"/>
        </w:rPr>
      </w:pPr>
    </w:p>
    <w:p>
      <w:pPr>
        <w:ind w:left="300"/>
        <w:spacing w:after="0"/>
        <w:tabs>
          <w:tab w:leader="none" w:pos="2480" w:val="left"/>
        </w:tabs>
        <w:rPr>
          <w:sz w:val="20"/>
          <w:szCs w:val="20"/>
          <w:color w:val="auto"/>
        </w:rPr>
      </w:pPr>
      <w:r>
        <w:rPr>
          <w:rFonts w:ascii="Arial" w:cs="Arial" w:eastAsia="Arial" w:hAnsi="Arial"/>
          <w:sz w:val="18"/>
          <w:szCs w:val="18"/>
          <w:color w:val="auto"/>
        </w:rPr>
        <w:t>months with more than $</w:t>
      </w:r>
      <w:r>
        <w:rPr>
          <w:sz w:val="20"/>
          <w:szCs w:val="20"/>
          <w:color w:val="auto"/>
        </w:rPr>
        <w:tab/>
      </w:r>
      <w:r>
        <w:rPr>
          <w:rFonts w:ascii="Arial" w:cs="Arial" w:eastAsia="Arial" w:hAnsi="Arial"/>
          <w:sz w:val="16"/>
          <w:szCs w:val="16"/>
          <w:color w:val="auto"/>
        </w:rPr>
        <w:t>of annual recurring revenue (ARR) started with at least one free host prior to subscribing.</w:t>
      </w:r>
    </w:p>
    <w:p>
      <w:pPr>
        <w:spacing w:after="0" w:line="211"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spacing w:after="0" w:line="2" w:lineRule="exact"/>
        <w:rPr>
          <w:sz w:val="20"/>
          <w:szCs w:val="20"/>
          <w:color w:val="auto"/>
        </w:rPr>
      </w:pPr>
    </w:p>
    <w:p>
      <w:pPr>
        <w:jc w:val="both"/>
        <w:ind w:left="300" w:right="20"/>
        <w:spacing w:after="0" w:line="255" w:lineRule="auto"/>
        <w:rPr>
          <w:sz w:val="20"/>
          <w:szCs w:val="20"/>
          <w:color w:val="auto"/>
        </w:rPr>
      </w:pPr>
      <w:r>
        <w:rPr>
          <w:rFonts w:ascii="Arial" w:cs="Arial" w:eastAsia="Arial" w:hAnsi="Arial"/>
          <w:sz w:val="18"/>
          <w:szCs w:val="18"/>
          <w:color w:val="auto"/>
        </w:rPr>
        <w:t>$60.8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jc w:val="both"/>
        <w:ind w:left="300" w:right="340" w:firstLine="426"/>
        <w:spacing w:after="0" w:line="263" w:lineRule="auto"/>
        <w:rPr>
          <w:sz w:val="20"/>
          <w:szCs w:val="20"/>
          <w:color w:val="auto"/>
        </w:rPr>
      </w:pPr>
      <w:r>
        <w:rPr>
          <w:rFonts w:ascii="Arial" w:cs="Arial" w:eastAsia="Arial" w:hAnsi="Arial"/>
          <w:sz w:val="18"/>
          <w:szCs w:val="18"/>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300" w:right="740" w:firstLine="426"/>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120" w:right="40" w:hanging="403"/>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w:t>
      </w:r>
    </w:p>
    <w:p>
      <w:pPr>
        <w:spacing w:after="0" w:line="89" w:lineRule="exact"/>
        <w:rPr>
          <w:rFonts w:ascii="Arial" w:cs="Arial" w:eastAsia="Arial" w:hAnsi="Arial"/>
          <w:sz w:val="18"/>
          <w:szCs w:val="18"/>
          <w:color w:val="auto"/>
        </w:rPr>
      </w:pPr>
    </w:p>
    <w:p>
      <w:pPr>
        <w:ind w:left="1120" w:right="20" w:hanging="403"/>
        <w:spacing w:after="0" w:line="25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Organizations seek to drive deeper engagement with employees, customers and partners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 derive more personal satisfaction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hanging="403"/>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2" w:lineRule="exact"/>
        <w:rPr>
          <w:rFonts w:ascii="Arial" w:cs="Arial" w:eastAsia="Arial" w:hAnsi="Arial"/>
          <w:sz w:val="18"/>
          <w:szCs w:val="18"/>
          <w:color w:val="auto"/>
        </w:rPr>
      </w:pPr>
    </w:p>
    <w:p>
      <w:pPr>
        <w:jc w:val="both"/>
        <w:ind w:left="1120" w:right="80" w:hanging="403"/>
        <w:spacing w:after="0" w:line="263"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latest technologies from their personal lives to their jobs. Employees often expect to seamlessly communicate on any device and across mediums and, as a result, are increasingly influencing IT decisions.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ind w:left="1120" w:right="200" w:hanging="403"/>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Reliable, high-quality communications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have a significant need for a platform that reliably delivers high-quality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voice, even with varying levels of network performance.</w:t>
      </w:r>
    </w:p>
    <w:p>
      <w:pPr>
        <w:spacing w:after="0" w:line="75" w:lineRule="exact"/>
        <w:rPr>
          <w:rFonts w:ascii="Arial" w:cs="Arial" w:eastAsia="Arial" w:hAnsi="Arial"/>
          <w:sz w:val="18"/>
          <w:szCs w:val="18"/>
          <w:color w:val="auto"/>
        </w:rPr>
      </w:pPr>
    </w:p>
    <w:p>
      <w:pPr>
        <w:jc w:val="both"/>
        <w:ind w:left="1120" w:right="680" w:hanging="403"/>
        <w:spacing w:after="0" w:line="342"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drive broad adoption, a platform’s user interface must be intuitive and easily navigable. In addition, users want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that have feature parity across devices and seamlessly integrate with their calendars, contacts and overall workflows.</w:t>
      </w:r>
    </w:p>
    <w:p>
      <w:pPr>
        <w:spacing w:after="0" w:line="29" w:lineRule="exact"/>
        <w:rPr>
          <w:rFonts w:ascii="Arial" w:cs="Arial" w:eastAsia="Arial" w:hAnsi="Arial"/>
          <w:sz w:val="16"/>
          <w:szCs w:val="16"/>
          <w:color w:val="auto"/>
        </w:rPr>
      </w:pPr>
    </w:p>
    <w:p>
      <w:pPr>
        <w:ind w:left="1120" w:right="140" w:hanging="403"/>
        <w:spacing w:after="0" w:line="342"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deploy and manage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want a single platform that is easy to deploy, leverages existing network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conference room hardware and is simple to manage at scale through an intuitive administrative console and reporting system.</w:t>
      </w:r>
    </w:p>
    <w:p>
      <w:pPr>
        <w:spacing w:after="0" w:line="29" w:lineRule="exact"/>
        <w:rPr>
          <w:rFonts w:ascii="Arial" w:cs="Arial" w:eastAsia="Arial" w:hAnsi="Arial"/>
          <w:sz w:val="16"/>
          <w:szCs w:val="16"/>
          <w:color w:val="auto"/>
        </w:rPr>
      </w:pPr>
    </w:p>
    <w:p>
      <w:pPr>
        <w:ind w:left="1120" w:right="20" w:hanging="403"/>
        <w:spacing w:after="0" w:line="26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not only reduces the costs of proprietary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investments but also provides other opportunities for further cost savings, such as reducing unnecessary and expensive business travel.</w:t>
      </w:r>
    </w:p>
    <w:p>
      <w:pPr>
        <w:spacing w:after="0" w:line="89" w:lineRule="exact"/>
        <w:rPr>
          <w:rFonts w:ascii="Arial" w:cs="Arial" w:eastAsia="Arial" w:hAnsi="Arial"/>
          <w:sz w:val="18"/>
          <w:szCs w:val="18"/>
          <w:color w:val="auto"/>
        </w:rPr>
      </w:pPr>
    </w:p>
    <w:p>
      <w:pPr>
        <w:ind w:left="1120" w:hanging="40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42" w:lineRule="exact"/>
        <w:rPr>
          <w:rFonts w:ascii="Arial" w:cs="Arial" w:eastAsia="Arial" w:hAnsi="Arial"/>
          <w:sz w:val="17"/>
          <w:szCs w:val="17"/>
          <w:color w:val="auto"/>
        </w:rPr>
      </w:pPr>
    </w:p>
    <w:p>
      <w:pPr>
        <w:ind w:left="1120" w:hanging="40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42" w:lineRule="exact"/>
        <w:rPr>
          <w:rFonts w:ascii="Arial" w:cs="Arial" w:eastAsia="Arial" w:hAnsi="Arial"/>
          <w:sz w:val="17"/>
          <w:szCs w:val="17"/>
          <w:color w:val="auto"/>
        </w:rPr>
      </w:pPr>
    </w:p>
    <w:p>
      <w:pPr>
        <w:ind w:left="1120" w:hanging="40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jc w:val="both"/>
        <w:ind w:left="300" w:right="280" w:firstLine="426"/>
        <w:spacing w:after="0" w:line="311"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120" w:right="160" w:hanging="403"/>
        <w:spacing w:after="0" w:line="286"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communications experience across devices even with varying bandwidths and network performance. In fact, our platform can continue to deliver a productive meeting experience even with up to 40% packet loss.</w:t>
      </w:r>
    </w:p>
    <w:p>
      <w:pPr>
        <w:spacing w:after="0" w:line="70" w:lineRule="exact"/>
        <w:rPr>
          <w:rFonts w:ascii="Arial" w:cs="Arial" w:eastAsia="Arial" w:hAnsi="Arial"/>
          <w:sz w:val="17"/>
          <w:szCs w:val="17"/>
          <w:color w:val="auto"/>
        </w:rPr>
      </w:pPr>
    </w:p>
    <w:p>
      <w:pPr>
        <w:ind w:left="1120" w:right="160" w:hanging="403"/>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first time users. We enable calendar integration, easy synchronization with conference room equipment and feature parity across devices.</w:t>
      </w:r>
    </w:p>
    <w:p>
      <w:pPr>
        <w:spacing w:after="0" w:line="89" w:lineRule="exact"/>
        <w:rPr>
          <w:rFonts w:ascii="Arial" w:cs="Arial" w:eastAsia="Arial" w:hAnsi="Arial"/>
          <w:sz w:val="18"/>
          <w:szCs w:val="18"/>
          <w:color w:val="auto"/>
        </w:rPr>
      </w:pPr>
    </w:p>
    <w:p>
      <w:pPr>
        <w:ind w:left="1120" w:right="340" w:hanging="403"/>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when integrating with existing infrastructure. Our platform removes the need for the integration of disparate communications tools, product-specific knowledge and high-touch user support and troubleshooting.</w:t>
      </w:r>
    </w:p>
    <w:p>
      <w:pPr>
        <w:spacing w:after="0" w:line="85" w:lineRule="exact"/>
        <w:rPr>
          <w:rFonts w:ascii="Arial" w:cs="Arial" w:eastAsia="Arial" w:hAnsi="Arial"/>
          <w:sz w:val="18"/>
          <w:szCs w:val="18"/>
          <w:color w:val="auto"/>
        </w:rPr>
      </w:pPr>
    </w:p>
    <w:p>
      <w:pPr>
        <w:jc w:val="both"/>
        <w:ind w:left="1120" w:right="140" w:hanging="403"/>
        <w:spacing w:after="0" w:line="266"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drives higher employee engagement and improved collaboration, resulting 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productivity. Switching to our platform also reduces the costs associated with expensive on-premises infrastructure and continual maintenance.</w:t>
      </w:r>
    </w:p>
    <w:p>
      <w:pPr>
        <w:spacing w:after="0" w:line="85" w:lineRule="exact"/>
        <w:rPr>
          <w:rFonts w:ascii="Arial" w:cs="Arial" w:eastAsia="Arial" w:hAnsi="Arial"/>
          <w:sz w:val="18"/>
          <w:szCs w:val="18"/>
          <w:color w:val="auto"/>
        </w:rPr>
      </w:pPr>
    </w:p>
    <w:p>
      <w:pPr>
        <w:ind w:left="1120" w:right="100" w:hanging="403"/>
        <w:spacing w:after="0" w:line="342"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w:t>
      </w:r>
    </w:p>
    <w:p>
      <w:pPr>
        <w:spacing w:after="0" w:line="29" w:lineRule="exact"/>
        <w:rPr>
          <w:rFonts w:ascii="Arial" w:cs="Arial" w:eastAsia="Arial" w:hAnsi="Arial"/>
          <w:sz w:val="16"/>
          <w:szCs w:val="16"/>
          <w:color w:val="auto"/>
        </w:rPr>
      </w:pPr>
    </w:p>
    <w:p>
      <w:pPr>
        <w:ind w:left="1120" w:right="140" w:hanging="403"/>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platform integrates with cloud software applications provided by companies such as Atlassian, Dropbox, Google,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LinkedIn, Microsoft, salesforce.com, Slack and others. We also have an ecosystem of hardware partners through which we deploy our Zoom Rooms and Conference Room Connector offerings.</w:t>
      </w:r>
    </w:p>
    <w:p>
      <w:pPr>
        <w:spacing w:after="0" w:line="89" w:lineRule="exact"/>
        <w:rPr>
          <w:rFonts w:ascii="Arial" w:cs="Arial" w:eastAsia="Arial" w:hAnsi="Arial"/>
          <w:sz w:val="18"/>
          <w:szCs w:val="18"/>
          <w:color w:val="auto"/>
        </w:rPr>
      </w:pPr>
    </w:p>
    <w:p>
      <w:pPr>
        <w:ind w:left="1120" w:right="760" w:hanging="403"/>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Customers can subscribe to our communications platform based on the number of hosts that they require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month-to-month basis or purchase one- to multi-year subscriptions.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competitive strengths include:</w:t>
      </w:r>
    </w:p>
    <w:p>
      <w:pPr>
        <w:spacing w:after="0" w:line="116" w:lineRule="exact"/>
        <w:rPr>
          <w:sz w:val="20"/>
          <w:szCs w:val="20"/>
          <w:color w:val="auto"/>
        </w:rPr>
      </w:pPr>
    </w:p>
    <w:p>
      <w:pPr>
        <w:ind w:left="1120" w:right="40" w:hanging="403"/>
        <w:spacing w:after="0" w:line="311"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Video-first cloud architecture. </w:t>
      </w:r>
      <w:r>
        <w:rPr>
          <w:rFonts w:ascii="Arial" w:cs="Arial" w:eastAsia="Arial" w:hAnsi="Arial"/>
          <w:sz w:val="16"/>
          <w:szCs w:val="16"/>
          <w:color w:val="auto"/>
        </w:rPr>
        <w:t>We built our platform from the ground up to be cloud-native and video-first, unlike other approaches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54" w:lineRule="exact"/>
        <w:rPr>
          <w:rFonts w:ascii="Arial" w:cs="Arial" w:eastAsia="Arial" w:hAnsi="Arial"/>
          <w:sz w:val="16"/>
          <w:szCs w:val="16"/>
          <w:color w:val="auto"/>
        </w:rPr>
      </w:pPr>
    </w:p>
    <w:p>
      <w:pPr>
        <w:ind w:left="1120" w:hanging="403"/>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w:t>
      </w:r>
    </w:p>
    <w:p>
      <w:pPr>
        <w:spacing w:after="0" w:line="130" w:lineRule="exact"/>
        <w:rPr>
          <w:rFonts w:ascii="Arial" w:cs="Arial" w:eastAsia="Arial" w:hAnsi="Arial"/>
          <w:sz w:val="18"/>
          <w:szCs w:val="18"/>
          <w:color w:val="auto"/>
        </w:rPr>
      </w:pPr>
    </w:p>
    <w:p>
      <w:pPr>
        <w:ind w:left="1120" w:right="340" w:hanging="403"/>
        <w:spacing w:after="0" w:line="286"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0" w:lineRule="exact"/>
        <w:rPr>
          <w:rFonts w:ascii="Arial" w:cs="Arial" w:eastAsia="Arial" w:hAnsi="Arial"/>
          <w:sz w:val="17"/>
          <w:szCs w:val="17"/>
          <w:color w:val="auto"/>
        </w:rPr>
      </w:pPr>
    </w:p>
    <w:p>
      <w:pPr>
        <w:ind w:left="1120" w:hanging="403"/>
        <w:spacing w:after="0" w:line="26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NPS, which on average has been over 70 in 2018, demonstrates that our high-quality, easy-to-use platform is making customers happy.</w:t>
      </w:r>
    </w:p>
    <w:p>
      <w:pPr>
        <w:spacing w:after="0" w:line="89" w:lineRule="exact"/>
        <w:rPr>
          <w:rFonts w:ascii="Arial" w:cs="Arial" w:eastAsia="Arial" w:hAnsi="Arial"/>
          <w:sz w:val="18"/>
          <w:szCs w:val="18"/>
          <w:color w:val="auto"/>
        </w:rPr>
      </w:pPr>
    </w:p>
    <w:p>
      <w:pPr>
        <w:ind w:left="1120" w:right="62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with optimal routes-to-market that match the size of the customer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40" w:right="380"/>
        <w:spacing w:after="0" w:line="277" w:lineRule="auto"/>
        <w:rPr>
          <w:sz w:val="20"/>
          <w:szCs w:val="20"/>
          <w:color w:val="auto"/>
        </w:rPr>
      </w:pPr>
      <w:r>
        <w:rPr>
          <w:rFonts w:ascii="Arial" w:cs="Arial" w:eastAsia="Arial" w:hAnsi="Arial"/>
          <w:sz w:val="18"/>
          <w:szCs w:val="18"/>
          <w:color w:val="auto"/>
        </w:rPr>
        <w:t>opportunity. Our direct sales force and strategic partners sell to customers of all sizes, and we leverage our online sales channel for smaller customers.</w:t>
      </w:r>
    </w:p>
    <w:p>
      <w:pPr>
        <w:spacing w:after="0" w:line="76" w:lineRule="exact"/>
        <w:rPr>
          <w:sz w:val="20"/>
          <w:szCs w:val="20"/>
          <w:color w:val="auto"/>
        </w:rPr>
      </w:pPr>
    </w:p>
    <w:p>
      <w:pPr>
        <w:ind w:left="1120" w:right="200" w:hanging="403"/>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Robust customer support and success function. </w:t>
      </w:r>
      <w:r>
        <w:rPr>
          <w:rFonts w:ascii="Arial" w:cs="Arial" w:eastAsia="Arial" w:hAnsi="Arial"/>
          <w:sz w:val="17"/>
          <w:szCs w:val="17"/>
          <w:color w:val="auto"/>
        </w:rPr>
        <w:t>We offer 24/7/365 support through live chat, phone and video. For the 90-day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October 31, 2018, our customer support team had a customer satisfaction score (CSAT) of over 90%.</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Vision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our existing customers happy;</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drive new customer acquisition;</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within existing customers;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innovate our platform continuously;</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accelerate international expansion; and</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titled “Risk Factors” immediately following this prospectus summary. These risks include, among others:</w:t>
      </w:r>
    </w:p>
    <w:p>
      <w:pPr>
        <w:spacing w:after="0" w:line="76" w:lineRule="exact"/>
        <w:rPr>
          <w:sz w:val="20"/>
          <w:szCs w:val="20"/>
          <w:color w:val="auto"/>
        </w:rPr>
      </w:pPr>
    </w:p>
    <w:p>
      <w:pPr>
        <w:ind w:left="1120" w:right="120" w:hanging="403"/>
        <w:spacing w:after="0" w:line="34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auto"/>
        </w:rPr>
      </w:pPr>
    </w:p>
    <w:p>
      <w:pPr>
        <w:ind w:left="1120" w:hanging="40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130" w:lineRule="exact"/>
        <w:rPr>
          <w:rFonts w:ascii="Arial" w:cs="Arial" w:eastAsia="Arial" w:hAnsi="Arial"/>
          <w:sz w:val="18"/>
          <w:szCs w:val="18"/>
          <w:color w:val="auto"/>
        </w:rPr>
      </w:pPr>
    </w:p>
    <w:p>
      <w:pPr>
        <w:ind w:left="1120" w:right="40" w:hanging="403"/>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would impair the delivery of our services, require us to issue credits or pay penalties and harm our business;</w:t>
      </w:r>
    </w:p>
    <w:p>
      <w:pPr>
        <w:spacing w:after="0" w:line="75" w:lineRule="exact"/>
        <w:rPr>
          <w:rFonts w:ascii="Arial" w:cs="Arial" w:eastAsia="Arial" w:hAnsi="Arial"/>
          <w:sz w:val="18"/>
          <w:szCs w:val="18"/>
          <w:color w:val="auto"/>
        </w:rPr>
      </w:pPr>
    </w:p>
    <w:p>
      <w:pPr>
        <w:ind w:left="1120" w:right="380" w:hanging="403"/>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9" w:lineRule="exact"/>
        <w:rPr>
          <w:rFonts w:ascii="Arial" w:cs="Arial" w:eastAsia="Arial" w:hAnsi="Arial"/>
          <w:sz w:val="18"/>
          <w:szCs w:val="18"/>
          <w:color w:val="auto"/>
        </w:rPr>
      </w:pPr>
    </w:p>
    <w:p>
      <w:pPr>
        <w:ind w:left="1120" w:hanging="403"/>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auto"/>
        </w:rPr>
      </w:pPr>
    </w:p>
    <w:p>
      <w:pPr>
        <w:ind w:left="1120" w:right="300" w:hanging="403"/>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auto"/>
        </w:rPr>
      </w:pPr>
    </w:p>
    <w:p>
      <w:pPr>
        <w:ind w:left="1120" w:right="280" w:hanging="403"/>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9" w:lineRule="exact"/>
        <w:rPr>
          <w:rFonts w:ascii="Arial" w:cs="Arial" w:eastAsia="Arial" w:hAnsi="Arial"/>
          <w:sz w:val="18"/>
          <w:szCs w:val="18"/>
          <w:color w:val="auto"/>
        </w:rPr>
      </w:pPr>
    </w:p>
    <w:p>
      <w:pPr>
        <w:ind w:left="1120" w:hanging="40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 and</w:t>
      </w:r>
    </w:p>
    <w:p>
      <w:pPr>
        <w:spacing w:after="0" w:line="130" w:lineRule="exact"/>
        <w:rPr>
          <w:rFonts w:ascii="Arial" w:cs="Arial" w:eastAsia="Arial" w:hAnsi="Arial"/>
          <w:sz w:val="18"/>
          <w:szCs w:val="18"/>
          <w:color w:val="auto"/>
        </w:rPr>
      </w:pPr>
    </w:p>
    <w:p>
      <w:pPr>
        <w:ind w:left="1120" w:right="360" w:hanging="403"/>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 San Jose, California 95113. Our telephone number is (888) 799-9666. Our website address is https://zoom.us. Information contained on, or that can be accessed through, our website is not incorporated by reference into this prospectus, and you should not consider information on our website to be part of this prospectus.</w:t>
      </w:r>
    </w:p>
    <w:p>
      <w:pPr>
        <w:spacing w:after="0" w:line="176"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1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01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120" w:right="20" w:hanging="403"/>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 (the Sarbanes-Oxley Act);</w:t>
      </w:r>
    </w:p>
    <w:p>
      <w:pPr>
        <w:spacing w:after="0" w:line="75" w:lineRule="exact"/>
        <w:rPr>
          <w:rFonts w:ascii="Arial" w:cs="Arial" w:eastAsia="Arial" w:hAnsi="Arial"/>
          <w:sz w:val="18"/>
          <w:szCs w:val="18"/>
          <w:color w:val="auto"/>
        </w:rPr>
      </w:pPr>
    </w:p>
    <w:p>
      <w:pPr>
        <w:ind w:left="1120" w:right="100" w:hanging="403"/>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120" w:right="620" w:hanging="403"/>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spacing w:after="0" w:line="2" w:lineRule="exact"/>
        <w:rPr>
          <w:sz w:val="20"/>
          <w:szCs w:val="20"/>
          <w:color w:val="auto"/>
        </w:rPr>
      </w:pPr>
    </w:p>
    <w:p>
      <w:pPr>
        <w:ind w:left="300" w:right="40" w:hanging="2"/>
        <w:spacing w:after="0" w:line="260"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more than $1.0 billion of non-convertible debt in any three-year period, we will cease to be an emerging growth company prior to the end of such five-year period.</w:t>
      </w:r>
    </w:p>
    <w:p>
      <w:pPr>
        <w:spacing w:after="0" w:line="185" w:lineRule="exact"/>
        <w:rPr>
          <w:sz w:val="20"/>
          <w:szCs w:val="20"/>
          <w:color w:val="auto"/>
        </w:rPr>
      </w:pPr>
    </w:p>
    <w:p>
      <w:pPr>
        <w:jc w:val="both"/>
        <w:ind w:left="300" w:right="16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 by the selling stockholders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to be outstanding after this offering</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B common stock to be outstanding after this offering</w:t>
      </w:r>
    </w:p>
    <w:p>
      <w:pPr>
        <w:spacing w:after="0" w:line="293" w:lineRule="exact"/>
        <w:rPr>
          <w:sz w:val="20"/>
          <w:szCs w:val="20"/>
          <w:color w:val="auto"/>
        </w:rPr>
      </w:pPr>
    </w:p>
    <w:p>
      <w:pPr>
        <w:ind w:left="480" w:right="120" w:hanging="179"/>
        <w:spacing w:after="0" w:line="27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22"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Over-allotment option of Class A common stock offered by us and the selling stockholders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and Class B common stock. The rights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 and Class B common stock are identical,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one vote per share and the holders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entitled to 10 votes per share, on all matters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stockholder vote. Each share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 of the holder thereof, and will be converted into one share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exceptions.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our outstanding Class B common stock will hold</w:t>
      </w:r>
    </w:p>
    <w:p>
      <w:pPr>
        <w:spacing w:after="0" w:line="35" w:lineRule="exact"/>
        <w:rPr>
          <w:sz w:val="20"/>
          <w:szCs w:val="20"/>
          <w:color w:val="auto"/>
        </w:rPr>
      </w:pPr>
    </w:p>
    <w:p>
      <w:pPr>
        <w:ind w:right="20" w:firstLine="368"/>
        <w:spacing w:after="0" w:line="281" w:lineRule="auto"/>
        <w:tabs>
          <w:tab w:leader="none" w:pos="5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 voting power of our outstanding capital stock following this offering, with our directors, executive officers and 5%</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stockholders and their respective affiliates holding % in the aggregate. These holders will have the ability to control the outcome of matters submitted to our shareholders for approval, including the election of our directors and the approval of any change of control transaction. See the section titled “Description of Capital Stock” for additional information.</w:t>
      </w:r>
    </w:p>
    <w:p>
      <w:pPr>
        <w:spacing w:after="0" w:line="59"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We estimate that our net proceeds from the sale of our Class A common stock that we are offering will be approximately</w:t>
      </w:r>
    </w:p>
    <w:p>
      <w:pPr>
        <w:ind w:right="180"/>
        <w:spacing w:after="0" w:line="265" w:lineRule="auto"/>
        <w:rPr>
          <w:sz w:val="20"/>
          <w:szCs w:val="20"/>
          <w:color w:val="auto"/>
        </w:rPr>
      </w:pPr>
      <w:r>
        <w:rPr>
          <w:rFonts w:ascii="Arial" w:cs="Arial" w:eastAsia="Arial" w:hAnsi="Arial"/>
          <w:sz w:val="17"/>
          <w:szCs w:val="17"/>
          <w:color w:val="auto"/>
        </w:rPr>
        <w:t>$ million (or approximately $ million if the underwriters exercise their over-allotment option in full), assuming an initial</w:t>
      </w:r>
    </w:p>
    <w:p>
      <w:pPr>
        <w:ind w:right="120"/>
        <w:spacing w:after="0" w:line="273" w:lineRule="auto"/>
        <w:rPr>
          <w:sz w:val="20"/>
          <w:szCs w:val="20"/>
          <w:color w:val="auto"/>
        </w:rPr>
      </w:pPr>
      <w:r>
        <w:rPr>
          <w:rFonts w:ascii="Arial" w:cs="Arial" w:eastAsia="Arial" w:hAnsi="Arial"/>
          <w:sz w:val="17"/>
          <w:szCs w:val="17"/>
          <w:color w:val="auto"/>
        </w:rPr>
        <w:t>public offering price of $ per share, the midpoint of the estimated price range set forth on the cover page of this prospectus, and after deducting estimated underwriting discounts and commissions and estimated offering expenses.</w:t>
      </w:r>
    </w:p>
    <w:p>
      <w:pPr>
        <w:spacing w:after="0" w:line="200" w:lineRule="exact"/>
        <w:rPr>
          <w:sz w:val="20"/>
          <w:szCs w:val="20"/>
          <w:color w:val="auto"/>
        </w:rPr>
      </w:pPr>
    </w:p>
    <w:p>
      <w:pPr>
        <w:sectPr>
          <w:pgSz w:w="11900" w:h="16838" w:orient="portrait"/>
          <w:cols w:equalWidth="0" w:num="2">
            <w:col w:w="5360" w:space="580"/>
            <w:col w:w="4980"/>
          </w:cols>
          <w:pgMar w:left="320" w:top="459" w:right="65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32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We currently intend to use the net proceeds we receive from this</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offering for general corporate purposes, including working capital,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operating expenses and capital expenditures. We may also use a</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portion of the net proceeds for acquisitions or strategic investments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 complementary businesses, products, services or technologies,</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although we do not currently have any plans or commitments for any</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such acquisitions or investments. See the section titled “Use of</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Proceeds” for additional information. We will not receive any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proceeds from the sale of shares of Class A common stock by the</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selling stockholders.</w:t>
      </w:r>
    </w:p>
    <w:p>
      <w:pPr>
        <w:spacing w:after="0" w:line="76" w:lineRule="exact"/>
        <w:rPr>
          <w:sz w:val="20"/>
          <w:szCs w:val="20"/>
          <w:color w:val="auto"/>
        </w:rPr>
      </w:pPr>
    </w:p>
    <w:p>
      <w:pPr>
        <w:ind w:left="300"/>
        <w:spacing w:after="0"/>
        <w:tabs>
          <w:tab w:leader="none" w:pos="2120" w:val="left"/>
          <w:tab w:leader="none" w:pos="5920" w:val="left"/>
          <w:tab w:leader="none" w:pos="6960" w:val="left"/>
        </w:tabs>
        <w:rPr>
          <w:sz w:val="20"/>
          <w:szCs w:val="20"/>
          <w:color w:val="auto"/>
        </w:rPr>
      </w:pPr>
      <w:r>
        <w:rPr>
          <w:rFonts w:ascii="Arial" w:cs="Arial" w:eastAsia="Arial" w:hAnsi="Arial"/>
          <w:sz w:val="18"/>
          <w:szCs w:val="18"/>
          <w:color w:val="auto"/>
        </w:rPr>
        <w:t>Proposed</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The number of shares of our common stock that will be outstanding after this offering is based on no shares of our Class A common stock and 241,420,626 shares of our Class B common stock (including preferred stock on an as-converted basis) outstanding as of October 31, 2018 and excludes:</w:t>
      </w:r>
    </w:p>
    <w:p>
      <w:pPr>
        <w:spacing w:after="0" w:line="89" w:lineRule="exact"/>
        <w:rPr>
          <w:sz w:val="20"/>
          <w:szCs w:val="20"/>
          <w:color w:val="auto"/>
        </w:rPr>
      </w:pPr>
    </w:p>
    <w:p>
      <w:pPr>
        <w:ind w:left="1120" w:right="80" w:hanging="403"/>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35,070,956 shares of our Class B common stock issuable upon the exercise of options to purchase shares of our Class B common stock outstanding as of October 31, 2018, with a weighted-average exercise price of $0.87 per share;</w:t>
      </w:r>
    </w:p>
    <w:p>
      <w:pPr>
        <w:spacing w:after="0" w:line="75" w:lineRule="exact"/>
        <w:rPr>
          <w:rFonts w:ascii="Arial" w:cs="Arial" w:eastAsia="Arial" w:hAnsi="Arial"/>
          <w:sz w:val="18"/>
          <w:szCs w:val="18"/>
          <w:color w:val="auto"/>
        </w:rPr>
      </w:pPr>
    </w:p>
    <w:p>
      <w:pPr>
        <w:ind w:left="1120" w:right="300" w:hanging="403"/>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955,850 shares of our Class B common stock issuable upon the exercise of options to purchase shares of our Class B common stock granted after October 31, 2018, with an exercise price of $10.79 per share;</w:t>
      </w:r>
    </w:p>
    <w:p>
      <w:pPr>
        <w:spacing w:after="0" w:line="75" w:lineRule="exact"/>
        <w:rPr>
          <w:rFonts w:ascii="Arial" w:cs="Arial" w:eastAsia="Arial" w:hAnsi="Arial"/>
          <w:sz w:val="18"/>
          <w:szCs w:val="18"/>
          <w:color w:val="auto"/>
        </w:rPr>
      </w:pPr>
    </w:p>
    <w:p>
      <w:pPr>
        <w:ind w:left="1120" w:right="60" w:hanging="403"/>
        <w:spacing w:after="0" w:line="291" w:lineRule="auto"/>
        <w:tabs>
          <w:tab w:leader="none" w:pos="1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interest in connection with this offering, assuming a conversion date of October 31, 2018 and an assumed</w:t>
      </w:r>
    </w:p>
    <w:p>
      <w:pPr>
        <w:ind w:left="1120" w:right="100"/>
        <w:spacing w:after="0" w:line="260"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of Class A common stock, the midpoint of the price range set forth on the cover page of this prospectus;</w:t>
      </w:r>
    </w:p>
    <w:p>
      <w:pPr>
        <w:spacing w:after="0" w:line="90" w:lineRule="exact"/>
        <w:rPr>
          <w:rFonts w:ascii="Arial" w:cs="Arial" w:eastAsia="Arial" w:hAnsi="Arial"/>
          <w:sz w:val="16"/>
          <w:szCs w:val="16"/>
          <w:color w:val="auto"/>
        </w:rPr>
      </w:pPr>
    </w:p>
    <w:p>
      <w:pPr>
        <w:ind w:left="1120" w:right="380" w:hanging="403"/>
        <w:spacing w:after="0" w:line="277" w:lineRule="auto"/>
        <w:tabs>
          <w:tab w:leader="none" w:pos="1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(2019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120" w:hanging="403"/>
        <w:spacing w:after="0" w:line="277" w:lineRule="auto"/>
        <w:tabs>
          <w:tab w:leader="none" w:pos="1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(ESPP), which includes an annual evergreen increase and will become effective in connection with this offering.</w:t>
      </w:r>
    </w:p>
    <w:p>
      <w:pPr>
        <w:spacing w:after="0" w:line="170"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Compensation—Employee Benefit Plans” for additional information.</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31" w:lineRule="exact"/>
        <w:rPr>
          <w:sz w:val="20"/>
          <w:szCs w:val="20"/>
          <w:color w:val="auto"/>
        </w:rPr>
      </w:pPr>
    </w:p>
    <w:p>
      <w:pPr>
        <w:ind w:left="1120" w:right="280" w:hanging="403"/>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120" w:right="80" w:hanging="403"/>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October 31, 2018 into 152,665,804 shares of our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5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775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hanging="403"/>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520" w:type="dxa"/>
            <w:vAlign w:val="bottom"/>
          </w:tcPr>
          <w:p>
            <w:pPr>
              <w:ind w:left="160"/>
              <w:spacing w:after="0"/>
              <w:rPr>
                <w:sz w:val="20"/>
                <w:szCs w:val="20"/>
                <w:color w:val="auto"/>
              </w:rPr>
            </w:pPr>
            <w:r>
              <w:rPr>
                <w:rFonts w:ascii="Arial" w:cs="Arial" w:eastAsia="Arial" w:hAnsi="Arial"/>
                <w:sz w:val="18"/>
                <w:szCs w:val="18"/>
                <w:color w:val="auto"/>
                <w:w w:val="96"/>
              </w:rPr>
              <w:t>no exercise of the underwriters’ option to purchase up to an additional</w:t>
            </w:r>
          </w:p>
        </w:tc>
        <w:tc>
          <w:tcPr>
            <w:tcW w:w="4660" w:type="dxa"/>
            <w:vAlign w:val="bottom"/>
          </w:tcPr>
          <w:p>
            <w:pPr>
              <w:ind w:left="320"/>
              <w:spacing w:after="0"/>
              <w:rPr>
                <w:sz w:val="20"/>
                <w:szCs w:val="20"/>
                <w:color w:val="auto"/>
              </w:rPr>
            </w:pPr>
            <w:r>
              <w:rPr>
                <w:rFonts w:ascii="Arial" w:cs="Arial" w:eastAsia="Arial" w:hAnsi="Arial"/>
                <w:sz w:val="18"/>
                <w:szCs w:val="18"/>
                <w:color w:val="auto"/>
              </w:rPr>
              <w:t>shares of Class A common stock to cover over-</w:t>
            </w:r>
          </w:p>
        </w:tc>
      </w:tr>
      <w:tr>
        <w:trPr>
          <w:trHeight w:val="230"/>
        </w:trPr>
        <w:tc>
          <w:tcPr>
            <w:tcW w:w="8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allotments.</w:t>
            </w:r>
          </w:p>
        </w:tc>
        <w:tc>
          <w:tcPr>
            <w:tcW w:w="4660" w:type="dxa"/>
            <w:vAlign w:val="bottom"/>
          </w:tcPr>
          <w:p>
            <w:pPr>
              <w:spacing w:after="0"/>
              <w:rPr>
                <w:sz w:val="20"/>
                <w:szCs w:val="20"/>
                <w:color w:val="auto"/>
              </w:rPr>
            </w:pPr>
          </w:p>
        </w:tc>
      </w:tr>
      <w:tr>
        <w:trPr>
          <w:trHeight w:val="240"/>
        </w:trPr>
        <w:tc>
          <w:tcPr>
            <w:tcW w:w="84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5520" w:type="dxa"/>
            <w:vAlign w:val="bottom"/>
          </w:tcPr>
          <w:p>
            <w:pPr>
              <w:jc w:val="right"/>
              <w:ind w:right="670"/>
              <w:spacing w:after="0"/>
              <w:rPr>
                <w:sz w:val="20"/>
                <w:szCs w:val="20"/>
                <w:color w:val="auto"/>
              </w:rPr>
            </w:pPr>
            <w:r>
              <w:rPr>
                <w:rFonts w:ascii="Arial" w:cs="Arial" w:eastAsia="Arial" w:hAnsi="Arial"/>
                <w:sz w:val="18"/>
                <w:szCs w:val="18"/>
                <w:color w:val="auto"/>
              </w:rPr>
              <w:t>12</w:t>
            </w:r>
          </w:p>
        </w:tc>
        <w:tc>
          <w:tcPr>
            <w:tcW w:w="4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380" w:firstLine="426"/>
        <w:spacing w:after="0" w:line="255" w:lineRule="auto"/>
        <w:rPr>
          <w:sz w:val="20"/>
          <w:szCs w:val="20"/>
          <w:color w:val="auto"/>
        </w:rPr>
      </w:pPr>
      <w:r>
        <w:rPr>
          <w:rFonts w:ascii="Arial" w:cs="Arial" w:eastAsia="Arial" w:hAnsi="Arial"/>
          <w:sz w:val="18"/>
          <w:szCs w:val="18"/>
          <w:color w:val="auto"/>
        </w:rPr>
        <w:t>The following summary consolidated statements of operations data for the years ended January 31, 2017 and 2018 and the consolidated balance sheet data as of January 31, 2018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273"/>
              <w:spacing w:after="0"/>
              <w:rPr>
                <w:sz w:val="20"/>
                <w:szCs w:val="20"/>
                <w:color w:val="auto"/>
              </w:rPr>
            </w:pPr>
            <w:r>
              <w:rPr>
                <w:rFonts w:ascii="Arial" w:cs="Arial" w:eastAsia="Arial" w:hAnsi="Arial"/>
                <w:sz w:val="14"/>
                <w:szCs w:val="14"/>
                <w:b w:val="1"/>
                <w:bCs w:val="1"/>
                <w:color w:val="auto"/>
                <w:w w:val="93"/>
              </w:rPr>
              <w:t>Year Ended January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gridSpan w:val="9"/>
          </w:tcPr>
          <w:p>
            <w:pPr>
              <w:jc w:val="center"/>
              <w:ind w:right="12"/>
              <w:spacing w:after="0" w:line="119" w:lineRule="exact"/>
              <w:rPr>
                <w:sz w:val="20"/>
                <w:szCs w:val="20"/>
                <w:color w:val="auto"/>
              </w:rPr>
            </w:pPr>
            <w:r>
              <w:rPr>
                <w:rFonts w:ascii="Arial" w:cs="Arial" w:eastAsia="Arial" w:hAnsi="Arial"/>
                <w:sz w:val="13"/>
                <w:szCs w:val="13"/>
                <w:b w:val="1"/>
                <w:bCs w:val="1"/>
                <w:color w:val="auto"/>
                <w:w w:val="96"/>
              </w:rPr>
              <w:t>(in thousands, except share and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8"/>
          </w:tcPr>
          <w:p>
            <w:pPr>
              <w:jc w:val="center"/>
              <w:ind w:left="273"/>
              <w:spacing w:after="0"/>
              <w:rPr>
                <w:sz w:val="20"/>
                <w:szCs w:val="20"/>
                <w:color w:val="auto"/>
              </w:rPr>
            </w:pPr>
            <w:r>
              <w:rPr>
                <w:rFonts w:ascii="Arial" w:cs="Arial" w:eastAsia="Arial" w:hAnsi="Arial"/>
                <w:sz w:val="14"/>
                <w:szCs w:val="14"/>
                <w:b w:val="1"/>
                <w:bCs w:val="1"/>
                <w:color w:val="auto"/>
                <w:w w:val="91"/>
              </w:rPr>
              <w:t>per share data)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60,817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151,478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30,780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120,698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15,733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82,707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5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27,091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3"/>
          </w:tcPr>
          <w:p>
            <w:pPr>
              <w:ind w:left="18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180"/>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(8,227)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18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shares used in computing net loss per share attributable to common stockholders,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70,309,256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78,119,865</w:t>
            </w: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180"/>
              <w:spacing w:after="0"/>
              <w:rPr>
                <w:sz w:val="20"/>
                <w:szCs w:val="20"/>
                <w:color w:val="auto"/>
              </w:rPr>
            </w:pPr>
            <w:r>
              <w:rPr>
                <w:rFonts w:ascii="Arial" w:cs="Arial" w:eastAsia="Arial" w:hAnsi="Arial"/>
                <w:sz w:val="18"/>
                <w:szCs w:val="18"/>
                <w:color w:val="auto"/>
                <w:w w:val="98"/>
              </w:rPr>
              <w:t>Pro forma net loss per share attributable to common stockholders, basic and diluted (unaudited)</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shares used in computing pro forma net loss per share attributable to common</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 (unaudited)</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231,681,645</w:t>
            </w: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740" w:type="dxa"/>
            <w:vAlign w:val="bottom"/>
            <w:gridSpan w:val="3"/>
          </w:tcPr>
          <w:p>
            <w:pPr>
              <w:ind w:left="180"/>
              <w:spacing w:after="0"/>
              <w:rPr>
                <w:sz w:val="20"/>
                <w:szCs w:val="20"/>
                <w:color w:val="auto"/>
              </w:rPr>
            </w:pPr>
            <w:r>
              <w:rPr>
                <w:rFonts w:ascii="Arial" w:cs="Arial" w:eastAsia="Arial" w:hAnsi="Arial"/>
                <w:sz w:val="18"/>
                <w:szCs w:val="18"/>
                <w:color w:val="auto"/>
              </w:rPr>
              <w:t>(1)   Includes stock-based compensation expense as follows: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8"/>
          </w:tcPr>
          <w:p>
            <w:pPr>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8,953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7740" w:type="dxa"/>
            <w:vAlign w:val="bottom"/>
            <w:gridSpan w:val="3"/>
          </w:tcPr>
          <w:p>
            <w:pPr>
              <w:jc w:val="right"/>
              <w:ind w:right="214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80" w:hanging="422"/>
        <w:spacing w:after="0" w:line="25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January 31, 2018</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Pro</w:t>
            </w:r>
          </w:p>
        </w:tc>
        <w:tc>
          <w:tcPr>
            <w:tcW w:w="820" w:type="dxa"/>
            <w:vAlign w:val="bottom"/>
          </w:tcPr>
          <w:p>
            <w:pPr>
              <w:jc w:val="center"/>
              <w:ind w:left="50"/>
              <w:spacing w:after="0" w:line="119" w:lineRule="exact"/>
              <w:rPr>
                <w:sz w:val="20"/>
                <w:szCs w:val="20"/>
                <w:color w:val="auto"/>
              </w:rPr>
            </w:pPr>
            <w:r>
              <w:rPr>
                <w:rFonts w:ascii="Arial" w:cs="Arial" w:eastAsia="Arial" w:hAnsi="Arial"/>
                <w:sz w:val="13"/>
                <w:szCs w:val="13"/>
                <w:b w:val="1"/>
                <w:bCs w:val="1"/>
                <w:color w:val="auto"/>
              </w:rPr>
              <w:t>Pro</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Actual</w:t>
            </w:r>
          </w:p>
        </w:tc>
        <w:tc>
          <w:tcPr>
            <w:tcW w:w="1600" w:type="dxa"/>
            <w:vAlign w:val="bottom"/>
            <w:vMerge w:val="continue"/>
          </w:tcPr>
          <w:p>
            <w:pPr>
              <w:spacing w:after="0"/>
              <w:rPr>
                <w:sz w:val="12"/>
                <w:szCs w:val="12"/>
                <w:color w:val="auto"/>
              </w:rPr>
            </w:pPr>
          </w:p>
        </w:tc>
        <w:tc>
          <w:tcPr>
            <w:tcW w:w="860" w:type="dxa"/>
            <w:vAlign w:val="bottom"/>
            <w:gridSpan w:val="2"/>
          </w:tcPr>
          <w:p>
            <w:pPr>
              <w:jc w:val="center"/>
              <w:ind w:left="1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86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gridSpan w:val="2"/>
          </w:tcPr>
          <w:p>
            <w:pPr>
              <w:jc w:val="right"/>
              <w:ind w:right="68"/>
              <w:spacing w:after="0"/>
              <w:rPr>
                <w:sz w:val="20"/>
                <w:szCs w:val="20"/>
                <w:color w:val="auto"/>
              </w:rPr>
            </w:pPr>
            <w:r>
              <w:rPr>
                <w:rFonts w:ascii="Arial" w:cs="Arial" w:eastAsia="Arial" w:hAnsi="Arial"/>
                <w:sz w:val="18"/>
                <w:szCs w:val="18"/>
                <w:color w:val="auto"/>
              </w:rPr>
              <w:t>$ 36,146</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$ 36,146</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103,056</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103,056</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Working capital</w:t>
            </w:r>
          </w:p>
        </w:tc>
        <w:tc>
          <w:tcPr>
            <w:tcW w:w="2980" w:type="dxa"/>
            <w:vAlign w:val="bottom"/>
            <w:gridSpan w:val="2"/>
          </w:tcPr>
          <w:p>
            <w:pPr>
              <w:jc w:val="right"/>
              <w:ind w:right="68"/>
              <w:spacing w:after="0"/>
              <w:rPr>
                <w:sz w:val="20"/>
                <w:szCs w:val="20"/>
                <w:color w:val="auto"/>
              </w:rPr>
            </w:pPr>
            <w:r>
              <w:rPr>
                <w:rFonts w:ascii="Arial" w:cs="Arial" w:eastAsia="Arial" w:hAnsi="Arial"/>
                <w:sz w:val="18"/>
                <w:szCs w:val="18"/>
                <w:color w:val="auto"/>
              </w:rPr>
              <w:t>114,633</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114,633</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215,019</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215,019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Deferred revenue, current and non-current</w:t>
            </w:r>
          </w:p>
        </w:tc>
        <w:tc>
          <w:tcPr>
            <w:tcW w:w="2980" w:type="dxa"/>
            <w:vAlign w:val="bottom"/>
            <w:gridSpan w:val="2"/>
          </w:tcPr>
          <w:p>
            <w:pPr>
              <w:jc w:val="right"/>
              <w:ind w:right="68"/>
              <w:spacing w:after="0"/>
              <w:rPr>
                <w:sz w:val="20"/>
                <w:szCs w:val="20"/>
                <w:color w:val="auto"/>
              </w:rPr>
            </w:pPr>
            <w:r>
              <w:rPr>
                <w:rFonts w:ascii="Arial" w:cs="Arial" w:eastAsia="Arial" w:hAnsi="Arial"/>
                <w:sz w:val="18"/>
                <w:szCs w:val="18"/>
                <w:color w:val="auto"/>
              </w:rPr>
              <w:t>54,262</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54,262</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159,552</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Accumulated deficit</w:t>
            </w:r>
          </w:p>
        </w:tc>
        <w:tc>
          <w:tcPr>
            <w:tcW w:w="2980" w:type="dxa"/>
            <w:vAlign w:val="bottom"/>
            <w:gridSpan w:val="2"/>
          </w:tcPr>
          <w:p>
            <w:pPr>
              <w:jc w:val="right"/>
              <w:ind w:right="8"/>
              <w:spacing w:after="0"/>
              <w:rPr>
                <w:sz w:val="20"/>
                <w:szCs w:val="20"/>
                <w:color w:val="auto"/>
              </w:rPr>
            </w:pPr>
            <w:r>
              <w:rPr>
                <w:rFonts w:ascii="Arial" w:cs="Arial" w:eastAsia="Arial" w:hAnsi="Arial"/>
                <w:sz w:val="18"/>
                <w:szCs w:val="18"/>
                <w:color w:val="auto"/>
              </w:rPr>
              <w:t>(32,737)</w:t>
            </w:r>
          </w:p>
        </w:tc>
        <w:tc>
          <w:tcPr>
            <w:tcW w:w="1600" w:type="dxa"/>
            <w:vAlign w:val="bottom"/>
          </w:tcPr>
          <w:p>
            <w:pPr>
              <w:jc w:val="right"/>
              <w:ind w:right="336"/>
              <w:spacing w:after="0"/>
              <w:rPr>
                <w:sz w:val="20"/>
                <w:szCs w:val="20"/>
                <w:color w:val="auto"/>
              </w:rPr>
            </w:pPr>
            <w:r>
              <w:rPr>
                <w:rFonts w:ascii="Arial" w:cs="Arial" w:eastAsia="Arial" w:hAnsi="Arial"/>
                <w:sz w:val="18"/>
                <w:szCs w:val="18"/>
                <w:color w:val="auto"/>
              </w:rPr>
              <w:t>(32,737)</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(26,271)</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132,881</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 forma gives effect to (a) the reclassification of all outstanding shares of our common stock into an equivalent number of shares of our</w:t>
      </w:r>
    </w:p>
    <w:p>
      <w:pPr>
        <w:spacing w:after="0" w:line="46" w:lineRule="exact"/>
        <w:rPr>
          <w:sz w:val="20"/>
          <w:szCs w:val="20"/>
          <w:color w:val="auto"/>
        </w:rPr>
      </w:pPr>
    </w:p>
    <w:p>
      <w:pPr>
        <w:ind w:left="720" w:right="100"/>
        <w:spacing w:after="0" w:line="250" w:lineRule="auto"/>
        <w:rPr>
          <w:sz w:val="20"/>
          <w:szCs w:val="20"/>
          <w:color w:val="auto"/>
        </w:rPr>
      </w:pPr>
      <w:r>
        <w:rPr>
          <w:rFonts w:ascii="Arial" w:cs="Arial" w:eastAsia="Arial" w:hAnsi="Arial"/>
          <w:sz w:val="18"/>
          <w:szCs w:val="18"/>
          <w:color w:val="auto"/>
        </w:rPr>
        <w:t>Class B common stock, which occurred on November 13, 2018, as if such reclassification had occurred on January 31, 2018, (b) the automatic conversion of all outstanding shares of our convertible preferred stock as of January 31, 2018 into 152,665,804 shares of Class B common stock immediately prior to the completion of this offering and (c) the filing of our amended and restated certificate of incorporation immediately prior to the completion of this offering.</w:t>
      </w:r>
    </w:p>
    <w:p>
      <w:pPr>
        <w:spacing w:after="0" w:line="2" w:lineRule="exact"/>
        <w:rPr>
          <w:sz w:val="20"/>
          <w:szCs w:val="20"/>
          <w:color w:val="auto"/>
        </w:rPr>
      </w:pPr>
    </w:p>
    <w:p>
      <w:pPr>
        <w:ind w:left="300"/>
        <w:spacing w:after="0"/>
        <w:tabs>
          <w:tab w:leader="none" w:pos="700" w:val="left"/>
          <w:tab w:leader="none" w:pos="10400" w:val="left"/>
        </w:tabs>
        <w:rPr>
          <w:sz w:val="20"/>
          <w:szCs w:val="20"/>
          <w:color w:val="auto"/>
        </w:rPr>
      </w:pPr>
      <w:r>
        <w:rPr>
          <w:rFonts w:ascii="Arial" w:cs="Arial" w:eastAsia="Arial" w:hAnsi="Arial"/>
          <w:sz w:val="18"/>
          <w:szCs w:val="18"/>
          <w:color w:val="auto"/>
        </w:rPr>
        <w:t>(2)</w:t>
        <w:tab/>
        <w:t>Pro forma as adjusted gives further effect to (a) the pro forma items described immediately above, (b) our issuance and sale of</w:t>
      </w:r>
      <w:r>
        <w:rPr>
          <w:sz w:val="20"/>
          <w:szCs w:val="20"/>
          <w:color w:val="auto"/>
        </w:rPr>
        <w:tab/>
      </w:r>
      <w:r>
        <w:rPr>
          <w:rFonts w:ascii="Arial" w:cs="Arial" w:eastAsia="Arial" w:hAnsi="Arial"/>
          <w:sz w:val="15"/>
          <w:szCs w:val="15"/>
          <w:color w:val="auto"/>
        </w:rPr>
        <w:t>shares</w:t>
      </w:r>
    </w:p>
    <w:p>
      <w:pPr>
        <w:spacing w:after="0" w:line="9" w:lineRule="exact"/>
        <w:rPr>
          <w:sz w:val="20"/>
          <w:szCs w:val="20"/>
          <w:color w:val="auto"/>
        </w:rPr>
      </w:pPr>
    </w:p>
    <w:p>
      <w:pPr>
        <w:ind w:left="720"/>
        <w:spacing w:after="0"/>
        <w:tabs>
          <w:tab w:leader="none" w:pos="7440" w:val="left"/>
        </w:tabs>
        <w:rPr>
          <w:sz w:val="20"/>
          <w:szCs w:val="20"/>
          <w:color w:val="auto"/>
        </w:rPr>
      </w:pPr>
      <w:r>
        <w:rPr>
          <w:rFonts w:ascii="Arial" w:cs="Arial" w:eastAsia="Arial" w:hAnsi="Arial"/>
          <w:sz w:val="18"/>
          <w:szCs w:val="18"/>
          <w:color w:val="auto"/>
        </w:rPr>
        <w:t>of Class A common stock in this offering at an assumed initial public offering price of $</w:t>
      </w:r>
      <w:r>
        <w:rPr>
          <w:sz w:val="20"/>
          <w:szCs w:val="20"/>
          <w:color w:val="auto"/>
        </w:rPr>
        <w:tab/>
      </w:r>
      <w:r>
        <w:rPr>
          <w:rFonts w:ascii="Arial" w:cs="Arial" w:eastAsia="Arial" w:hAnsi="Arial"/>
          <w:sz w:val="16"/>
          <w:szCs w:val="16"/>
          <w:color w:val="auto"/>
        </w:rPr>
        <w:t>per share, the midpoint of the price range set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forth on the cover page of this prospectus, after deducting the estimated underwriting discounts and commissions and estimated offering</w:t>
      </w:r>
    </w:p>
    <w:p>
      <w:pPr>
        <w:spacing w:after="0" w:line="32" w:lineRule="exact"/>
        <w:rPr>
          <w:sz w:val="20"/>
          <w:szCs w:val="20"/>
          <w:color w:val="auto"/>
        </w:rPr>
      </w:pPr>
    </w:p>
    <w:p>
      <w:pPr>
        <w:ind w:left="720"/>
        <w:spacing w:after="0"/>
        <w:tabs>
          <w:tab w:leader="none" w:pos="4680" w:val="left"/>
        </w:tabs>
        <w:rPr>
          <w:sz w:val="20"/>
          <w:szCs w:val="20"/>
          <w:color w:val="auto"/>
        </w:rPr>
      </w:pPr>
      <w:r>
        <w:rPr>
          <w:rFonts w:ascii="Arial" w:cs="Arial" w:eastAsia="Arial" w:hAnsi="Arial"/>
          <w:sz w:val="18"/>
          <w:szCs w:val="18"/>
          <w:color w:val="auto"/>
        </w:rPr>
        <w:t>expenses payable by us and (c) the issuance of</w:t>
      </w:r>
      <w:r>
        <w:rPr>
          <w:sz w:val="20"/>
          <w:szCs w:val="20"/>
          <w:color w:val="auto"/>
        </w:rPr>
        <w:tab/>
      </w:r>
      <w:r>
        <w:rPr>
          <w:rFonts w:ascii="Arial" w:cs="Arial" w:eastAsia="Arial" w:hAnsi="Arial"/>
          <w:sz w:val="16"/>
          <w:szCs w:val="16"/>
          <w:color w:val="auto"/>
        </w:rPr>
        <w:t>shares of Class A common stock upon conversion of outstanding convertible</w:t>
      </w:r>
    </w:p>
    <w:p>
      <w:pPr>
        <w:spacing w:after="0" w:line="9" w:lineRule="exact"/>
        <w:rPr>
          <w:sz w:val="20"/>
          <w:szCs w:val="20"/>
          <w:color w:val="auto"/>
        </w:rPr>
      </w:pPr>
    </w:p>
    <w:p>
      <w:pPr>
        <w:ind w:left="720"/>
        <w:spacing w:after="0"/>
        <w:tabs>
          <w:tab w:leader="none" w:pos="5700" w:val="left"/>
        </w:tabs>
        <w:rPr>
          <w:sz w:val="20"/>
          <w:szCs w:val="20"/>
          <w:color w:val="auto"/>
        </w:rPr>
      </w:pPr>
      <w:r>
        <w:rPr>
          <w:rFonts w:ascii="Arial" w:cs="Arial" w:eastAsia="Arial" w:hAnsi="Arial"/>
          <w:sz w:val="18"/>
          <w:szCs w:val="18"/>
          <w:color w:val="auto"/>
        </w:rPr>
        <w:t>promissory notes at an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this prospectus, in the principal amount of $15.0 million upon the completion of this offering. Each $1.00 increase (decrease) in the assumed</w:t>
      </w:r>
    </w:p>
    <w:p>
      <w:pPr>
        <w:spacing w:after="0" w:line="32" w:lineRule="exact"/>
        <w:rPr>
          <w:sz w:val="20"/>
          <w:szCs w:val="20"/>
          <w:color w:val="auto"/>
        </w:rPr>
      </w:pPr>
    </w:p>
    <w:p>
      <w:pPr>
        <w:ind w:left="720" w:right="80"/>
        <w:spacing w:after="0" w:line="281" w:lineRule="auto"/>
        <w:rPr>
          <w:sz w:val="20"/>
          <w:szCs w:val="20"/>
          <w:color w:val="auto"/>
        </w:rPr>
      </w:pPr>
      <w:r>
        <w:rPr>
          <w:rFonts w:ascii="Arial" w:cs="Arial" w:eastAsia="Arial" w:hAnsi="Arial"/>
          <w:sz w:val="16"/>
          <w:szCs w:val="16"/>
          <w:color w:val="auto"/>
        </w:rPr>
        <w:t>initial public offering price of $ per share of Class A common stock, the midpoint of the price range set forth on the cover page of this prospectus, would increase (decrease) the pro forma as adjusted amount of each of cash and cash equivalents, marketable securities, working</w:t>
      </w:r>
    </w:p>
    <w:p>
      <w:pPr>
        <w:spacing w:after="0" w:line="1" w:lineRule="exact"/>
        <w:rPr>
          <w:sz w:val="20"/>
          <w:szCs w:val="20"/>
          <w:color w:val="auto"/>
        </w:rPr>
      </w:pPr>
    </w:p>
    <w:p>
      <w:pPr>
        <w:ind w:left="720" w:right="20"/>
        <w:spacing w:after="0" w:line="915" w:lineRule="auto"/>
        <w:rPr>
          <w:sz w:val="20"/>
          <w:szCs w:val="20"/>
          <w:color w:val="auto"/>
        </w:rPr>
      </w:pPr>
      <w:r>
        <w:rPr>
          <w:rFonts w:ascii="Arial" w:cs="Arial" w:eastAsia="Arial" w:hAnsi="Arial"/>
          <w:sz w:val="16"/>
          <w:szCs w:val="16"/>
          <w:color w:val="auto"/>
        </w:rPr>
        <w:t>capital, total assets and total stockholders’ (deficit) 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20" w:right="20"/>
        <w:spacing w:after="0" w:line="291" w:lineRule="auto"/>
        <w:rPr>
          <w:sz w:val="20"/>
          <w:szCs w:val="20"/>
          <w:color w:val="auto"/>
        </w:rPr>
      </w:pPr>
      <w:r>
        <w:rPr>
          <w:rFonts w:ascii="Arial" w:cs="Arial" w:eastAsia="Arial" w:hAnsi="Arial"/>
          <w:sz w:val="16"/>
          <w:szCs w:val="16"/>
          <w:color w:val="auto"/>
        </w:rPr>
        <w:t>capital, total assets and total stockholders’ (deficit) equity by approximately $ million, assuming the assumed initial public offering price of $ per share of Class A common stock remains the same, and after deducting estimated underwriting discounts and commissions. The</w:t>
      </w:r>
    </w:p>
    <w:p>
      <w:pPr>
        <w:ind w:left="720" w:right="440"/>
        <w:spacing w:after="0" w:line="260" w:lineRule="auto"/>
        <w:rPr>
          <w:sz w:val="20"/>
          <w:szCs w:val="20"/>
          <w:color w:val="auto"/>
        </w:rPr>
      </w:pPr>
      <w:r>
        <w:rPr>
          <w:rFonts w:ascii="Arial" w:cs="Arial" w:eastAsia="Arial" w:hAnsi="Arial"/>
          <w:sz w:val="18"/>
          <w:szCs w:val="18"/>
          <w:color w:val="auto"/>
        </w:rPr>
        <w:t>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that initiates a Zoom Meeting and invites one or more participants to join that meeting. We refer to hosts that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6"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9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are not able to continue to expand our user base or fail to upgrade our free hosts to a paid Zoom Meeting plan, our revenue may grow more slowly than expected or decline.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legacy web-based meeting providers, including WebEx and Skype;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bundled productivity solutions providers with basic video functionality, including Google;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point solutions providers, including LogMeIn.</w:t>
      </w:r>
    </w:p>
    <w:p>
      <w:pPr>
        <w:spacing w:after="0" w:line="225"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expect to introduce Zoom Voice,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would impair the delivery of our services, require us to issue credits or pay penalties and harm our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7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303" w:lineRule="exact"/>
        <w:rPr>
          <w:sz w:val="20"/>
          <w:szCs w:val="20"/>
          <w:color w:val="auto"/>
        </w:rPr>
      </w:pPr>
    </w:p>
    <w:p>
      <w:pPr>
        <w:ind w:left="120" w:right="480"/>
        <w:spacing w:after="0" w:line="375"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Unlike traditional communications and collaborations technologies, our services depend on our users’ high-speed broadband access to the internet, usually provided through a cable or digital subscriber line connection.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6"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1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awareness of the communications and collaboration technologies category generally;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3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a cybersecurity company recently discovered a vulnerability in our software that could be exploited by hackers to exert certain meeting controls. While we were able to deploy an update to the software addressing this vulnerability and we are not aware of any customers being affected or meetings compromised by this vulnerability, customers are responsible for installing this update to the software and their software is subject to this vulnerability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increase our expenses in the future, which could prevent us from achieving or maintaining profitability.</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incurred net losses in the past, including a net loss of $3.8 million for the fiscal year ended January 31, 2018.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to 1,534 full-time employees as of October 31, 2018,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8"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9"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8"/>
          <w:szCs w:val="18"/>
          <w:b w:val="1"/>
          <w:bCs w:val="1"/>
          <w:color w:val="auto"/>
        </w:rPr>
        <w:t>-</w:t>
      </w:r>
      <w:r>
        <w:rPr>
          <w:rFonts w:ascii="Arial" w:cs="Arial" w:eastAsia="Arial" w:hAnsi="Arial"/>
          <w:sz w:val="18"/>
          <w:szCs w:val="18"/>
          <w:color w:val="auto"/>
        </w:rPr>
        <w:t>will employees, and we do not maintain any key person life insurance policies. The loss of any member of our senior management team would harm our business.</w:t>
      </w:r>
    </w:p>
    <w:p>
      <w:pPr>
        <w:spacing w:after="0" w:line="29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If we fail to attract new personnel or fail to retain and motivate our current personnel, our business could be harmed.</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have customers in over 180 countries, and 17% of our revenue in the fiscal year ended January 31, 2018 was generated from customers outside the United States. In fiscal 2018, we established a physical sales presence in Australia and the United Kingdom. Additionally, as of October 31, 2018, we had four additional international sales locations, and we plan to add local sales support in further select international markets over time. We also operate research and development centers in China, employing over 500 employees as of October 31, 2018.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63" w:lineRule="exact"/>
        <w:rPr>
          <w:sz w:val="20"/>
          <w:szCs w:val="20"/>
          <w:color w:val="auto"/>
        </w:rPr>
      </w:pPr>
    </w:p>
    <w:p>
      <w:pPr>
        <w:ind w:left="980" w:right="34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980" w:right="520" w:hanging="43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9" w:lineRule="exact"/>
        <w:rPr>
          <w:rFonts w:ascii="Arial" w:cs="Arial" w:eastAsia="Arial" w:hAnsi="Arial"/>
          <w:sz w:val="18"/>
          <w:szCs w:val="18"/>
          <w:color w:val="auto"/>
        </w:rPr>
      </w:pPr>
    </w:p>
    <w:p>
      <w:pPr>
        <w:ind w:left="980" w:right="180" w:hanging="43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9"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auto"/>
        </w:rPr>
      </w:pPr>
    </w:p>
    <w:p>
      <w:pPr>
        <w:ind w:left="980" w:right="60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auto"/>
        </w:rPr>
      </w:pPr>
    </w:p>
    <w:p>
      <w:pPr>
        <w:ind w:left="980" w:right="80" w:hanging="432"/>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9" w:lineRule="exact"/>
        <w:rPr>
          <w:rFonts w:ascii="Arial" w:cs="Arial" w:eastAsia="Arial" w:hAnsi="Arial"/>
          <w:sz w:val="16"/>
          <w:szCs w:val="16"/>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30" w:lineRule="exact"/>
        <w:rPr>
          <w:rFonts w:ascii="Arial" w:cs="Arial" w:eastAsia="Arial" w:hAnsi="Arial"/>
          <w:sz w:val="18"/>
          <w:szCs w:val="18"/>
          <w:color w:val="auto"/>
        </w:rPr>
      </w:pPr>
    </w:p>
    <w:p>
      <w:pPr>
        <w:ind w:left="980" w:right="480" w:hanging="432"/>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980" w:right="4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30"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3"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30"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30"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success of new products, feature and functionality by us or our competitors;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9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6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86"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$3.2 million and $8.9 million for the fiscal years ended January 31, 2017 and 2018,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9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Although we take precautions to prevent our platform and associated products from being accessed or used in violation of such laws, we have inadvertently allowed our platform and associated products to be accessed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Commerce’s Bureau of Industry and Security and OFAC. If we are found to be in violation of U.S. economic sanctions or export control laws, it could result in substantial fines and penalties for us and for the individuals working for us.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30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w:t>
      </w:r>
    </w:p>
    <w:p>
      <w:pPr>
        <w:spacing w:after="0" w:line="2"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denominated in the currencies of the jurisdictions in which we conduct our operations. For the fiscal year ended January 31, 2019, % of our revenue and % of our expenses were denominated in currencies other than U.S. dollars. Because we conduct business in currencies other than U.S.</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8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our current products, as well as products, features and functionality that we may introduce in the future, may require us to compensate or reimburse third parties. For example, our recently announced cloud phone system, Zoom Voice, is a private branch exchange phone solution that requires us to compensate carriers that operate the public switched telephone network. As a result, a portion of the payments that we will receive from customers that will use our Zoom Voice product will be allocated towards compensating these telephone carriers, which lowers our margins for Zoom Voice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Voice, it could harm our business.</w:t>
      </w:r>
    </w:p>
    <w:p>
      <w:pPr>
        <w:spacing w:after="0" w:line="303"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2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9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Zoom Voice will be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recently introduced product, Zoom Voice, will be provided through our wholly owned subsidiary, Zoom Voice Communications, Inc., which will be regulated by the FCC as an interconnected voice over internet protocol (VoIP) service provider. As a result, Zoom Voice will be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Voice’s regulatory obligations at any time. In addition, FCC classification of Zoom Voice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Voice to our customers and harm our business.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State telecommunications regulation of Zoom Voice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Voice.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In the future, we intend to offer Zoom Voice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7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primarily rely and expect to continue to rely on a combination of patent, patent licenses, trade secret and domain name protection, trademark and copyright laws, as well as confidentiality and license agreements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our employees, consultants and third parties, to protect our intellectual property and proprietary rights. In the United States and abroad, as of October 31, 2018, we have two issued patents and five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7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January 31, 2018, we had $22.2 million of federal and $18.4 million of state net operating loss carryforwards available to reduce future taxable income, which will begin to expire in 2032 for federal and 2027</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state tax purposes. It is possible that we will not generate taxable income in time to use these net operating loss carryforwards before their expiration or at all.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 We may also experience ownership changes in the future as a result of subsequent shifts in our stock ownership, some of which may be outside of our control. If an ownership change occurs and our ability to use our net operating loss carryforwards is materially limited, it would harm our business by effectively increasing our future tax obligations.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Accounting Standards Codification (ASC) Topic 606, Revenue from Contracts with Customers (ASC 606), effective as of February 1, 2017, utilizing the full retrospective method of adoption. The 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8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(the Exchange Act),</w:t>
      </w:r>
    </w:p>
    <w:p>
      <w:pPr>
        <w:spacing w:after="0" w:line="46"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7"/>
          <w:szCs w:val="17"/>
          <w:color w:val="auto"/>
        </w:rPr>
        <w:t>the Sarbanes-Oxley Act of 2002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3"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among other things, lessees to</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7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w:t>
      </w:r>
    </w:p>
    <w:p>
      <w:pPr>
        <w:spacing w:after="0" w:line="1" w:lineRule="exact"/>
        <w:rPr>
          <w:sz w:val="20"/>
          <w:szCs w:val="20"/>
          <w:color w:val="auto"/>
        </w:rPr>
      </w:pPr>
    </w:p>
    <w:p>
      <w:pPr>
        <w:ind w:left="120" w:right="80" w:firstLine="716"/>
        <w:spacing w:after="0" w:line="253"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ind w:left="120" w:right="400" w:firstLine="440"/>
        <w:spacing w:after="0" w:line="27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intend to apply to list our Class A common stock on under the symbol “ .”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100"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80" w:right="740" w:hanging="432"/>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80" w:right="280" w:hanging="432"/>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initial public offering, has one vote per share. Stockholders who hold shares of Class B common stock, including our executive officers, employees and directors and</w:t>
      </w:r>
    </w:p>
    <w:p>
      <w:pPr>
        <w:ind w:left="120" w:right="20"/>
        <w:spacing w:after="0" w:line="265" w:lineRule="auto"/>
        <w:rPr>
          <w:sz w:val="20"/>
          <w:szCs w:val="20"/>
          <w:color w:val="auto"/>
        </w:rPr>
      </w:pPr>
      <w:r>
        <w:rPr>
          <w:rFonts w:ascii="Arial" w:cs="Arial" w:eastAsia="Arial" w:hAnsi="Arial"/>
          <w:sz w:val="17"/>
          <w:szCs w:val="17"/>
          <w:color w:val="auto"/>
        </w:rPr>
        <w:t>their affiliates, will together hold approximately % of the voting power of our outstanding capital stock following the completion of this offering. Our directors, executive officers and 5% stockholders and their respective affiliates will together hold approximately % of the voting power of our outstanding capital stock following the completion of this offering. Our founder, President and Chief Executive Officer, Eric S. Yuan, will hold approximately % of our outstanding capital stock but will control approximately % of the voting power of our outstanding capital stock</w:t>
      </w:r>
    </w:p>
    <w:p>
      <w:pPr>
        <w:spacing w:after="0" w:line="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following the completion of this offering. Therefore, these holders will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Mr. Yuan is no longer providing services to us or his employment is terminated for cause, (iii) the date specified by the holders of a majority of the then outstanding shares of Class B common stock, voting as a separate class, and (iv) the 15-year anniversary of our proposed initial public offering.</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 in the book value of your investment.</w:t>
      </w:r>
    </w:p>
    <w:p>
      <w:pPr>
        <w:spacing w:after="0" w:line="15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w:t>
      </w:r>
    </w:p>
    <w:p>
      <w:pPr>
        <w:ind w:left="120" w:right="40"/>
        <w:spacing w:after="0" w:line="265" w:lineRule="auto"/>
        <w:rPr>
          <w:sz w:val="20"/>
          <w:szCs w:val="20"/>
          <w:color w:val="auto"/>
        </w:rPr>
      </w:pPr>
      <w:r>
        <w:rPr>
          <w:rFonts w:ascii="Arial" w:cs="Arial" w:eastAsia="Arial" w:hAnsi="Arial"/>
          <w:sz w:val="17"/>
          <w:szCs w:val="17"/>
          <w:color w:val="auto"/>
        </w:rPr>
        <w:t>common stock in this offering at the initial public offering price of $ per share, the midpoint of the price range set forth on the cover of this prospectus, you will experience immediate dilution of $ per share, the difference between the price per share you pay for our Class A common stock and its pro forma net tangible book value per share as of , after giving effect to the issuance of shares of our Class A common stock in</w:t>
      </w:r>
    </w:p>
    <w:p>
      <w:pPr>
        <w:ind w:left="120" w:right="40"/>
        <w:spacing w:after="0" w:line="253" w:lineRule="auto"/>
        <w:rPr>
          <w:sz w:val="20"/>
          <w:szCs w:val="20"/>
          <w:color w:val="auto"/>
        </w:rPr>
      </w:pPr>
      <w:r>
        <w:rPr>
          <w:rFonts w:ascii="Arial" w:cs="Arial" w:eastAsia="Arial" w:hAnsi="Arial"/>
          <w:sz w:val="18"/>
          <w:szCs w:val="18"/>
          <w:color w:val="auto"/>
        </w:rPr>
        <w:t>this offering.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29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9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27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following the completion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84"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Based on shares outstanding as of October 31, 2018, upon the completion of this offering, we will have outstanding a total of shares of Class A common stock and shares of Class B common stock, assuming no exercise of the underwriters’ option to purchase additional shares</w:t>
      </w:r>
    </w:p>
    <w:p>
      <w:pPr>
        <w:ind w:left="120"/>
        <w:spacing w:after="0"/>
        <w:rPr>
          <w:sz w:val="20"/>
          <w:szCs w:val="20"/>
          <w:color w:val="auto"/>
        </w:rPr>
      </w:pPr>
      <w:r>
        <w:rPr>
          <w:rFonts w:ascii="Arial" w:cs="Arial" w:eastAsia="Arial" w:hAnsi="Arial"/>
          <w:sz w:val="17"/>
          <w:szCs w:val="17"/>
          <w:color w:val="auto"/>
        </w:rPr>
        <w:t>and no exercise of outstanding options, after giving effect to the conversion of all outstanding shares of our preferred stock into shares of Class B</w:t>
      </w:r>
    </w:p>
    <w:p>
      <w:pPr>
        <w:spacing w:after="0" w:line="21" w:lineRule="exact"/>
        <w:rPr>
          <w:sz w:val="20"/>
          <w:szCs w:val="20"/>
          <w:color w:val="auto"/>
        </w:rPr>
      </w:pPr>
    </w:p>
    <w:p>
      <w:pPr>
        <w:ind w:left="120" w:right="20"/>
        <w:spacing w:after="0" w:line="187" w:lineRule="auto"/>
        <w:rPr>
          <w:sz w:val="20"/>
          <w:szCs w:val="20"/>
          <w:color w:val="auto"/>
        </w:rPr>
      </w:pPr>
      <w:r>
        <w:rPr>
          <w:rFonts w:ascii="Arial" w:cs="Arial" w:eastAsia="Arial" w:hAnsi="Arial"/>
          <w:sz w:val="12"/>
          <w:szCs w:val="12"/>
          <w:color w:val="auto"/>
        </w:rPr>
        <w:t>common stock immediately upon the completion of this offering and after giving effect to the conversion of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0"/>
          <w:szCs w:val="10"/>
          <w:color w:val="auto"/>
        </w:rPr>
        <w:t>th</w:t>
      </w:r>
      <w:r>
        <w:rPr>
          <w:rFonts w:ascii="Arial" w:cs="Arial" w:eastAsia="Arial" w:hAnsi="Arial"/>
          <w:sz w:val="12"/>
          <w:szCs w:val="12"/>
          <w:color w:val="auto"/>
        </w:rPr>
        <w:t xml:space="preserve"> day after the date of this prospectus, subject to specified exceptions. We refer to such period as the lock-up period. We and the underwriters may permit certain stockholders who are subject to these market standoff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right="320"/>
        <w:spacing w:after="0" w:line="274" w:lineRule="auto"/>
        <w:rPr>
          <w:sz w:val="20"/>
          <w:szCs w:val="20"/>
          <w:color w:val="auto"/>
        </w:rPr>
      </w:pPr>
      <w:r>
        <w:rPr>
          <w:rFonts w:ascii="Arial" w:cs="Arial" w:eastAsia="Arial" w:hAnsi="Arial"/>
          <w:sz w:val="17"/>
          <w:szCs w:val="17"/>
          <w:color w:val="auto"/>
        </w:rPr>
        <w:t>or lock-up agreements to sell shares prior to the expiration of the lock-up period. After the end of the lock-up period, all shares of Class B common stock outstanding as of October 31, 2018 will become eligible for sale, of which shares held by directors, executive officers and</w:t>
      </w:r>
    </w:p>
    <w:p>
      <w:pPr>
        <w:ind w:left="120" w:right="500"/>
        <w:spacing w:after="0" w:line="260" w:lineRule="auto"/>
        <w:rPr>
          <w:sz w:val="20"/>
          <w:szCs w:val="20"/>
          <w:color w:val="auto"/>
        </w:rPr>
      </w:pPr>
      <w:r>
        <w:rPr>
          <w:rFonts w:ascii="Arial" w:cs="Arial" w:eastAsia="Arial" w:hAnsi="Arial"/>
          <w:sz w:val="18"/>
          <w:szCs w:val="18"/>
          <w:color w:val="auto"/>
        </w:rPr>
        <w:t>other affiliates will be subject to volume limitations under Rule 144 under the Securities Act of 1933, as amended (the Securities Act) and various vesting agreements.</w:t>
      </w:r>
    </w:p>
    <w:p>
      <w:pPr>
        <w:spacing w:after="0" w:line="18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addition, as of October 31, 2018, there were 35,070,956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Holders of 155,963,522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295" w:lineRule="exact"/>
        <w:rPr>
          <w:sz w:val="20"/>
          <w:szCs w:val="20"/>
          <w:color w:val="auto"/>
        </w:rPr>
      </w:pPr>
    </w:p>
    <w:p>
      <w:pPr>
        <w:ind w:left="120" w:right="2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31" w:lineRule="exact"/>
        <w:rPr>
          <w:sz w:val="20"/>
          <w:szCs w:val="20"/>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dual class common stock structure as described above.</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as the exclusive forum for certain disputes between us and our stockholders, which could limit our stockholders’ ability to choose the judicial forum for disputes with us or our directors, officers or employees.</w:t>
      </w:r>
    </w:p>
    <w:p>
      <w:pPr>
        <w:spacing w:after="0" w:line="76"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this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2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7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public company listed in the United States, we will incur significant additional legal, accounting and other expenses. In addition, changing</w:t>
      </w:r>
    </w:p>
    <w:p>
      <w:pPr>
        <w:spacing w:after="0" w:line="46"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laws, regulations and standards relating to corporate governance and public disclosure, including regulations implemented by the SEC and ,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9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6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120" w:right="200" w:hanging="4"/>
        <w:spacing w:after="0" w:line="253" w:lineRule="auto"/>
        <w:tabs>
          <w:tab w:leader="none" w:pos="3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Forbes Insights, </w:t>
      </w:r>
      <w:r>
        <w:rPr>
          <w:rFonts w:ascii="Arial" w:cs="Arial" w:eastAsia="Arial" w:hAnsi="Arial"/>
          <w:sz w:val="18"/>
          <w:szCs w:val="18"/>
          <w:i w:val="1"/>
          <w:iCs w:val="1"/>
          <w:color w:val="auto"/>
        </w:rPr>
        <w:t>The Connected Culture: Unleashing the Power of Video in Everyday Collaboration</w:t>
      </w:r>
      <w:r>
        <w:rPr>
          <w:rFonts w:ascii="Arial" w:cs="Arial" w:eastAsia="Arial" w:hAnsi="Arial"/>
          <w:sz w:val="18"/>
          <w:szCs w:val="18"/>
          <w:color w:val="auto"/>
        </w:rPr>
        <w:t>, October 30,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September 4, 2018.</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Gartner Peer Insights: https://www.gartner.com/reviews/market/meeting-solutions-web-conferencing/vendor/zoom.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International Data Corporation (IDC), </w:t>
      </w:r>
      <w:r>
        <w:rPr>
          <w:rFonts w:ascii="Arial" w:cs="Arial" w:eastAsia="Arial" w:hAnsi="Arial"/>
          <w:sz w:val="18"/>
          <w:szCs w:val="18"/>
          <w:i w:val="1"/>
          <w:iCs w:val="1"/>
          <w:color w:val="auto"/>
        </w:rPr>
        <w:t>Worldwide Unified Communications and Collaboration Forecast, 2018-2022</w:t>
      </w:r>
      <w:r>
        <w:rPr>
          <w:rFonts w:ascii="Arial" w:cs="Arial" w:eastAsia="Arial" w:hAnsi="Arial"/>
          <w:sz w:val="18"/>
          <w:szCs w:val="18"/>
          <w:color w:val="auto"/>
        </w:rPr>
        <w:t>, May 2018.</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Salesforce Research, </w:t>
      </w:r>
      <w:r>
        <w:rPr>
          <w:rFonts w:ascii="Arial" w:cs="Arial" w:eastAsia="Arial" w:hAnsi="Arial"/>
          <w:sz w:val="18"/>
          <w:szCs w:val="18"/>
          <w:i w:val="1"/>
          <w:iCs w:val="1"/>
          <w:color w:val="auto"/>
        </w:rPr>
        <w:t>State of IT</w:t>
      </w:r>
      <w:r>
        <w:rPr>
          <w:rFonts w:ascii="Arial" w:cs="Arial" w:eastAsia="Arial" w:hAnsi="Arial"/>
          <w:sz w:val="18"/>
          <w:szCs w:val="18"/>
          <w:color w:val="auto"/>
        </w:rPr>
        <w:t>, April 26, 2017.</w:t>
      </w:r>
    </w:p>
    <w:p>
      <w:pPr>
        <w:spacing w:after="0" w:line="22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8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6"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5420" w:type="dxa"/>
            <w:vAlign w:val="bottom"/>
          </w:tcPr>
          <w:p>
            <w:pPr>
              <w:ind w:left="3420"/>
              <w:spacing w:after="0"/>
              <w:rPr>
                <w:sz w:val="20"/>
                <w:szCs w:val="20"/>
                <w:color w:val="auto"/>
              </w:rPr>
            </w:pPr>
            <w:r>
              <w:rPr>
                <w:rFonts w:ascii="Arial" w:cs="Arial" w:eastAsia="Arial" w:hAnsi="Arial"/>
                <w:sz w:val="18"/>
                <w:szCs w:val="18"/>
                <w:b w:val="1"/>
                <w:bCs w:val="1"/>
                <w:color w:val="auto"/>
              </w:rPr>
              <w:t>USE OF PROCEEDS</w:t>
            </w: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6780" w:type="dxa"/>
            <w:vAlign w:val="bottom"/>
            <w:gridSpan w:val="2"/>
          </w:tcPr>
          <w:p>
            <w:pPr>
              <w:ind w:left="560"/>
              <w:spacing w:after="0"/>
              <w:rPr>
                <w:sz w:val="20"/>
                <w:szCs w:val="20"/>
                <w:color w:val="auto"/>
              </w:rPr>
            </w:pPr>
            <w:r>
              <w:rPr>
                <w:rFonts w:ascii="Arial" w:cs="Arial" w:eastAsia="Arial" w:hAnsi="Arial"/>
                <w:sz w:val="18"/>
                <w:szCs w:val="18"/>
                <w:color w:val="auto"/>
                <w:w w:val="94"/>
              </w:rPr>
              <w:t>We estimate that we will receive net proceeds from this offering of approximately $</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1880" w:type="dxa"/>
            <w:vAlign w:val="bottom"/>
          </w:tcPr>
          <w:p>
            <w:pPr>
              <w:ind w:left="200"/>
              <w:spacing w:after="0"/>
              <w:rPr>
                <w:sz w:val="20"/>
                <w:szCs w:val="20"/>
                <w:color w:val="auto"/>
              </w:rPr>
            </w:pPr>
            <w:r>
              <w:rPr>
                <w:rFonts w:ascii="Arial" w:cs="Arial" w:eastAsia="Arial" w:hAnsi="Arial"/>
                <w:sz w:val="18"/>
                <w:szCs w:val="18"/>
                <w:color w:val="auto"/>
              </w:rPr>
              <w:t>million if the</w:t>
            </w:r>
          </w:p>
        </w:tc>
      </w:tr>
      <w:tr>
        <w:trPr>
          <w:trHeight w:val="230"/>
        </w:trPr>
        <w:tc>
          <w:tcPr>
            <w:tcW w:w="8260" w:type="dxa"/>
            <w:vAlign w:val="bottom"/>
            <w:gridSpan w:val="3"/>
          </w:tcPr>
          <w:p>
            <w:pPr>
              <w:ind w:left="120"/>
              <w:spacing w:after="0"/>
              <w:rPr>
                <w:sz w:val="20"/>
                <w:szCs w:val="20"/>
                <w:color w:val="auto"/>
              </w:rPr>
            </w:pPr>
            <w:r>
              <w:rPr>
                <w:rFonts w:ascii="Arial" w:cs="Arial" w:eastAsia="Arial" w:hAnsi="Arial"/>
                <w:sz w:val="18"/>
                <w:szCs w:val="18"/>
                <w:color w:val="auto"/>
                <w:w w:val="94"/>
              </w:rPr>
              <w:t>underwriters exercise their over-allotment option in full) based on an assumed initial public offering price of $</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89"/>
              </w:rPr>
              <w:t>per share of Class A common stock,</w:t>
            </w:r>
          </w:p>
        </w:tc>
      </w:tr>
    </w:tbl>
    <w:p>
      <w:pPr>
        <w:ind w:left="120"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midpoint of the estimated price range set forth on the cover page of this prospectus, after deducting estimated underwriting discounts and commissions and estimated offering expenses. We will not receive any proceeds from the sale of shares of our Class A common stock by the selling stockholders.</w:t>
      </w:r>
    </w:p>
    <w:p>
      <w:pPr>
        <w:spacing w:after="0" w:line="19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 this</w:t>
      </w:r>
    </w:p>
    <w:p>
      <w:pPr>
        <w:ind w:left="120" w:right="80"/>
        <w:spacing w:after="0" w:line="280" w:lineRule="auto"/>
        <w:rPr>
          <w:sz w:val="20"/>
          <w:szCs w:val="20"/>
          <w:color w:val="auto"/>
        </w:rPr>
      </w:pPr>
      <w:r>
        <w:rPr>
          <w:rFonts w:ascii="Arial" w:cs="Arial" w:eastAsia="Arial" w:hAnsi="Arial"/>
          <w:sz w:val="16"/>
          <w:szCs w:val="16"/>
          <w:color w:val="auto"/>
        </w:rPr>
        <w:t>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that are not used as described above in investment-grade, interest-bearing instruments.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4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our cash, cash equivalents and marketable securities and our capitalization as of January 31, 2018 as follows:</w:t>
      </w:r>
    </w:p>
    <w:p>
      <w:pPr>
        <w:spacing w:after="0" w:line="131" w:lineRule="exact"/>
        <w:rPr>
          <w:sz w:val="20"/>
          <w:szCs w:val="20"/>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80" w:right="20" w:hanging="432"/>
        <w:spacing w:after="0" w:line="25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reflect (1) the reclassification of all outstanding shares of our common stock into an equivalent number of shares of our Class B common stock, which occurred on November 13, 2018, as if such reclassification had occurred on January 31, 2018, (2) the automatic conversion of all outstanding shares of our convertible preferred stock as of January 31, 2018 into 152,665,804 shares of Class B common stock immediately prior to the completion of this offering and (3) the filing of our amended and restated certificate of incorporation immediately prior to the completion of this offering; and</w:t>
      </w:r>
    </w:p>
    <w:p>
      <w:pPr>
        <w:spacing w:after="0" w:line="93"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(1) the pro forma items described immediately above, (2) our issuance and sale of</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980" w:right="100" w:firstLine="585"/>
        <w:spacing w:after="0" w:line="271" w:lineRule="auto"/>
        <w:rPr>
          <w:sz w:val="20"/>
          <w:szCs w:val="20"/>
          <w:color w:val="auto"/>
        </w:rPr>
      </w:pPr>
      <w:r>
        <w:rPr>
          <w:rFonts w:ascii="Arial" w:cs="Arial" w:eastAsia="Arial" w:hAnsi="Arial"/>
          <w:sz w:val="17"/>
          <w:szCs w:val="17"/>
          <w:color w:val="auto"/>
        </w:rPr>
        <w:t>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and (3) the issuance of shares of Class A common stock upon conversion of outstanding convertible promissory notes at an assumed initial public offering price of $ per share, the midpoint of the price range set forth on the cover page of this prospectus, in the principal amount of $15.0 million upon the completion of this offering.</w:t>
      </w:r>
    </w:p>
    <w:p>
      <w:pPr>
        <w:sectPr>
          <w:pgSz w:w="11900" w:h="16838" w:orient="portrait"/>
          <w:cols w:equalWidth="0" w:num="1">
            <w:col w:w="11140"/>
          </w:cols>
          <w:pgMar w:left="320" w:top="459" w:right="439" w:bottom="1440" w:gutter="0" w:footer="0" w:header="0"/>
          <w:type w:val="continuous"/>
        </w:sectPr>
      </w:pPr>
    </w:p>
    <w:p>
      <w:pPr>
        <w:spacing w:after="0" w:line="17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w w:val="92"/>
              </w:rPr>
              <w:t>As of January 31, 2018</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$ 139,202</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$ 139,202</w:t>
            </w:r>
          </w:p>
        </w:tc>
        <w:tc>
          <w:tcPr>
            <w:tcW w:w="1340" w:type="dxa"/>
            <w:vAlign w:val="bottom"/>
            <w:gridSpan w:val="2"/>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w w:val="91"/>
              </w:rPr>
              <w:t>Convertible preferred stock, $0.001 par value per share; 158,104,540 shares authorized; 152,665,804</w:t>
            </w: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180"/>
              <w:spacing w:after="0"/>
              <w:rPr>
                <w:sz w:val="20"/>
                <w:szCs w:val="20"/>
                <w:color w:val="auto"/>
              </w:rPr>
            </w:pPr>
            <w:r>
              <w:rPr>
                <w:rFonts w:ascii="Arial" w:cs="Arial" w:eastAsia="Arial" w:hAnsi="Arial"/>
                <w:sz w:val="18"/>
                <w:szCs w:val="18"/>
                <w:color w:val="auto"/>
                <w:w w:val="90"/>
              </w:rPr>
              <w:t>shares issued and outstanding, actual; no shares authorized, issued and outstanding, pro forma and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pro forma as adjusted</w:t>
            </w:r>
          </w:p>
        </w:tc>
        <w:tc>
          <w:tcPr>
            <w:tcW w:w="46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159,552</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Stockholders’ deficit:</w:t>
            </w:r>
          </w:p>
        </w:tc>
        <w:tc>
          <w:tcPr>
            <w:tcW w:w="11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1"/>
              </w:rPr>
              <w:t>Preferred stock, $0.001 par value per share: no shares authorized, issued or outstanding, actual;</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1120"/>
              <w:spacing w:after="0"/>
              <w:rPr>
                <w:sz w:val="20"/>
                <w:szCs w:val="20"/>
                <w:color w:val="auto"/>
              </w:rPr>
            </w:pPr>
            <w:r>
              <w:rPr>
                <w:rFonts w:ascii="Arial" w:cs="Arial" w:eastAsia="Arial" w:hAnsi="Arial"/>
                <w:sz w:val="18"/>
                <w:szCs w:val="18"/>
                <w:color w:val="auto"/>
                <w:w w:val="92"/>
              </w:rPr>
              <w:t>shares authorized and no shares issued and outstanding, pro forma and pro forma as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$0.001 par value per share, 320,000,000 shares authorized, 82,609,638 shares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1"/>
              </w:rPr>
              <w:t>issued and outstanding, actual; no shares issued and outstanding, pro forma and pro forma as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14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2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1"/>
              </w:rPr>
              <w:t>Class A common stock, $0.001 par value per share; no shares authorized, issued or outstanding,</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actual;</w:t>
            </w:r>
          </w:p>
        </w:tc>
        <w:tc>
          <w:tcPr>
            <w:tcW w:w="5820" w:type="dxa"/>
            <w:vAlign w:val="bottom"/>
            <w:gridSpan w:val="2"/>
          </w:tcPr>
          <w:p>
            <w:pPr>
              <w:jc w:val="right"/>
              <w:ind w:right="1130"/>
              <w:spacing w:after="0"/>
              <w:rPr>
                <w:sz w:val="20"/>
                <w:szCs w:val="20"/>
                <w:color w:val="auto"/>
              </w:rPr>
            </w:pPr>
            <w:r>
              <w:rPr>
                <w:rFonts w:ascii="Arial" w:cs="Arial" w:eastAsia="Arial" w:hAnsi="Arial"/>
                <w:sz w:val="18"/>
                <w:szCs w:val="18"/>
                <w:color w:val="auto"/>
                <w:w w:val="89"/>
              </w:rPr>
              <w:t>shares authorized, no shares issued and outstanding, pro forma;</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1120"/>
              <w:spacing w:after="0"/>
              <w:rPr>
                <w:sz w:val="20"/>
                <w:szCs w:val="20"/>
                <w:color w:val="auto"/>
              </w:rPr>
            </w:pPr>
            <w:r>
              <w:rPr>
                <w:rFonts w:ascii="Arial" w:cs="Arial" w:eastAsia="Arial" w:hAnsi="Arial"/>
                <w:sz w:val="18"/>
                <w:szCs w:val="18"/>
                <w:color w:val="auto"/>
              </w:rPr>
              <w:t>shares authorized,</w:t>
            </w:r>
          </w:p>
        </w:tc>
        <w:tc>
          <w:tcPr>
            <w:tcW w:w="4680" w:type="dxa"/>
            <w:vAlign w:val="bottom"/>
          </w:tcPr>
          <w:p>
            <w:pPr>
              <w:jc w:val="right"/>
              <w:ind w:right="510"/>
              <w:spacing w:after="0"/>
              <w:rPr>
                <w:sz w:val="20"/>
                <w:szCs w:val="20"/>
                <w:color w:val="auto"/>
              </w:rPr>
            </w:pPr>
            <w:r>
              <w:rPr>
                <w:rFonts w:ascii="Arial" w:cs="Arial" w:eastAsia="Arial" w:hAnsi="Arial"/>
                <w:sz w:val="18"/>
                <w:szCs w:val="18"/>
                <w:color w:val="auto"/>
                <w:w w:val="94"/>
              </w:rPr>
              <w:t>shares issued and outstanding, pro forma as adjusted</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80" w:type="dxa"/>
            <w:vAlign w:val="bottom"/>
          </w:tcPr>
          <w:p>
            <w:pPr>
              <w:jc w:val="right"/>
              <w:ind w:right="173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2"/>
              </w:rPr>
              <w:t>As of January 31, 2018</w:t>
            </w: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Pro Forma</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5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$0.001 par value per share, no shares authorized, issued or</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shares authorized, 235,275,442 shares issued and outstanding,</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pro forma and pro forma as adjusted</w:t>
            </w: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233</w:t>
            </w: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51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6,517</w:t>
            </w:r>
          </w:p>
        </w:tc>
        <w:tc>
          <w:tcPr>
            <w:tcW w:w="16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165,916</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(32,737)</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(32,737)</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(26,671)</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132,881</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5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$ 132,881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$ 132,881</w:t>
            </w:r>
          </w:p>
        </w:tc>
        <w:tc>
          <w:tcPr>
            <w:tcW w:w="4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19"/>
        <w:spacing w:after="0" w:line="287" w:lineRule="auto"/>
        <w:tabs>
          <w:tab w:leader="none" w:pos="52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of Class A common stock, the midpoint of the price range set forth on the cover page of this prospectus, would increase (decrease) the pro forma as adjusted amount of each of cash and cash equivalents, marketable securities, total stockholders’ (deficit) equity and total liabilities, convertible preferred stock and stockholders’ (deficit)</w:t>
      </w:r>
    </w:p>
    <w:p>
      <w:pPr>
        <w:spacing w:after="0" w:line="2" w:lineRule="exact"/>
        <w:rPr>
          <w:sz w:val="20"/>
          <w:szCs w:val="20"/>
          <w:color w:val="auto"/>
        </w:rPr>
      </w:pPr>
    </w:p>
    <w:p>
      <w:pPr>
        <w:ind w:left="540" w:right="80"/>
        <w:spacing w:after="0" w:line="281" w:lineRule="auto"/>
        <w:rPr>
          <w:sz w:val="20"/>
          <w:szCs w:val="20"/>
          <w:color w:val="auto"/>
        </w:rPr>
      </w:pPr>
      <w:r>
        <w:rPr>
          <w:rFonts w:ascii="Arial" w:cs="Arial" w:eastAsia="Arial" w:hAnsi="Arial"/>
          <w:sz w:val="16"/>
          <w:szCs w:val="16"/>
          <w:color w:val="auto"/>
        </w:rPr>
        <w:t>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total stockholders’ (deficit) equity and total liabilities, convertible preferred</w:t>
      </w:r>
    </w:p>
    <w:p>
      <w:pPr>
        <w:spacing w:after="0" w:line="2" w:lineRule="exact"/>
        <w:rPr>
          <w:sz w:val="20"/>
          <w:szCs w:val="20"/>
          <w:color w:val="auto"/>
        </w:rPr>
      </w:pPr>
    </w:p>
    <w:p>
      <w:pPr>
        <w:ind w:left="540" w:right="140"/>
        <w:spacing w:after="0" w:line="260" w:lineRule="auto"/>
        <w:rPr>
          <w:sz w:val="20"/>
          <w:szCs w:val="20"/>
          <w:color w:val="auto"/>
        </w:rPr>
      </w:pPr>
      <w:r>
        <w:rPr>
          <w:rFonts w:ascii="Arial" w:cs="Arial" w:eastAsia="Arial" w:hAnsi="Arial"/>
          <w:sz w:val="18"/>
          <w:szCs w:val="18"/>
          <w:color w:val="auto"/>
        </w:rPr>
        <w:t>stock and stockholders’ (deficit) equity by approximately $ million, assuming the assumed initial public offering price of $ per share of Class A common stock remains the same, and after deducting estimated underwriting discounts and commissions.</w:t>
      </w:r>
    </w:p>
    <w:p>
      <w:pPr>
        <w:spacing w:after="0" w:line="18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outstanding share information in the table above is based on no shares of our Class A common stock and 235,275,442 shares of our Class B common stock (including preferred stock on an as-converted basis and reclassified as common stock) outstanding as of January 31, 2018 and excludes:</w:t>
      </w:r>
    </w:p>
    <w:p>
      <w:pPr>
        <w:spacing w:after="0" w:line="29" w:lineRule="exact"/>
        <w:rPr>
          <w:sz w:val="20"/>
          <w:szCs w:val="20"/>
          <w:color w:val="auto"/>
        </w:rPr>
      </w:pPr>
    </w:p>
    <w:p>
      <w:pPr>
        <w:ind w:left="980" w:right="44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34,170,489 shares of our Class B common stock issuable upon the exercise of options to purchase shares of our Class B common stock outstanding as of January 31, 2018, with a weighted-average exercise price of $0.31 per share;</w:t>
      </w:r>
    </w:p>
    <w:p>
      <w:pPr>
        <w:spacing w:after="0" w:line="75" w:lineRule="exact"/>
        <w:rPr>
          <w:rFonts w:ascii="Arial" w:cs="Arial" w:eastAsia="Arial" w:hAnsi="Arial"/>
          <w:sz w:val="18"/>
          <w:szCs w:val="18"/>
          <w:color w:val="auto"/>
        </w:rPr>
      </w:pPr>
    </w:p>
    <w:p>
      <w:pPr>
        <w:ind w:left="980" w:right="52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8,450,300 shares of our Class B common stock issuable upon the exercise of options to purchase shares of our Class B common stock granted after January 31, 2018, with a weighted-average exercise price of $3.94 per share;</w:t>
      </w:r>
    </w:p>
    <w:p>
      <w:pPr>
        <w:spacing w:after="0" w:line="75" w:lineRule="exact"/>
        <w:rPr>
          <w:rFonts w:ascii="Arial" w:cs="Arial" w:eastAsia="Arial" w:hAnsi="Arial"/>
          <w:sz w:val="18"/>
          <w:szCs w:val="18"/>
          <w:color w:val="auto"/>
        </w:rPr>
      </w:pPr>
    </w:p>
    <w:p>
      <w:pPr>
        <w:jc w:val="both"/>
        <w:ind w:left="980" w:right="20" w:hanging="432"/>
        <w:spacing w:after="0" w:line="291" w:lineRule="auto"/>
        <w:tabs>
          <w:tab w:leader="none" w:pos="15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interest in connection with this offering, assuming a conversion date of October 31, 2018 and an assumed initial public</w:t>
      </w:r>
    </w:p>
    <w:p>
      <w:pPr>
        <w:ind w:left="980"/>
        <w:spacing w:after="0"/>
        <w:rPr>
          <w:rFonts w:ascii="Arial" w:cs="Arial" w:eastAsia="Arial" w:hAnsi="Arial"/>
          <w:sz w:val="16"/>
          <w:szCs w:val="16"/>
          <w:color w:val="auto"/>
        </w:rPr>
      </w:pPr>
      <w:r>
        <w:rPr>
          <w:rFonts w:ascii="Arial" w:cs="Arial" w:eastAsia="Arial" w:hAnsi="Arial"/>
          <w:sz w:val="18"/>
          <w:szCs w:val="18"/>
          <w:color w:val="auto"/>
        </w:rPr>
        <w:t>offering price of $</w:t>
      </w:r>
      <w:r>
        <w:rPr>
          <w:rFonts w:ascii="Arial" w:cs="Arial" w:eastAsia="Arial" w:hAnsi="Arial"/>
          <w:sz w:val="16"/>
          <w:szCs w:val="16"/>
          <w:color w:val="auto"/>
        </w:rPr>
        <w:t>per share of Class A common stock, the midpoint of the price range set forth on the cover page of this prospectus;</w:t>
      </w:r>
    </w:p>
    <w:p>
      <w:pPr>
        <w:spacing w:after="0" w:line="116" w:lineRule="exact"/>
        <w:rPr>
          <w:rFonts w:ascii="Arial" w:cs="Arial" w:eastAsia="Arial" w:hAnsi="Arial"/>
          <w:sz w:val="16"/>
          <w:szCs w:val="16"/>
          <w:color w:val="auto"/>
        </w:rPr>
      </w:pPr>
    </w:p>
    <w:p>
      <w:pPr>
        <w:ind w:left="980" w:right="240" w:hanging="432"/>
        <w:spacing w:after="0" w:line="277" w:lineRule="auto"/>
        <w:tabs>
          <w:tab w:leader="none" w:pos="15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980" w:right="80" w:hanging="432"/>
        <w:spacing w:after="0" w:line="277" w:lineRule="auto"/>
        <w:tabs>
          <w:tab w:leader="none" w:pos="15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184"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As of January 31, 2018, we had a pro forma net tangible book value (deficit) of $ million, or $ per share. Pro forma net tangible book value per share represents the amount of our total tangible assets less our total liabilities, divided by the number of shares of our Class A and Class B common stock outstanding as of January 31, 2018, after giving effect to the reclassification and automatic conversion of all shares of our convertible preferred stock outstanding as of January 31, 2018 into 152,665,804 shares of our Class B common stock.</w:t>
      </w:r>
    </w:p>
    <w:p>
      <w:pPr>
        <w:spacing w:after="0" w:line="171" w:lineRule="exact"/>
        <w:rPr>
          <w:sz w:val="20"/>
          <w:szCs w:val="20"/>
          <w:color w:val="auto"/>
        </w:rPr>
      </w:pPr>
    </w:p>
    <w:p>
      <w:pPr>
        <w:ind w:left="560"/>
        <w:spacing w:after="0"/>
        <w:tabs>
          <w:tab w:leader="none" w:pos="400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Class A common stock that we are offering at an assumed initial public offering price of</w:t>
      </w:r>
    </w:p>
    <w:p>
      <w:pPr>
        <w:spacing w:after="0" w:line="23" w:lineRule="exact"/>
        <w:rPr>
          <w:sz w:val="20"/>
          <w:szCs w:val="20"/>
          <w:color w:val="auto"/>
        </w:rPr>
      </w:pPr>
    </w:p>
    <w:p>
      <w:pPr>
        <w:ind w:left="620" w:hanging="504"/>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the estimated underwriting discounts</w:t>
      </w:r>
    </w:p>
    <w:p>
      <w:pPr>
        <w:spacing w:after="0" w:line="3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January 31, 2018 would have</w:t>
      </w:r>
    </w:p>
    <w:p>
      <w:pPr>
        <w:spacing w:after="0" w:line="23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Class A common stock in this offering.</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56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January 31, 2018</w:t>
            </w:r>
          </w:p>
        </w:tc>
        <w:tc>
          <w:tcPr>
            <w:tcW w:w="3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Increase in pro forma net tangible book value per share attributable to this offering</w:t>
            </w:r>
          </w:p>
        </w:tc>
        <w:tc>
          <w:tcPr>
            <w:tcW w:w="28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86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400" w:type="dxa"/>
            <w:vAlign w:val="bottom"/>
          </w:tcPr>
          <w:p>
            <w:pPr>
              <w:ind w:left="44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20" w:type="dxa"/>
            <w:vAlign w:val="bottom"/>
            <w:gridSpan w:val="5"/>
          </w:tcPr>
          <w:p>
            <w:pPr>
              <w:ind w:left="100"/>
              <w:spacing w:after="0"/>
              <w:rPr>
                <w:sz w:val="20"/>
                <w:szCs w:val="20"/>
                <w:color w:val="auto"/>
              </w:rPr>
            </w:pPr>
            <w:r>
              <w:rPr>
                <w:rFonts w:ascii="Arial" w:cs="Arial" w:eastAsia="Arial" w:hAnsi="Arial"/>
                <w:sz w:val="18"/>
                <w:szCs w:val="18"/>
                <w:color w:val="auto"/>
                <w:w w:val="99"/>
              </w:rPr>
              <w:t>per share, the midpoint of the price range set forth on the</w:t>
            </w:r>
          </w:p>
        </w:tc>
      </w:tr>
    </w:tbl>
    <w:p>
      <w:pPr>
        <w:ind w:left="120" w:right="60"/>
        <w:spacing w:after="0"/>
        <w:rPr>
          <w:sz w:val="20"/>
          <w:szCs w:val="20"/>
          <w:color w:val="auto"/>
        </w:rPr>
      </w:pPr>
      <w:r>
        <w:rPr>
          <w:rFonts w:ascii="Arial" w:cs="Arial" w:eastAsia="Arial" w:hAnsi="Arial"/>
          <w:sz w:val="8"/>
          <w:szCs w:val="8"/>
          <w:color w:val="auto"/>
        </w:rPr>
        <w:t>cover page of this prospectus, would increase (decrease) the pro forma as adjusted net tangible book value per share after this offering by approximately $ , and dilution in pro forma net tangible book value per share to new investors by approximately $ ,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increase (decrease) our pro forma as adjusted net tangible book value per share after this offering 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 the midpoint of the price range set forth on the cover page of this prospectus.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following table summarizes on the pro forma as adjusted basis described above, as of January 31, 2018, the differences between the number of shares of Class B common stock purchased from us by our existing stockholders and Class A common stock by new investors purchasing shares in this offering, the total consideration paid to us in cash and the average price per share paid by existing stockholders for shares of Class B common stock issued prior to this offering and the price to be paid by new investors for shares of Class A common stock in this offering. The calculation below is based</w:t>
      </w:r>
    </w:p>
    <w:p>
      <w:pPr>
        <w:spacing w:after="0" w:line="1" w:lineRule="exact"/>
        <w:rPr>
          <w:sz w:val="20"/>
          <w:szCs w:val="20"/>
          <w:color w:val="auto"/>
        </w:rPr>
      </w:pPr>
    </w:p>
    <w:p>
      <w:pPr>
        <w:ind w:left="120" w:right="440"/>
        <w:spacing w:after="0" w:line="290" w:lineRule="auto"/>
        <w:rPr>
          <w:sz w:val="20"/>
          <w:szCs w:val="20"/>
          <w:color w:val="auto"/>
        </w:rPr>
      </w:pPr>
      <w:r>
        <w:rPr>
          <w:rFonts w:ascii="Arial" w:cs="Arial" w:eastAsia="Arial" w:hAnsi="Arial"/>
          <w:sz w:val="17"/>
          <w:szCs w:val="17"/>
          <w:color w:val="auto"/>
        </w:rPr>
        <w:t>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420" w:type="dxa"/>
            <w:vAlign w:val="bottom"/>
            <w:vMerge w:val="restart"/>
          </w:tcPr>
          <w:p>
            <w:pPr>
              <w:spacing w:after="0"/>
              <w:rPr>
                <w:sz w:val="14"/>
                <w:szCs w:val="14"/>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8"/>
              </w:rPr>
              <w:t>Total Consideration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12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1240" w:type="dxa"/>
            <w:vAlign w:val="bottom"/>
          </w:tcPr>
          <w:p>
            <w:pPr>
              <w:spacing w:after="0"/>
              <w:rPr>
                <w:sz w:val="4"/>
                <w:szCs w:val="4"/>
                <w:color w:val="auto"/>
              </w:rPr>
            </w:pPr>
          </w:p>
        </w:tc>
        <w:tc>
          <w:tcPr>
            <w:tcW w:w="520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4"/>
                <w:szCs w:val="4"/>
                <w:color w:val="auto"/>
              </w:rPr>
            </w:pPr>
          </w:p>
        </w:tc>
        <w:tc>
          <w:tcPr>
            <w:tcW w:w="100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97"/>
              </w:rPr>
              <w:t>Percent</w:t>
            </w:r>
          </w:p>
        </w:tc>
        <w:tc>
          <w:tcPr>
            <w:tcW w:w="68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5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5"/>
              </w:rPr>
              <w:t>Percent</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New investors</w:t>
            </w:r>
          </w:p>
        </w:tc>
        <w:tc>
          <w:tcPr>
            <w:tcW w:w="5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0" w:type="dxa"/>
            <w:vAlign w:val="bottom"/>
            <w:gridSpan w:val="7"/>
          </w:tcPr>
          <w:p>
            <w:pPr>
              <w:ind w:left="440"/>
              <w:spacing w:after="0"/>
              <w:rPr>
                <w:sz w:val="20"/>
                <w:szCs w:val="20"/>
                <w:color w:val="auto"/>
              </w:rPr>
            </w:pPr>
            <w:r>
              <w:rPr>
                <w:rFonts w:ascii="Arial" w:cs="Arial" w:eastAsia="Arial" w:hAnsi="Arial"/>
                <w:sz w:val="18"/>
                <w:szCs w:val="18"/>
                <w:color w:val="auto"/>
                <w:w w:val="95"/>
              </w:rPr>
              <w:t>Sales by the selling stockholders in this offering will reduce the number of shares held by existing stockholders to</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w w:val="93"/>
              </w:rPr>
              <w:t>, or approximately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0" w:type="dxa"/>
            <w:vAlign w:val="bottom"/>
            <w:gridSpan w:val="9"/>
          </w:tcPr>
          <w:p>
            <w:pPr>
              <w:spacing w:after="0"/>
              <w:rPr>
                <w:sz w:val="20"/>
                <w:szCs w:val="20"/>
                <w:color w:val="auto"/>
              </w:rPr>
            </w:pPr>
            <w:r>
              <w:rPr>
                <w:rFonts w:ascii="Arial" w:cs="Arial" w:eastAsia="Arial" w:hAnsi="Arial"/>
                <w:sz w:val="18"/>
                <w:szCs w:val="18"/>
                <w:color w:val="auto"/>
                <w:w w:val="94"/>
              </w:rPr>
              <w:t>of the total shares of common stock outstanding after this offering, and will increase the number of shares held by new investors to</w:t>
            </w:r>
          </w:p>
        </w:tc>
        <w:tc>
          <w:tcPr>
            <w:tcW w:w="560" w:type="dxa"/>
            <w:vAlign w:val="bottom"/>
            <w:gridSpan w:val="3"/>
          </w:tcPr>
          <w:p>
            <w:pPr>
              <w:jc w:val="right"/>
              <w:ind w:right="219"/>
              <w:spacing w:after="0"/>
              <w:rPr>
                <w:sz w:val="20"/>
                <w:szCs w:val="20"/>
                <w:color w:val="auto"/>
              </w:rPr>
            </w:pPr>
            <w:r>
              <w:rPr>
                <w:rFonts w:ascii="Arial" w:cs="Arial" w:eastAsia="Arial" w:hAnsi="Arial"/>
                <w:sz w:val="18"/>
                <w:szCs w:val="18"/>
                <w:color w:val="auto"/>
                <w:w w:val="92"/>
              </w:rPr>
              <w:t>, or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approximately</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 of the total shares of common stock outstanding after this offering.</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outstanding share information in the table above is based on no shares of our Class A common stock and 235,275,442 shares of our Class B common stock (including preferred stock on an as-converted basis and reclassified as Class B common stock) outstanding as of January 31, 2018 and excludes:</w:t>
      </w:r>
    </w:p>
    <w:p>
      <w:pPr>
        <w:spacing w:after="0" w:line="89" w:lineRule="exact"/>
        <w:rPr>
          <w:sz w:val="20"/>
          <w:szCs w:val="20"/>
          <w:color w:val="auto"/>
        </w:rPr>
      </w:pPr>
    </w:p>
    <w:p>
      <w:pPr>
        <w:ind w:left="980" w:right="44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34,170,489 shares of our Class B common stock issuable upon the exercise of options to purchase shares of our Class B common stock outstanding as of January 31, 2018, with a weighted-average exercise price of $0.31 per share;</w:t>
      </w:r>
    </w:p>
    <w:p>
      <w:pPr>
        <w:spacing w:after="0" w:line="75" w:lineRule="exact"/>
        <w:rPr>
          <w:rFonts w:ascii="Arial" w:cs="Arial" w:eastAsia="Arial" w:hAnsi="Arial"/>
          <w:sz w:val="18"/>
          <w:szCs w:val="18"/>
          <w:color w:val="auto"/>
        </w:rPr>
      </w:pPr>
    </w:p>
    <w:p>
      <w:pPr>
        <w:ind w:left="980" w:right="52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8,450,300 shares of our Class B common stock issuable upon the exercise of options to purchase shares of our Class B common stock granted after January 31, 2018, with a weighted-average exercise price of $3.94 per share;</w:t>
      </w:r>
    </w:p>
    <w:p>
      <w:pPr>
        <w:spacing w:after="0" w:line="75" w:lineRule="exact"/>
        <w:rPr>
          <w:rFonts w:ascii="Arial" w:cs="Arial" w:eastAsia="Arial" w:hAnsi="Arial"/>
          <w:sz w:val="18"/>
          <w:szCs w:val="18"/>
          <w:color w:val="auto"/>
        </w:rPr>
      </w:pPr>
    </w:p>
    <w:p>
      <w:pPr>
        <w:jc w:val="both"/>
        <w:ind w:left="980" w:right="20" w:hanging="432"/>
        <w:spacing w:after="0" w:line="291" w:lineRule="auto"/>
        <w:tabs>
          <w:tab w:leader="none" w:pos="15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interest in connection with this offering, assuming a conversion date of October 31, 2018 and an assumed initial public</w:t>
      </w:r>
    </w:p>
    <w:p>
      <w:pPr>
        <w:ind w:left="980"/>
        <w:spacing w:after="0"/>
        <w:rPr>
          <w:rFonts w:ascii="Arial" w:cs="Arial" w:eastAsia="Arial" w:hAnsi="Arial"/>
          <w:sz w:val="16"/>
          <w:szCs w:val="16"/>
          <w:color w:val="auto"/>
        </w:rPr>
      </w:pPr>
      <w:r>
        <w:rPr>
          <w:rFonts w:ascii="Arial" w:cs="Arial" w:eastAsia="Arial" w:hAnsi="Arial"/>
          <w:sz w:val="18"/>
          <w:szCs w:val="18"/>
          <w:color w:val="auto"/>
        </w:rPr>
        <w:t>offering price of $</w:t>
      </w:r>
      <w:r>
        <w:rPr>
          <w:rFonts w:ascii="Arial" w:cs="Arial" w:eastAsia="Arial" w:hAnsi="Arial"/>
          <w:sz w:val="16"/>
          <w:szCs w:val="16"/>
          <w:color w:val="auto"/>
        </w:rPr>
        <w:t>per share of Class A common stock, the midpoint of the price range set forth on the cover page of this prospectus;</w:t>
      </w:r>
    </w:p>
    <w:p>
      <w:pPr>
        <w:spacing w:after="0" w:line="116" w:lineRule="exact"/>
        <w:rPr>
          <w:rFonts w:ascii="Arial" w:cs="Arial" w:eastAsia="Arial" w:hAnsi="Arial"/>
          <w:sz w:val="16"/>
          <w:szCs w:val="16"/>
          <w:color w:val="auto"/>
        </w:rPr>
      </w:pPr>
    </w:p>
    <w:p>
      <w:pPr>
        <w:ind w:left="980" w:right="240" w:hanging="432"/>
        <w:spacing w:after="0" w:line="277" w:lineRule="auto"/>
        <w:tabs>
          <w:tab w:leader="none" w:pos="15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980" w:right="80" w:hanging="432"/>
        <w:spacing w:after="0" w:line="277" w:lineRule="auto"/>
        <w:tabs>
          <w:tab w:leader="none" w:pos="15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To the extent any outstanding options are exercised, there will be further dilution to new investors. If all of such outstanding options had been exercised as of January 31, 2018, the pro forma as adjusted net tangible book value per share after this offering would be $ , and total dilution per share to new investors would be $ .</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 and the investors purchasing shares of our Class A common stock in this offering would own % of the total number of shares of our Class A common stock outstanding immediately after completion of this offering.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following selected consolidated statements of operations data for the years ended January 31, 2017 and 2018 and the consolidated balance sheet data as of January 31, 2017 and 2018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60,817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151,478</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12,472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30,780</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31,580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82,707</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48,345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125,531</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shares used in computing net loss per share attributable to common stockholders, basic</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70,309,256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78,119,865</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pro forma net loss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 (unaudited)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231,681,645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Includes stock-based compensation expense as follows:</w:t>
      </w:r>
    </w:p>
    <w:p>
      <w:pPr>
        <w:spacing w:after="0" w:line="244"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auto"/>
        </w:rPr>
        <w:t>Year Ended</w:t>
      </w:r>
    </w:p>
    <w:p>
      <w:pPr>
        <w:ind w:left="998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43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13"/>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10,329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120" w:type="dxa"/>
            <w:vAlign w:val="bottom"/>
            <w:vMerge w:val="restart"/>
          </w:tcPr>
          <w:p>
            <w:pPr>
              <w:jc w:val="right"/>
              <w:ind w:right="3790"/>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3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4"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tbl>
      <w:tblPr>
        <w:tblLayout w:type="fixed"/>
        <w:tblInd w:w="12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92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93"/>
              </w:rPr>
              <w:t>As of January 31,</w:t>
            </w:r>
          </w:p>
        </w:tc>
      </w:tr>
      <w:tr>
        <w:trPr>
          <w:trHeight w:val="142"/>
        </w:trPr>
        <w:tc>
          <w:tcPr>
            <w:tcW w:w="42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0" w:type="dxa"/>
            <w:vAlign w:val="bottom"/>
            <w:gridSpan w:val="2"/>
          </w:tcPr>
          <w:p>
            <w:pPr>
              <w:jc w:val="right"/>
              <w:ind w:right="164"/>
              <w:spacing w:after="0"/>
              <w:rPr>
                <w:sz w:val="20"/>
                <w:szCs w:val="20"/>
                <w:color w:val="auto"/>
              </w:rPr>
            </w:pPr>
            <w:r>
              <w:rPr>
                <w:rFonts w:ascii="Arial" w:cs="Arial" w:eastAsia="Arial" w:hAnsi="Arial"/>
                <w:sz w:val="18"/>
                <w:szCs w:val="18"/>
                <w:color w:val="auto"/>
              </w:rPr>
              <w:t>$134,324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$ 36,146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8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103,056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Working capital</w:t>
            </w:r>
          </w:p>
        </w:tc>
        <w:tc>
          <w:tcPr>
            <w:tcW w:w="5800" w:type="dxa"/>
            <w:vAlign w:val="bottom"/>
            <w:gridSpan w:val="2"/>
          </w:tcPr>
          <w:p>
            <w:pPr>
              <w:jc w:val="right"/>
              <w:ind w:right="164"/>
              <w:spacing w:after="0"/>
              <w:rPr>
                <w:sz w:val="20"/>
                <w:szCs w:val="20"/>
                <w:color w:val="auto"/>
              </w:rPr>
            </w:pPr>
            <w:r>
              <w:rPr>
                <w:rFonts w:ascii="Arial" w:cs="Arial" w:eastAsia="Arial" w:hAnsi="Arial"/>
                <w:sz w:val="18"/>
                <w:szCs w:val="18"/>
                <w:color w:val="auto"/>
              </w:rPr>
              <w:t>123,007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114,633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164,796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215,019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Deferred revenue, current and non-current</w:t>
            </w:r>
          </w:p>
        </w:tc>
        <w:tc>
          <w:tcPr>
            <w:tcW w:w="5800" w:type="dxa"/>
            <w:vAlign w:val="bottom"/>
            <w:gridSpan w:val="2"/>
          </w:tcPr>
          <w:p>
            <w:pPr>
              <w:jc w:val="right"/>
              <w:ind w:right="164"/>
              <w:spacing w:after="0"/>
              <w:rPr>
                <w:sz w:val="20"/>
                <w:szCs w:val="20"/>
                <w:color w:val="auto"/>
              </w:rPr>
            </w:pPr>
            <w:r>
              <w:rPr>
                <w:rFonts w:ascii="Arial" w:cs="Arial" w:eastAsia="Arial" w:hAnsi="Arial"/>
                <w:sz w:val="18"/>
                <w:szCs w:val="18"/>
                <w:color w:val="auto"/>
              </w:rPr>
              <w:t>22,766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54,262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580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159,757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159,552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Accumulated deficit</w:t>
            </w:r>
          </w:p>
        </w:tc>
        <w:tc>
          <w:tcPr>
            <w:tcW w:w="5800" w:type="dxa"/>
            <w:vAlign w:val="bottom"/>
            <w:gridSpan w:val="2"/>
          </w:tcPr>
          <w:p>
            <w:pPr>
              <w:jc w:val="right"/>
              <w:ind w:right="104"/>
              <w:spacing w:after="0"/>
              <w:rPr>
                <w:sz w:val="20"/>
                <w:szCs w:val="20"/>
                <w:color w:val="auto"/>
              </w:rPr>
            </w:pPr>
            <w:r>
              <w:rPr>
                <w:rFonts w:ascii="Arial" w:cs="Arial" w:eastAsia="Arial" w:hAnsi="Arial"/>
                <w:sz w:val="18"/>
                <w:szCs w:val="18"/>
                <w:color w:val="auto"/>
              </w:rPr>
              <w:t>(28,915)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(32,737)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58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(28,838)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(26,671)</w:t>
            </w:r>
          </w:p>
        </w:tc>
      </w:tr>
      <w:tr>
        <w:trPr>
          <w:trHeight w:val="364"/>
        </w:trPr>
        <w:tc>
          <w:tcPr>
            <w:tcW w:w="4220" w:type="dxa"/>
            <w:vAlign w:val="bottom"/>
          </w:tcPr>
          <w:p>
            <w:pPr>
              <w:spacing w:after="0"/>
              <w:rPr>
                <w:sz w:val="24"/>
                <w:szCs w:val="24"/>
                <w:color w:val="auto"/>
              </w:rPr>
            </w:pPr>
          </w:p>
        </w:tc>
        <w:tc>
          <w:tcPr>
            <w:tcW w:w="4880" w:type="dxa"/>
            <w:vAlign w:val="bottom"/>
          </w:tcPr>
          <w:p>
            <w:pPr>
              <w:jc w:val="right"/>
              <w:ind w:right="341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users across disparate devices and locations in a single meeting.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millions of happy users are a testament to our ability to create an easy to use and reliable video communications platform. The positive impact we have on our hosts and customers is reflected in our average customer Net Promoter Score, which has been over 70 in 2018.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our inception, our consistent focus on innovation has allowed us to achieve the following significant milestones:</w:t>
      </w:r>
    </w:p>
    <w:p>
      <w:pPr>
        <w:spacing w:after="0" w:line="127" w:lineRule="exact"/>
        <w:rPr>
          <w:sz w:val="20"/>
          <w:szCs w:val="20"/>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Zoom founded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First public release of Zoom Meetings, which supported 200 million annual meeting minutes by year end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Introduced Zoom Chat, Zoom Video Webinar and Zoom Rooms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2015: </w:t>
      </w:r>
      <w:r>
        <w:rPr>
          <w:rFonts w:ascii="Arial" w:cs="Arial" w:eastAsia="Arial" w:hAnsi="Arial"/>
          <w:sz w:val="17"/>
          <w:szCs w:val="17"/>
          <w:color w:val="auto"/>
        </w:rPr>
        <w:t>Revolutionized mobile screen sharing, introduced Zoom Video Breakout Rooms and partnered with Slack and salesforce.com</w:t>
      </w:r>
    </w:p>
    <w:p>
      <w:pPr>
        <w:spacing w:after="0" w:line="142" w:lineRule="exact"/>
        <w:rPr>
          <w:rFonts w:ascii="Arial" w:cs="Arial" w:eastAsia="Arial" w:hAnsi="Arial"/>
          <w:sz w:val="17"/>
          <w:szCs w:val="17"/>
          <w:color w:val="auto"/>
        </w:rPr>
      </w:pPr>
    </w:p>
    <w:p>
      <w:pPr>
        <w:ind w:left="980" w:right="320" w:hanging="432"/>
        <w:spacing w:after="0" w:line="282"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Added native interoperability with Microsoft Skype for business, introduced touch and three-screen support for Zoom Rooms and</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six billion annual meeting minutes</w:t>
      </w:r>
    </w:p>
    <w:p>
      <w:pPr>
        <w:spacing w:after="0" w:line="67" w:lineRule="exact"/>
        <w:rPr>
          <w:rFonts w:ascii="Arial" w:cs="Arial" w:eastAsia="Arial" w:hAnsi="Arial"/>
          <w:sz w:val="18"/>
          <w:szCs w:val="18"/>
          <w:color w:val="auto"/>
        </w:rPr>
      </w:pPr>
    </w:p>
    <w:p>
      <w:pPr>
        <w:ind w:left="980" w:right="220" w:hanging="432"/>
        <w:spacing w:after="0" w:line="282"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Announced Zoom Developer Platform, hosted our first user conference, Zoomtopia, and opened offices in Australia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Announced Zoom Voice, Zoom App Marketplace and partnerships with Atlassian and Dropbox</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revenue was $60.8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generate revenue from the sale of subscriptions to our video-first communications platform. Subscription revenue is driven primarily by the number of paid hosts, as well as purchases of additional products including Zoom Rooms and Video Webinars. A host is any user of our video-first communications platform that initiates a Zoom Meeting and invites one or more participants to join that meeting. We refer to hosts that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Model</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offer subscriptions to our platform to a broad range of customers, from single users to organizations with hundreds of thousands of employees.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As</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of January 31, 2019, % of our customers in the past 12 months with more than $ of annual recurring revenue (ARR) started with at least one free host prior to subscribing.</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customer base is diverse and spans various industries and countries. Our top 10 customers accounted for less than 10% of revenue for each of the fiscal years ended January 31, 2017 and 2018.</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experienced significant success in attracting large enterprise accounts using our model. As of October 31, 2018, we had 441 customers with greater than $100,000 ARR, compared to just 194 customers one year before.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continue to invest resources to enhance the capabilities of our platform. We recently announced Zoom Voice in October 2018 and expect to make this product generally available in 2019. We also recently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platform addresses the communications needs of users worldwide. Minimal updates are required in order to make Zoom available for foreign markets, and we see international expansion as a major opportunity.</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only recently started to expand our go-to-market operations internationally. Our international revenue represented 17% of our revenue in the fiscal year ended January 31, 2018 when we first established a physical sales presence in Australia and the United Kingdom. In the nine months ended October 31, 2018, we added four additional local sales locations in France, Germany, Japan and the Netherlands, and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centers, third-party cloud hosting, integrated third-party public switched telephone network (PSTN) services, personnel-related costs, amortization of capitalized software development and allocated overhead. We expect our cost of revenue to increase in absolute dollars as our revenue increases.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Research and development expenses primarily consist of personnel-related costs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Sales and marketing expenses primarily consist of personnel-related costs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 While we expect our sales and marketing expenses to decrease as a percentage of our revenue over time, they may fluctuate as a percentage of our revenue from period to period.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costs associated with our finance, legal and human resources organizations, professional fees for external legal, accounting and other consulting services,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net consists primarily of interest income earned on our cash equivalents and marketable securities.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net consists primarily of miscellaneous non-operational income and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in which we conduct business.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indicated:</w:t>
      </w:r>
    </w:p>
    <w:p>
      <w:pPr>
        <w:spacing w:after="0" w:line="18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Year Ended</w:t>
      </w:r>
    </w:p>
    <w:p>
      <w:pPr>
        <w:ind w:left="976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60,817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151,478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30,780</w:t>
            </w:r>
          </w:p>
        </w:tc>
      </w:tr>
      <w:tr>
        <w:trPr>
          <w:trHeight w:val="27"/>
        </w:trPr>
        <w:tc>
          <w:tcPr>
            <w:tcW w:w="11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48,345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120,698</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15,733</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31,580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82,707</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27,091</w:t>
            </w:r>
          </w:p>
        </w:tc>
      </w:tr>
      <w:tr>
        <w:trPr>
          <w:trHeight w:val="230"/>
        </w:trPr>
        <w:tc>
          <w:tcPr>
            <w:tcW w:w="9120" w:type="dxa"/>
            <w:vAlign w:val="bottom"/>
            <w:gridSpan w:val="2"/>
          </w:tcPr>
          <w:p>
            <w:pPr>
              <w:ind w:left="10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48,345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125,531</w:t>
            </w:r>
          </w:p>
        </w:tc>
        <w:tc>
          <w:tcPr>
            <w:tcW w:w="120" w:type="dxa"/>
            <w:vAlign w:val="bottom"/>
          </w:tcPr>
          <w:p>
            <w:pPr>
              <w:spacing w:after="0"/>
              <w:rPr>
                <w:sz w:val="20"/>
                <w:szCs w:val="20"/>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(3,518)</w:t>
            </w:r>
          </w:p>
        </w:tc>
        <w:tc>
          <w:tcPr>
            <w:tcW w:w="12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(14,366)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(4,405)</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(14,380)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(8,227)</w:t>
            </w:r>
          </w:p>
        </w:tc>
      </w:tr>
      <w:tr>
        <w:trPr>
          <w:trHeight w:val="20"/>
        </w:trPr>
        <w:tc>
          <w:tcPr>
            <w:tcW w:w="11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8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auto"/>
        </w:rPr>
        <w:t>Year Ended</w:t>
      </w:r>
    </w:p>
    <w:p>
      <w:pPr>
        <w:ind w:left="998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13"/>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8,953</w:t>
            </w:r>
          </w:p>
        </w:tc>
      </w:tr>
      <w:tr>
        <w:trPr>
          <w:trHeight w:val="27"/>
        </w:trPr>
        <w:tc>
          <w:tcPr>
            <w:tcW w:w="1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10,329</w:t>
            </w:r>
          </w:p>
        </w:tc>
      </w:tr>
      <w:tr>
        <w:trPr>
          <w:trHeight w:val="20"/>
        </w:trPr>
        <w:tc>
          <w:tcPr>
            <w:tcW w:w="1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52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0" w:hanging="424"/>
        <w:spacing w:after="0" w:line="30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9"/>
          </w:tcPr>
          <w:p>
            <w:pPr>
              <w:jc w:val="right"/>
              <w:ind w:right="500"/>
              <w:spacing w:after="0" w:line="142" w:lineRule="exact"/>
              <w:rPr>
                <w:sz w:val="20"/>
                <w:szCs w:val="20"/>
                <w:color w:val="auto"/>
              </w:rPr>
            </w:pPr>
            <w:r>
              <w:rPr>
                <w:rFonts w:ascii="Arial" w:cs="Arial" w:eastAsia="Arial" w:hAnsi="Arial"/>
                <w:sz w:val="14"/>
                <w:szCs w:val="14"/>
                <w:b w:val="1"/>
                <w:bCs w:val="1"/>
                <w:color w:val="auto"/>
              </w:rPr>
              <w:t>(as a percentage of revenue)</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0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before provision for income taxes</w:t>
            </w: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p>
        </w:tc>
        <w:tc>
          <w:tcPr>
            <w:tcW w:w="10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560" w:type="dxa"/>
            <w:vAlign w:val="bottom"/>
            <w:gridSpan w:val="3"/>
          </w:tcPr>
          <w:p>
            <w:pPr>
              <w:jc w:val="right"/>
              <w:ind w:right="399"/>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ind w:left="440"/>
              <w:spacing w:after="0"/>
              <w:rPr>
                <w:sz w:val="20"/>
                <w:szCs w:val="20"/>
                <w:color w:val="auto"/>
              </w:rPr>
            </w:pPr>
            <w:r>
              <w:rPr>
                <w:rFonts w:ascii="Arial" w:cs="Arial" w:eastAsia="Arial" w:hAnsi="Arial"/>
                <w:sz w:val="18"/>
                <w:szCs w:val="18"/>
                <w:b w:val="1"/>
                <w:bCs w:val="1"/>
                <w:i w:val="1"/>
                <w:iCs w:val="1"/>
                <w:color w:val="auto"/>
              </w:rPr>
              <w:t>Comparison of the Fiscal Years Ended January 31, 2017 and 2018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ind w:left="440"/>
              <w:spacing w:after="0"/>
              <w:rPr>
                <w:sz w:val="20"/>
                <w:szCs w:val="20"/>
                <w:color w:val="auto"/>
              </w:rPr>
            </w:pPr>
            <w:r>
              <w:rPr>
                <w:rFonts w:ascii="Arial" w:cs="Arial" w:eastAsia="Arial" w:hAnsi="Arial"/>
                <w:sz w:val="18"/>
                <w:szCs w:val="18"/>
                <w:i w:val="1"/>
                <w:iCs w:val="1"/>
                <w:color w:val="auto"/>
              </w:rPr>
              <w:t>Revenue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left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8"/>
              </w:rPr>
              <w:t>$60,817</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$151,478</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Revenue increased by $90.7 million, or 149%, for the fiscal year ended January 31, 2018, as compared to the fiscal year ended January 31, 2017. The increase was primarily attributable to the addition of new customers, as well as an increase in users and sales of additional services to existing customers.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92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180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89"/>
              </w:rPr>
              <w:t>$12,472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30,780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147%</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239"/>
              <w:spacing w:after="0"/>
              <w:rPr>
                <w:sz w:val="20"/>
                <w:szCs w:val="20"/>
                <w:color w:val="auto"/>
              </w:rPr>
            </w:pPr>
            <w:r>
              <w:rPr>
                <w:rFonts w:ascii="Arial" w:cs="Arial" w:eastAsia="Arial" w:hAnsi="Arial"/>
                <w:sz w:val="18"/>
                <w:szCs w:val="18"/>
                <w:color w:val="auto"/>
                <w:w w:val="89"/>
              </w:rPr>
              <w:t>$48,345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120,698</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Cost of revenue increased by $18.3 million, or 147%, for the fiscal year ended January 31, 2018, as compared to the fiscal 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costs as a result of increased headcount.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6350</wp:posOffset>
            </wp:positionV>
            <wp:extent cx="13112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8960"/>
        <w:spacing w:after="0"/>
        <w:tabs>
          <w:tab w:leader="none" w:pos="9860" w:val="left"/>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-3175</wp:posOffset>
            </wp:positionV>
            <wp:extent cx="1311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91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$9,218</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Research and development expense increased by $6.5 million, or 71%, for the fiscal year ended January 31, 2018, as compared to the fiscal year ended January 31, 2017, as we continued to add new features and functionality to our video-first communications platform. The increase was primarily attributable to an increase in personnel-related costs of $5.3 million as a result of increased headcount. The remainder of the increase was primarily attributable to increased expenses of $0.4 million related to equipment and software and $0.3 million in allocated overhead.</w:t>
      </w:r>
    </w:p>
    <w:p>
      <w:pPr>
        <w:spacing w:after="0" w:line="176"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6350</wp:posOffset>
            </wp:positionV>
            <wp:extent cx="1440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8820"/>
        <w:spacing w:after="0"/>
        <w:tabs>
          <w:tab w:leader="none" w:pos="9760" w:val="left"/>
          <w:tab w:leader="none" w:pos="10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-3175</wp:posOffset>
            </wp:positionV>
            <wp:extent cx="1440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900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$31,580</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$82,707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bl>
    <w:p>
      <w:pPr>
        <w:spacing w:after="0" w:line="20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Sales and marketing expense increased by $51.1 million, or 162%, for the fiscal year ended January 31, 2018, as compared to 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costs of $20.9 million as a result of increased headcount to support the growth in our sales force, which includes a</w:t>
      </w:r>
    </w:p>
    <w:p>
      <w:pPr>
        <w:spacing w:after="0" w:line="1"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209"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6350</wp:posOffset>
            </wp:positionV>
            <wp:extent cx="13716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8880"/>
        <w:spacing w:after="0"/>
        <w:tabs>
          <w:tab w:leader="none" w:pos="9760" w:val="left"/>
          <w:tab w:leader="none" w:pos="10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-3175</wp:posOffset>
            </wp:positionV>
            <wp:extent cx="13716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90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$7,547</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General and administrative expense increased by $19.5 million, or 259%, for the fiscal year ended January 31, 2018, as 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6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costs as a result of increased headcount, $1.2 million for external accounting and consulting services, $0.8 million related to equipment and software and $0.6 million in allocated overhead.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 Net</w:t>
      </w:r>
    </w:p>
    <w:p>
      <w:pPr>
        <w:spacing w:after="0" w:line="244"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6350</wp:posOffset>
            </wp:positionV>
            <wp:extent cx="1276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8920"/>
        <w:spacing w:after="0"/>
        <w:tabs>
          <w:tab w:leader="none" w:pos="9680" w:val="left"/>
          <w:tab w:leader="none" w:pos="10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-3175</wp:posOffset>
            </wp:positionV>
            <wp:extent cx="1276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90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4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$ 98</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firstLine="440"/>
        <w:spacing w:after="0" w:line="308" w:lineRule="auto"/>
        <w:rPr>
          <w:sz w:val="20"/>
          <w:szCs w:val="20"/>
          <w:color w:val="auto"/>
        </w:rPr>
      </w:pPr>
      <w:r>
        <w:rPr>
          <w:rFonts w:ascii="Arial" w:cs="Arial" w:eastAsia="Arial" w:hAnsi="Arial"/>
          <w:sz w:val="17"/>
          <w:szCs w:val="17"/>
          <w:color w:val="auto"/>
        </w:rPr>
        <w:t>Interest income net increased by $1.1 million, or 1,166%, for the fiscal year ended January 31, 2018, compared to the fiscal year ended January 31, 2017. The increase was primarily driven by interest income earned from our investments in marketable securities.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-3175</wp:posOffset>
            </wp:positionV>
            <wp:extent cx="10712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jc w:val="both"/>
        <w:ind w:left="9260"/>
        <w:spacing w:after="0"/>
        <w:tabs>
          <w:tab w:leader="none" w:pos="9960" w:val="left"/>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-3175</wp:posOffset>
            </wp:positionV>
            <wp:extent cx="1071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93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$ 60</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significant changes to other income, net during the respective periods.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Provision for Income Taxes</w:t>
      </w:r>
    </w:p>
    <w:p>
      <w:pPr>
        <w:spacing w:after="0" w:line="244"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-3175</wp:posOffset>
            </wp:positionV>
            <wp:extent cx="9601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jc w:val="both"/>
        <w:ind w:left="9460"/>
        <w:spacing w:after="0"/>
        <w:tabs>
          <w:tab w:leader="none" w:pos="10080" w:val="left"/>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-3175</wp:posOffset>
            </wp:positionV>
            <wp:extent cx="9601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948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Provision for income taxes increased by $0.1 million, or 77%, for the fiscal year ended January 31, 2018, compared to the fiscal year ended January 31, 2017. The change in provision for income taxes was due primarily to international operations.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42"/>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1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320"/>
              <w:spacing w:after="0" w:line="119" w:lineRule="exact"/>
              <w:rPr>
                <w:sz w:val="20"/>
                <w:szCs w:val="20"/>
                <w:color w:val="auto"/>
              </w:rPr>
            </w:pPr>
            <w:r>
              <w:rPr>
                <w:rFonts w:ascii="Arial" w:cs="Arial" w:eastAsia="Arial" w:hAnsi="Arial"/>
                <w:sz w:val="13"/>
                <w:szCs w:val="13"/>
                <w:b w:val="1"/>
                <w:bCs w:val="1"/>
                <w:color w:val="auto"/>
              </w:rPr>
              <w:t>April 30,</w:t>
            </w:r>
          </w:p>
        </w:tc>
        <w:tc>
          <w:tcPr>
            <w:tcW w:w="760" w:type="dxa"/>
            <w:vAlign w:val="bottom"/>
            <w:gridSpan w:val="2"/>
          </w:tcPr>
          <w:p>
            <w:pPr>
              <w:jc w:val="right"/>
              <w:ind w:right="130"/>
              <w:spacing w:after="0" w:line="119" w:lineRule="exact"/>
              <w:rPr>
                <w:sz w:val="20"/>
                <w:szCs w:val="20"/>
                <w:color w:val="auto"/>
              </w:rPr>
            </w:pPr>
            <w:r>
              <w:rPr>
                <w:rFonts w:ascii="Arial" w:cs="Arial" w:eastAsia="Arial" w:hAnsi="Arial"/>
                <w:sz w:val="13"/>
                <w:szCs w:val="13"/>
                <w:b w:val="1"/>
                <w:bCs w:val="1"/>
                <w:color w:val="auto"/>
              </w:rPr>
              <w:t>July 31,</w:t>
            </w:r>
          </w:p>
        </w:tc>
        <w:tc>
          <w:tcPr>
            <w:tcW w:w="1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April 30,</w:t>
            </w:r>
          </w:p>
        </w:tc>
        <w:tc>
          <w:tcPr>
            <w:tcW w:w="22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6"/>
              </w:rPr>
              <w:t>July 31,</w:t>
            </w:r>
          </w:p>
        </w:tc>
        <w:tc>
          <w:tcPr>
            <w:tcW w:w="24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October 31,</w:t>
            </w:r>
          </w:p>
        </w:tc>
        <w:tc>
          <w:tcPr>
            <w:tcW w:w="220" w:type="dxa"/>
            <w:vAlign w:val="bottom"/>
          </w:tcPr>
          <w:p>
            <w:pPr>
              <w:spacing w:after="0"/>
              <w:rPr>
                <w:sz w:val="10"/>
                <w:szCs w:val="10"/>
                <w:color w:val="auto"/>
              </w:rPr>
            </w:pPr>
          </w:p>
        </w:tc>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r>
      <w:tr>
        <w:trPr>
          <w:trHeight w:val="171"/>
        </w:trPr>
        <w:tc>
          <w:tcPr>
            <w:tcW w:w="1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1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center"/>
              <w:ind w:right="202"/>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26,753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$32,921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50,914</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7,755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10,749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40,165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12,693</w:t>
            </w:r>
          </w:p>
        </w:tc>
        <w:tc>
          <w:tcPr>
            <w:tcW w:w="26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16,636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23,803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29,575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98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18,988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33,416</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w w:val="96"/>
              </w:rPr>
              <w:t>Net income (loss)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(6,259</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April 30,</w:t>
            </w:r>
          </w:p>
        </w:tc>
        <w:tc>
          <w:tcPr>
            <w:tcW w:w="7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July 31,</w:t>
            </w:r>
          </w:p>
        </w:tc>
        <w:tc>
          <w:tcPr>
            <w:tcW w:w="12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240" w:type="dxa"/>
            <w:vAlign w:val="bottom"/>
          </w:tcPr>
          <w:p>
            <w:pPr>
              <w:spacing w:after="0"/>
              <w:rPr>
                <w:sz w:val="10"/>
                <w:szCs w:val="10"/>
                <w:color w:val="auto"/>
              </w:rPr>
            </w:pPr>
          </w:p>
        </w:tc>
        <w:tc>
          <w:tcPr>
            <w:tcW w:w="7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Pr>
          <w:p>
            <w:pPr>
              <w:spacing w:after="0"/>
              <w:rPr>
                <w:sz w:val="10"/>
                <w:szCs w:val="10"/>
                <w:color w:val="auto"/>
              </w:rPr>
            </w:pPr>
          </w:p>
        </w:tc>
        <w:tc>
          <w:tcPr>
            <w:tcW w:w="720" w:type="dxa"/>
            <w:vAlign w:val="bottom"/>
          </w:tcPr>
          <w:p>
            <w:pPr>
              <w:spacing w:after="0" w:line="119" w:lineRule="exact"/>
              <w:rPr>
                <w:sz w:val="20"/>
                <w:szCs w:val="20"/>
                <w:color w:val="auto"/>
              </w:rPr>
            </w:pPr>
            <w:r>
              <w:rPr>
                <w:rFonts w:ascii="Arial" w:cs="Arial" w:eastAsia="Arial" w:hAnsi="Arial"/>
                <w:sz w:val="13"/>
                <w:szCs w:val="13"/>
                <w:b w:val="1"/>
                <w:bCs w:val="1"/>
                <w:color w:val="auto"/>
                <w:w w:val="97"/>
              </w:rPr>
              <w:t>October 31,</w:t>
            </w:r>
          </w:p>
        </w:tc>
        <w:tc>
          <w:tcPr>
            <w:tcW w:w="240" w:type="dxa"/>
            <w:vAlign w:val="bottom"/>
          </w:tcPr>
          <w:p>
            <w:pPr>
              <w:spacing w:after="0"/>
              <w:rPr>
                <w:sz w:val="10"/>
                <w:szCs w:val="10"/>
                <w:color w:val="auto"/>
              </w:rPr>
            </w:pPr>
          </w:p>
        </w:tc>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right"/>
              <w:ind w:right="189"/>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Total stock-based compensation expense</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8,945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July 31,</w:t>
            </w: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October 31,</w:t>
            </w:r>
          </w:p>
        </w:tc>
        <w:tc>
          <w:tcPr>
            <w:tcW w:w="10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January 31,</w:t>
            </w:r>
          </w:p>
        </w:tc>
        <w:tc>
          <w:tcPr>
            <w:tcW w:w="860" w:type="dxa"/>
            <w:vAlign w:val="bottom"/>
            <w:gridSpan w:val="2"/>
          </w:tcPr>
          <w:p>
            <w:pPr>
              <w:jc w:val="right"/>
              <w:ind w:right="219"/>
              <w:spacing w:after="0" w:line="119" w:lineRule="exact"/>
              <w:rPr>
                <w:sz w:val="20"/>
                <w:szCs w:val="20"/>
                <w:color w:val="auto"/>
              </w:rPr>
            </w:pPr>
            <w:r>
              <w:rPr>
                <w:rFonts w:ascii="Arial" w:cs="Arial" w:eastAsia="Arial" w:hAnsi="Arial"/>
                <w:sz w:val="13"/>
                <w:szCs w:val="13"/>
                <w:b w:val="1"/>
                <w:bCs w:val="1"/>
                <w:color w:val="auto"/>
              </w:rPr>
              <w:t>April 30,</w:t>
            </w:r>
          </w:p>
        </w:tc>
        <w:tc>
          <w:tcPr>
            <w:tcW w:w="960" w:type="dxa"/>
            <w:vAlign w:val="bottom"/>
            <w:gridSpan w:val="2"/>
          </w:tcPr>
          <w:p>
            <w:pPr>
              <w:jc w:val="center"/>
              <w:ind w:right="159"/>
              <w:spacing w:after="0" w:line="119" w:lineRule="exact"/>
              <w:rPr>
                <w:sz w:val="20"/>
                <w:szCs w:val="20"/>
                <w:color w:val="auto"/>
              </w:rPr>
            </w:pPr>
            <w:r>
              <w:rPr>
                <w:rFonts w:ascii="Arial" w:cs="Arial" w:eastAsia="Arial" w:hAnsi="Arial"/>
                <w:sz w:val="13"/>
                <w:szCs w:val="13"/>
                <w:b w:val="1"/>
                <w:bCs w:val="1"/>
                <w:color w:val="auto"/>
              </w:rPr>
              <w:t>July 31,</w:t>
            </w:r>
          </w:p>
        </w:tc>
        <w:tc>
          <w:tcPr>
            <w:tcW w:w="1040" w:type="dxa"/>
            <w:vAlign w:val="bottom"/>
            <w:gridSpan w:val="2"/>
          </w:tcPr>
          <w:p>
            <w:pPr>
              <w:jc w:val="center"/>
              <w:ind w:right="159"/>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Arial" w:cs="Arial" w:eastAsia="Arial" w:hAnsi="Arial"/>
                <w:sz w:val="16"/>
                <w:szCs w:val="16"/>
                <w:color w:val="auto"/>
              </w:rPr>
              <w:t>Cost of revenue</w:t>
            </w: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78"/>
              </w:rPr>
              <w:t>21</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19</w:t>
            </w: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78"/>
              </w:rPr>
              <w:t>79</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48</w:t>
            </w:r>
          </w:p>
        </w:tc>
        <w:tc>
          <w:tcPr>
            <w:tcW w:w="520" w:type="dxa"/>
            <w:vAlign w:val="bottom"/>
          </w:tcPr>
          <w:p>
            <w:pPr>
              <w:ind w:left="360"/>
              <w:spacing w:after="0"/>
              <w:rPr>
                <w:sz w:val="20"/>
                <w:szCs w:val="20"/>
                <w:color w:val="auto"/>
              </w:rPr>
            </w:pPr>
            <w:r>
              <w:rPr>
                <w:rFonts w:ascii="Arial" w:cs="Arial" w:eastAsia="Arial" w:hAnsi="Arial"/>
                <w:sz w:val="16"/>
                <w:szCs w:val="16"/>
                <w:color w:val="auto"/>
                <w:w w:val="78"/>
              </w:rPr>
              <w:t>50</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58</w:t>
            </w: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78"/>
              </w:rPr>
              <w:t>38</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640"/>
              <w:spacing w:after="0"/>
              <w:rPr>
                <w:sz w:val="20"/>
                <w:szCs w:val="20"/>
                <w:color w:val="auto"/>
              </w:rPr>
            </w:pPr>
            <w:r>
              <w:rPr>
                <w:rFonts w:ascii="Arial" w:cs="Arial" w:eastAsia="Arial" w:hAnsi="Arial"/>
                <w:sz w:val="16"/>
                <w:szCs w:val="16"/>
                <w:color w:val="auto"/>
              </w:rPr>
              <w:t>Total operating expenses</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78"/>
              </w:rPr>
              <w:t>99</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82</w:t>
            </w: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6"/>
                <w:szCs w:val="16"/>
                <w:color w:val="auto"/>
              </w:rPr>
              <w:t>Interest income, net</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1</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6"/>
                <w:szCs w:val="16"/>
                <w:color w:val="auto"/>
              </w:rPr>
              <w:t>Net income (loss) before provision for income</w:t>
            </w:r>
          </w:p>
        </w:tc>
        <w:tc>
          <w:tcPr>
            <w:tcW w:w="6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160"/>
              <w:spacing w:after="0"/>
              <w:rPr>
                <w:sz w:val="20"/>
                <w:szCs w:val="20"/>
                <w:color w:val="auto"/>
              </w:rPr>
            </w:pPr>
            <w:r>
              <w:rPr>
                <w:rFonts w:ascii="Arial" w:cs="Arial" w:eastAsia="Arial" w:hAnsi="Arial"/>
                <w:sz w:val="16"/>
                <w:szCs w:val="16"/>
                <w:color w:val="auto"/>
              </w:rPr>
              <w:t>taxes</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9</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(19)</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00" w:type="dxa"/>
            <w:vAlign w:val="bottom"/>
            <w:vMerge w:val="continue"/>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Quarterly Gross Profit Trends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Gross profit increased sequentially in each of the quarters presented, primarily driven by an increase in revenue. Our gross profit margins were consistent for all periods presented.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total quarterly operating expenses increased sequentially for all periods presented due primarily to increases in headcount and other related expenses to support our growth. We intend to continue to make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costs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6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January 31, 2018, our principal sources of liquidity were cash, cash equivalents and marketable securities of $139.2 million, which were held for working capital purposes. Our marketable securities generally consist of high-grade commercial paper, corporate bonds, agency bonds and U.S. government agency securities.</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Since our inception, we have financed our operations primarily through sales of equity securities and cash generated from operations. Subsequent to the fiscal year ended January 31, 2018, we also issued promissory notes in an aggregate principal amount of $15.0 million to two strategic partners. Refer to Note 10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5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6 to our consolidated financial statements included elsewhere in this prospectus for more information regarding these transactions.</w:t>
      </w:r>
    </w:p>
    <w:p>
      <w:pPr>
        <w:spacing w:after="0" w:line="14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45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4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9,361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19,426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400" w:type="dxa"/>
            <w:vAlign w:val="bottom"/>
            <w:gridSpan w:val="2"/>
          </w:tcPr>
          <w:p>
            <w:pPr>
              <w:jc w:val="right"/>
              <w:ind w:right="148"/>
              <w:spacing w:after="0"/>
              <w:rPr>
                <w:sz w:val="20"/>
                <w:szCs w:val="20"/>
                <w:color w:val="auto"/>
              </w:rPr>
            </w:pPr>
            <w:r>
              <w:rPr>
                <w:rFonts w:ascii="Arial" w:cs="Arial" w:eastAsia="Arial" w:hAnsi="Arial"/>
                <w:sz w:val="18"/>
                <w:szCs w:val="18"/>
                <w:color w:val="auto"/>
              </w:rPr>
              <w:t>(2,824)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(113,357)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100,267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(3,997)</w:t>
            </w:r>
          </w:p>
        </w:tc>
      </w:tr>
      <w:tr>
        <w:trPr>
          <w:trHeight w:val="365"/>
        </w:trPr>
        <w:tc>
          <w:tcPr>
            <w:tcW w:w="4520" w:type="dxa"/>
            <w:vAlign w:val="bottom"/>
          </w:tcPr>
          <w:p>
            <w:pPr>
              <w:spacing w:after="0"/>
              <w:rPr>
                <w:sz w:val="24"/>
                <w:szCs w:val="24"/>
                <w:color w:val="auto"/>
              </w:rPr>
            </w:pPr>
          </w:p>
        </w:tc>
        <w:tc>
          <w:tcPr>
            <w:tcW w:w="4420" w:type="dxa"/>
            <w:vAlign w:val="bottom"/>
          </w:tcPr>
          <w:p>
            <w:pPr>
              <w:jc w:val="right"/>
              <w:ind w:right="3250"/>
              <w:spacing w:after="0"/>
              <w:rPr>
                <w:sz w:val="20"/>
                <w:szCs w:val="20"/>
                <w:color w:val="auto"/>
              </w:rPr>
            </w:pPr>
            <w:r>
              <w:rPr>
                <w:rFonts w:ascii="Arial" w:cs="Arial" w:eastAsia="Arial" w:hAnsi="Arial"/>
                <w:sz w:val="18"/>
                <w:szCs w:val="18"/>
                <w:color w:val="auto"/>
              </w:rPr>
              <w:t>64</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9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unfavorable to cash flows from operations by $0.3 million primarily due to an addition to deferred contract acquisition costs of $27.5 million, an increase to accounts receivable of $16.6 million due to increases in sales and an increase in prepaid expenses and other assets of</w:t>
      </w:r>
    </w:p>
    <w:p>
      <w:pPr>
        <w:spacing w:after="0" w:line="2"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color w:val="auto"/>
        </w:rPr>
        <w:t>$3.4 million, partially offset by an increase in deferred revenue of $31.5 million due to increases in sales and an increase in accounts payable and accrued expenses and other liabilities of $16.3 million.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used in investing activities of $2.8 million for the fiscal year ended January 31, 2017 was related to capital expenditures of $4.8 million, partially offset by principal payment received on a note receivable of $2.0 million. Refer to Note 9 to our consolidated financial statements included elsewhere in this prospectus for more information regarding the note receivable.</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Net cash used in investing activities of $113.4 million for the fiscal year ended January 31, 2018 was related to net purchases of marketable securities of $103.6 million and capital expenditures of $9.7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8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 consideration in the amount of $75.7 million that we expect to recognize as revenue. We expect to recognize 67% of our remaining performance obligations as revenue in fiscal 2019 and the remainder thereafter.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non-cancelable contractual obligations as of January 31,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76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Less Than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1 – 3</w:t>
            </w: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3 – 5</w:t>
            </w: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$10,849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5,559</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$1,541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Non-cancellable purchase obligations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3,396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4,554</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18,799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10,113</w:t>
            </w: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Through January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vast majority of our cash generated from revenue are denominated in U.S. dollars, with a small number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had cash and cash equivalents of $36.1 million and marketable securities of $103.1 million as of January 31, 2018.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and 2018.</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of America (U.S. GAAP). The preparation of these financial statements requires us to make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6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Access to our video-first communications platform and related support services are subscription revenue and is considered one performance obligation and the related revenue is recognized ratably over the subscription period as we satisfy the performance obligation.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Services are time-based arrangements and revenue is recognized as these services are performed.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Contract liabilities consist of deferred revenue. Revenue is deferred when we have the right to invoice in advance of performance under a contract.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portion of deferred revenue balances are recognized during the following 12-month period.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to Obtain a Contract</w:t>
      </w:r>
    </w:p>
    <w:p>
      <w:pPr>
        <w:spacing w:after="0" w:line="12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costs should be deferred based on our sales compensation plans and if the commissions are incremental and would not have occurred absent the customer contract.</w:t>
      </w:r>
    </w:p>
    <w:p>
      <w:pPr>
        <w:spacing w:after="0" w:line="14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Sales commissions paid upon the initial acquisition of a contract are amortized over an estimated period of benefit of three years, which is typically greater than the contractual terms of the contracts. We do not pay sales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66"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980" w:right="80" w:hanging="432"/>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our common stock is not publicly traded, the fair value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2"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75" w:lineRule="exact"/>
        <w:rPr>
          <w:rFonts w:ascii="Arial" w:cs="Arial" w:eastAsia="Arial" w:hAnsi="Arial"/>
          <w:sz w:val="18"/>
          <w:szCs w:val="18"/>
          <w:color w:val="auto"/>
        </w:rPr>
      </w:pPr>
    </w:p>
    <w:p>
      <w:pPr>
        <w:ind w:left="980" w:right="80" w:hanging="432"/>
        <w:spacing w:after="0" w:line="25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3"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9" w:lineRule="exact"/>
        <w:rPr>
          <w:rFonts w:ascii="Arial" w:cs="Arial" w:eastAsia="Arial" w:hAnsi="Arial"/>
          <w:sz w:val="18"/>
          <w:szCs w:val="18"/>
          <w:color w:val="auto"/>
        </w:rPr>
      </w:pPr>
    </w:p>
    <w:p>
      <w:pPr>
        <w:ind w:left="980" w:right="680" w:hanging="432"/>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Black-Scholes assumptions used in evaluating our awards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Year Ended January 31,</w:t>
            </w:r>
          </w:p>
        </w:tc>
        <w:tc>
          <w:tcPr>
            <w:tcW w:w="800" w:type="dxa"/>
            <w:vAlign w:val="bottom"/>
            <w:tcBorders>
              <w:bottom w:val="single" w:sz="8" w:color="auto"/>
            </w:tcBorders>
          </w:tcPr>
          <w:p>
            <w:pPr>
              <w:spacing w:after="0"/>
              <w:rPr>
                <w:sz w:val="14"/>
                <w:szCs w:val="14"/>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2"/>
          </w:tcPr>
          <w:p>
            <w:pPr>
              <w:jc w:val="right"/>
              <w:ind w:right="49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56.3%</w:t>
            </w: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800" w:type="dxa"/>
            <w:vAlign w:val="bottom"/>
          </w:tcPr>
          <w:p>
            <w:pPr>
              <w:ind w:left="20"/>
              <w:spacing w:after="0"/>
              <w:rPr>
                <w:sz w:val="20"/>
                <w:szCs w:val="20"/>
                <w:color w:val="auto"/>
              </w:rPr>
            </w:pPr>
            <w:r>
              <w:rPr>
                <w:rFonts w:ascii="Arial" w:cs="Arial" w:eastAsia="Arial" w:hAnsi="Arial"/>
                <w:sz w:val="18"/>
                <w:szCs w:val="18"/>
                <w:color w:val="auto"/>
              </w:rPr>
              <w:t>– 52.0%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455"/>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valuing our common stock, the fair value of our business, or enterprise value, was determined using a market approach.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8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enterprise value, with exercise prices based on the liquidation preference of our convertible preferred stock. The common stock is modeled as a call option with a claim on the enterprise at an exercise price equal to the remaining value immediately after our convertible preferred stock is liquidated. The OPM is appropriate to use when the range of possible future outcomes is difficult to predict and thus creates highly speculative forecasts. Allocation via the Probability Weighted Expected Return Method (PWERM) was not done due to the uncertainty of discrete future outcomes as of the measurement date. The PWERM is useful when discrete future outcomes can be predicted at a relatively high confidence level with a probability distribution. After the equity value is determined and allocated to the various classes of shares, a discount for lack of marketability (DLOM) is applied to arrive at the fair value of common stock.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6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assessments of the fair value of common stock for grant dates between the dates of the valuations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This determination included an evaluation of whether the subsequent valuation indicated that any significant change in valuation had occurred between the previous valuation and the grant date.</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See “Summary of Business and Significant Accounting Policies” in Note 1 of the notes to our consolidated financial statements included elsewhere in this prospectus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users across disparate devices and locations in a single meeting.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 frictionless communications experience. Many customers also choose to implement Zoom Rooms, our software-based conference room system, which enables users to easily experience 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happiness we bring is recognized by customers and industry analysts alike. In 2018, our average customer Net Promoter Score (NPS) has been over 70. Gartner has named Zoom a Leader in its Magic Quadrant for Meeting Solutions based on our “ability to execute” and “completeness of vision.” Zoom also has consistently high scores across customer review sites, including Gartner Peer Insights. We have been recognized as a 2018 Gartner Peer Insights Customers’ Choice for Meeting Solutions (Web Conferencing).</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customer opportunity, which can include our direct sales force, online channel, resellers and strategic partners. Our sales model allows us to</w:t>
      </w:r>
    </w:p>
    <w:p>
      <w:pPr>
        <w:spacing w:after="0" w:line="35" w:lineRule="exact"/>
        <w:rPr>
          <w:sz w:val="20"/>
          <w:szCs w:val="20"/>
          <w:color w:val="auto"/>
        </w:rPr>
      </w:pPr>
    </w:p>
    <w:p>
      <w:pPr>
        <w:ind w:left="120"/>
        <w:spacing w:after="0"/>
        <w:tabs>
          <w:tab w:leader="none" w:pos="7580" w:val="left"/>
        </w:tabs>
        <w:rPr>
          <w:sz w:val="20"/>
          <w:szCs w:val="20"/>
          <w:color w:val="auto"/>
        </w:rPr>
      </w:pPr>
      <w:r>
        <w:rPr>
          <w:rFonts w:ascii="Arial" w:cs="Arial" w:eastAsia="Arial" w:hAnsi="Arial"/>
          <w:sz w:val="18"/>
          <w:szCs w:val="18"/>
          <w:color w:val="auto"/>
        </w:rPr>
        <w:t>efficiently turn a single non-paying user into a full enterprise deployment. As of January 31, 2019,</w:t>
      </w:r>
      <w:r>
        <w:rPr>
          <w:sz w:val="20"/>
          <w:szCs w:val="20"/>
          <w:color w:val="auto"/>
        </w:rPr>
        <w:tab/>
      </w:r>
      <w:r>
        <w:rPr>
          <w:rFonts w:ascii="Arial" w:cs="Arial" w:eastAsia="Arial" w:hAnsi="Arial"/>
          <w:sz w:val="16"/>
          <w:szCs w:val="16"/>
          <w:color w:val="auto"/>
        </w:rPr>
        <w:t>% of our customers in the past 12 months with</w:t>
      </w:r>
    </w:p>
    <w:p>
      <w:pPr>
        <w:spacing w:after="0" w:line="9"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8"/>
          <w:szCs w:val="18"/>
          <w:color w:val="auto"/>
        </w:rPr>
        <w:t>more than $</w:t>
      </w:r>
      <w:r>
        <w:rPr>
          <w:sz w:val="20"/>
          <w:szCs w:val="20"/>
          <w:color w:val="auto"/>
        </w:rPr>
        <w:tab/>
      </w:r>
      <w:r>
        <w:rPr>
          <w:rFonts w:ascii="Arial" w:cs="Arial" w:eastAsia="Arial" w:hAnsi="Arial"/>
          <w:sz w:val="16"/>
          <w:szCs w:val="16"/>
          <w:color w:val="auto"/>
        </w:rPr>
        <w:t>of annual recurring revenue (ARR) started with at least one free host prior to subscribing.</w:t>
      </w:r>
    </w:p>
    <w:p>
      <w:pPr>
        <w:spacing w:after="0" w:line="21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 and $151.5 million for the fiscal years ended January 31, 2017 and 2018, respectively, representing annual revenue growth of 149%. Our net loss was</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$0.0 million and $3.8 million for the fiscal years ended January 31, 2017 and 2018, respectively. Cash provided by operations was $9.4 million and $19.4 million for the fiscal years ended January 31, 2017 and 2018,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980" w:right="340" w:hanging="432"/>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increasingly distributed</w:t>
      </w:r>
      <w:r>
        <w:rPr>
          <w:rFonts w:ascii="Arial" w:cs="Arial" w:eastAsia="Arial" w:hAnsi="Arial"/>
          <w:sz w:val="17"/>
          <w:szCs w:val="17"/>
          <w:color w:val="auto"/>
        </w:rPr>
        <w:t>. Historically, teams were physically located together, even in the largest organizations,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6" w:lineRule="exact"/>
        <w:rPr>
          <w:rFonts w:ascii="Arial" w:cs="Arial" w:eastAsia="Arial" w:hAnsi="Arial"/>
          <w:sz w:val="17"/>
          <w:szCs w:val="17"/>
          <w:color w:val="auto"/>
        </w:rPr>
      </w:pPr>
    </w:p>
    <w:p>
      <w:pPr>
        <w:ind w:left="980" w:right="20" w:hanging="432"/>
        <w:spacing w:after="0" w:line="293"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seek to drive deeper engagement with employees, customers and partners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People derive more personal satisfaction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69" w:lineRule="exact"/>
        <w:rPr>
          <w:rFonts w:ascii="Arial" w:cs="Arial" w:eastAsia="Arial" w:hAnsi="Arial"/>
          <w:sz w:val="16"/>
          <w:szCs w:val="16"/>
          <w:color w:val="auto"/>
        </w:rPr>
      </w:pPr>
    </w:p>
    <w:p>
      <w:pPr>
        <w:ind w:left="980" w:hanging="432"/>
        <w:spacing w:after="0" w:line="31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Workforce demographics are changing. </w:t>
      </w:r>
      <w:r>
        <w:rPr>
          <w:rFonts w:ascii="Arial" w:cs="Arial" w:eastAsia="Arial" w:hAnsi="Arial"/>
          <w:sz w:val="16"/>
          <w:szCs w:val="16"/>
          <w:color w:val="auto"/>
        </w:rPr>
        <w:t>Shifting demographics alongside increasingly distributed workforces increase the need for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54" w:lineRule="exact"/>
        <w:rPr>
          <w:rFonts w:ascii="Arial" w:cs="Arial" w:eastAsia="Arial" w:hAnsi="Arial"/>
          <w:sz w:val="16"/>
          <w:szCs w:val="16"/>
          <w:color w:val="auto"/>
        </w:rPr>
      </w:pPr>
    </w:p>
    <w:p>
      <w:pPr>
        <w:ind w:left="980" w:right="40" w:hanging="432"/>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from their personal lives to their jobs. According to a 2017 report from Salesforce Research, 71% of employees want their companies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40"/>
        <w:spacing w:after="0" w:line="277" w:lineRule="auto"/>
        <w:rPr>
          <w:sz w:val="20"/>
          <w:szCs w:val="20"/>
          <w:color w:val="auto"/>
        </w:rPr>
      </w:pPr>
      <w:r>
        <w:rPr>
          <w:rFonts w:ascii="Arial" w:cs="Arial" w:eastAsia="Arial" w:hAnsi="Arial"/>
          <w:sz w:val="18"/>
          <w:szCs w:val="18"/>
          <w:color w:val="auto"/>
        </w:rPr>
        <w:t>provide the same level of technology as they use in their personal lives. Employees often expect to seamlessly communicate on any device and across mediums and, as a result, are increasingly influencing IT decisions.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7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This dynamic has resulted in organizations deploying disparate and siloed technologies to address each of the various ways in which people communicate, including video, voice, email, chat and content sharing. According to a 2017 study by Forbes Insights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jc w:val="both"/>
        <w:ind w:left="980" w:right="220" w:hanging="432"/>
        <w:spacing w:after="0" w:line="311"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Reliable, high-quality communications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have a significant need for a platform that reliably delivers high-quality video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54" w:lineRule="exact"/>
        <w:rPr>
          <w:rFonts w:ascii="Arial" w:cs="Arial" w:eastAsia="Arial" w:hAnsi="Arial"/>
          <w:sz w:val="16"/>
          <w:szCs w:val="16"/>
          <w:color w:val="auto"/>
        </w:rPr>
      </w:pPr>
    </w:p>
    <w:p>
      <w:pPr>
        <w:ind w:left="980" w:hanging="432"/>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Easy to use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drive broad adoption, a platform’s user interface must be intuitive and easily navigable. In addition, users want solutions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2" w:lineRule="exact"/>
        <w:rPr>
          <w:rFonts w:ascii="Arial" w:cs="Arial" w:eastAsia="Arial" w:hAnsi="Arial"/>
          <w:sz w:val="18"/>
          <w:szCs w:val="18"/>
          <w:color w:val="auto"/>
        </w:rPr>
      </w:pPr>
    </w:p>
    <w:p>
      <w:pPr>
        <w:ind w:left="980" w:hanging="432"/>
        <w:spacing w:after="0" w:line="25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Easy to deploy and manage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is easy to deploy, leverages existing network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a requirement for extensive user support make these tools difficult to manage.</w:t>
      </w:r>
    </w:p>
    <w:p>
      <w:pPr>
        <w:spacing w:after="0" w:line="93" w:lineRule="exact"/>
        <w:rPr>
          <w:rFonts w:ascii="Arial" w:cs="Arial" w:eastAsia="Arial" w:hAnsi="Arial"/>
          <w:sz w:val="18"/>
          <w:szCs w:val="18"/>
          <w:color w:val="auto"/>
        </w:rPr>
      </w:pPr>
    </w:p>
    <w:p>
      <w:pPr>
        <w:ind w:left="980" w:right="60" w:hanging="432"/>
        <w:spacing w:after="0" w:line="279"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systems often require significant proprietary infrastructure and conference room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6" w:lineRule="exact"/>
        <w:rPr>
          <w:rFonts w:ascii="Arial" w:cs="Arial" w:eastAsia="Arial" w:hAnsi="Arial"/>
          <w:sz w:val="17"/>
          <w:szCs w:val="17"/>
          <w:color w:val="auto"/>
        </w:rPr>
      </w:pPr>
    </w:p>
    <w:p>
      <w:pPr>
        <w:ind w:left="980" w:right="180" w:hanging="432"/>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need a communications platform that can be optimized for their footprint and scales as they grow.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often require cumbersome infrastructure and stitching together of disparate systems to support a growing user base. Moreover, many legacy systems simply cannot meet the demands of large enterprises.</w:t>
      </w:r>
    </w:p>
    <w:p>
      <w:pPr>
        <w:spacing w:after="0" w:line="89" w:lineRule="exact"/>
        <w:rPr>
          <w:rFonts w:ascii="Arial" w:cs="Arial" w:eastAsia="Arial" w:hAnsi="Arial"/>
          <w:sz w:val="18"/>
          <w:szCs w:val="18"/>
          <w:color w:val="auto"/>
        </w:rPr>
      </w:pPr>
    </w:p>
    <w:p>
      <w:pPr>
        <w:ind w:left="980" w:right="140" w:hanging="432"/>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Organizations need a platform that integrates with their physical workspaces and existing business applications. Most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were not designed to integrate easily with modern software applications or third-party devices, which can result in a frustrating experience.</w:t>
      </w:r>
    </w:p>
    <w:p>
      <w:pPr>
        <w:spacing w:after="0" w:line="89"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Flexible terms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also want to purchase technology under flexible terms that are right-sized for their business needs.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generally have rigid purchase contracts and support terms.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Bayada Home Health Care was averaging just under 100 meetings a week using several applications for video conferencing prior to Zoom. Now with Zoom, it averages 2,000 Zoom meetings a week.</w:t>
      </w:r>
    </w:p>
    <w:p>
      <w:pPr>
        <w:spacing w:after="0" w:line="16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119380</wp:posOffset>
            </wp:positionV>
            <wp:extent cx="5134610" cy="3728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3461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Benefits of the Zoom Platform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980" w:right="200" w:hanging="432"/>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Reliable, high-quality communications that enable productivity, connectedness and trust. </w:t>
      </w:r>
      <w:r>
        <w:rPr>
          <w:rFonts w:ascii="Arial" w:cs="Arial" w:eastAsia="Arial" w:hAnsi="Arial"/>
          <w:sz w:val="18"/>
          <w:szCs w:val="18"/>
          <w:color w:val="auto"/>
        </w:rPr>
        <w:t>Our platform delivers a high-quality, reliable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experience across devices even with varying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40"/>
        <w:spacing w:after="0" w:line="263" w:lineRule="auto"/>
        <w:rPr>
          <w:sz w:val="20"/>
          <w:szCs w:val="20"/>
          <w:color w:val="auto"/>
        </w:rPr>
      </w:pPr>
      <w:r>
        <w:rPr>
          <w:rFonts w:ascii="Arial" w:cs="Arial" w:eastAsia="Arial" w:hAnsi="Arial"/>
          <w:sz w:val="18"/>
          <w:szCs w:val="18"/>
          <w:color w:val="auto"/>
        </w:rPr>
        <w:t>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89" w:lineRule="exact"/>
        <w:rPr>
          <w:sz w:val="20"/>
          <w:szCs w:val="20"/>
          <w:color w:val="auto"/>
        </w:rPr>
      </w:pPr>
    </w:p>
    <w:p>
      <w:pPr>
        <w:ind w:left="980" w:right="80" w:hanging="432"/>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2" w:lineRule="exact"/>
        <w:rPr>
          <w:rFonts w:ascii="Arial" w:cs="Arial" w:eastAsia="Arial" w:hAnsi="Arial"/>
          <w:sz w:val="18"/>
          <w:szCs w:val="18"/>
          <w:color w:val="auto"/>
        </w:rPr>
      </w:pPr>
    </w:p>
    <w:p>
      <w:pPr>
        <w:ind w:left="980" w:right="40" w:hanging="432"/>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integrating with existing infrastructure. Our platform removes the need for the integration of disparate communications tools, product-specific knowledge and high-touch user support and troubleshooting. We provide a simple and robust management layer with reporting capability.</w:t>
      </w:r>
    </w:p>
    <w:p>
      <w:pPr>
        <w:spacing w:after="0" w:line="88" w:lineRule="exact"/>
        <w:rPr>
          <w:rFonts w:ascii="Arial" w:cs="Arial" w:eastAsia="Arial" w:hAnsi="Arial"/>
          <w:sz w:val="18"/>
          <w:szCs w:val="18"/>
          <w:color w:val="auto"/>
        </w:rPr>
      </w:pPr>
    </w:p>
    <w:p>
      <w:pPr>
        <w:jc w:val="both"/>
        <w:ind w:left="980" w:right="380" w:hanging="432"/>
        <w:spacing w:after="0" w:line="277"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drives higher employee engagement and improved collaboration, resulting in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7" w:lineRule="exact"/>
        <w:rPr>
          <w:rFonts w:ascii="Arial" w:cs="Arial" w:eastAsia="Arial" w:hAnsi="Arial"/>
          <w:sz w:val="17"/>
          <w:szCs w:val="17"/>
          <w:color w:val="auto"/>
        </w:rPr>
      </w:pPr>
    </w:p>
    <w:p>
      <w:pPr>
        <w:ind w:left="980" w:right="20" w:hanging="432"/>
        <w:spacing w:after="0" w:line="311"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54" w:lineRule="exact"/>
        <w:rPr>
          <w:rFonts w:ascii="Arial" w:cs="Arial" w:eastAsia="Arial" w:hAnsi="Arial"/>
          <w:sz w:val="16"/>
          <w:szCs w:val="16"/>
          <w:color w:val="auto"/>
        </w:rPr>
      </w:pPr>
    </w:p>
    <w:p>
      <w:pPr>
        <w:ind w:left="980" w:right="160" w:hanging="432"/>
        <w:spacing w:after="0" w:line="275"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robust integrations and partner ecosystem enable organizations to connect our platform seamlessly with both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81" w:lineRule="exact"/>
        <w:rPr>
          <w:rFonts w:ascii="Arial" w:cs="Arial" w:eastAsia="Arial" w:hAnsi="Arial"/>
          <w:sz w:val="17"/>
          <w:szCs w:val="17"/>
          <w:color w:val="auto"/>
        </w:rPr>
      </w:pPr>
    </w:p>
    <w:p>
      <w:pPr>
        <w:ind w:left="980" w:right="140" w:hanging="432"/>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We allow organizations to purchase subscriptions to our communications platform that are right-sized for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Customers can subscribe to our communications platform based on the number of hosts that they require on a month-to-month basis or purchase one- to multi-year subscriptions.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that we have a number of competitive advantages that will enable us to maintain and extend our leadership in communications. Our competitive strengths include:</w:t>
      </w:r>
    </w:p>
    <w:p>
      <w:pPr>
        <w:spacing w:after="0" w:line="76" w:lineRule="exact"/>
        <w:rPr>
          <w:sz w:val="20"/>
          <w:szCs w:val="20"/>
          <w:color w:val="auto"/>
        </w:rPr>
      </w:pPr>
    </w:p>
    <w:p>
      <w:pPr>
        <w:ind w:left="980" w:hanging="432"/>
        <w:spacing w:after="0" w:line="279"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6" w:lineRule="exact"/>
        <w:rPr>
          <w:rFonts w:ascii="Arial" w:cs="Arial" w:eastAsia="Arial" w:hAnsi="Arial"/>
          <w:sz w:val="17"/>
          <w:szCs w:val="17"/>
          <w:color w:val="auto"/>
        </w:rPr>
      </w:pPr>
    </w:p>
    <w:p>
      <w:pPr>
        <w:ind w:left="980" w:right="200" w:hanging="432"/>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 For the third consecutive year, Gartner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Zoom a Leader in its Magic Quadrant for Meeting Solutions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20"/>
        <w:spacing w:after="0" w:line="263" w:lineRule="auto"/>
        <w:rPr>
          <w:sz w:val="20"/>
          <w:szCs w:val="20"/>
          <w:color w:val="auto"/>
        </w:rPr>
      </w:pPr>
      <w:r>
        <w:rPr>
          <w:rFonts w:ascii="Arial" w:cs="Arial" w:eastAsia="Arial" w:hAnsi="Arial"/>
          <w:sz w:val="18"/>
          <w:szCs w:val="18"/>
          <w:color w:val="auto"/>
        </w:rPr>
        <w:t>(previously named Magic Quadrant for Web Conferencing). Gartner recognized Zoom in the Leaders quadrant based on our “ability to execute” and “completeness of vision.” Zoom is also Frost &amp; Sullivan’s 2019 Company of the Year Award recipient for the Global Video Conferencing Industry.</w:t>
      </w:r>
    </w:p>
    <w:p>
      <w:pPr>
        <w:spacing w:after="0" w:line="89" w:lineRule="exact"/>
        <w:rPr>
          <w:sz w:val="20"/>
          <w:szCs w:val="20"/>
          <w:color w:val="auto"/>
        </w:rPr>
      </w:pPr>
    </w:p>
    <w:p>
      <w:pPr>
        <w:jc w:val="both"/>
        <w:ind w:left="980" w:hanging="432"/>
        <w:spacing w:after="0" w:line="287"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demand driven by individual users. </w:t>
      </w:r>
      <w:r>
        <w:rPr>
          <w:rFonts w:ascii="Arial" w:cs="Arial" w:eastAsia="Arial" w:hAnsi="Arial"/>
          <w:sz w:val="16"/>
          <w:szCs w:val="16"/>
          <w:color w:val="auto"/>
        </w:rPr>
        <w:t>Our rapid adoption is driven by a virtuous cycle of positive user experiences. Individuals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 using our platform when a colleague or associate invites them to a Zoom meeting. We allow anyone to join or host a meeting for free. When attendees experience our platform and realize the benefits, they often become paying customers to unlock additional functionality.</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This user adoption model facilitates user growth and helps drive penetration within large organizations. The success of our user adoption</w:t>
      </w:r>
    </w:p>
    <w:p>
      <w:pPr>
        <w:spacing w:after="0" w:line="32" w:lineRule="exact"/>
        <w:rPr>
          <w:sz w:val="20"/>
          <w:szCs w:val="20"/>
          <w:color w:val="auto"/>
        </w:rPr>
      </w:pPr>
    </w:p>
    <w:p>
      <w:pPr>
        <w:ind w:left="980"/>
        <w:spacing w:after="0"/>
        <w:tabs>
          <w:tab w:leader="none" w:pos="5500" w:val="left"/>
        </w:tabs>
        <w:rPr>
          <w:sz w:val="20"/>
          <w:szCs w:val="20"/>
          <w:color w:val="auto"/>
        </w:rPr>
      </w:pPr>
      <w:r>
        <w:rPr>
          <w:rFonts w:ascii="Arial" w:cs="Arial" w:eastAsia="Arial" w:hAnsi="Arial"/>
          <w:sz w:val="18"/>
          <w:szCs w:val="18"/>
          <w:color w:val="auto"/>
        </w:rPr>
        <w:t>model is reflected in our dollar based net retention rate of</w:t>
      </w:r>
      <w:r>
        <w:rPr>
          <w:sz w:val="20"/>
          <w:szCs w:val="20"/>
          <w:color w:val="auto"/>
        </w:rPr>
        <w:tab/>
      </w:r>
      <w:r>
        <w:rPr>
          <w:rFonts w:ascii="Arial" w:cs="Arial" w:eastAsia="Arial" w:hAnsi="Arial"/>
          <w:sz w:val="16"/>
          <w:szCs w:val="16"/>
          <w:color w:val="auto"/>
        </w:rPr>
        <w:t>% as of January 31, 2019.</w:t>
      </w:r>
    </w:p>
    <w:p>
      <w:pPr>
        <w:spacing w:after="0" w:line="116" w:lineRule="exact"/>
        <w:rPr>
          <w:sz w:val="20"/>
          <w:szCs w:val="20"/>
          <w:color w:val="auto"/>
        </w:rPr>
      </w:pPr>
    </w:p>
    <w:p>
      <w:pPr>
        <w:ind w:left="980" w:hanging="432"/>
        <w:spacing w:after="0" w:line="279"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base of happy customers. </w:t>
      </w:r>
      <w:r>
        <w:rPr>
          <w:rFonts w:ascii="Arial" w:cs="Arial" w:eastAsia="Arial" w:hAnsi="Arial"/>
          <w:sz w:val="17"/>
          <w:szCs w:val="17"/>
          <w:color w:val="auto"/>
        </w:rPr>
        <w:t>We believe that making and keeping users happy is critical to growing our business. We use NPS data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numerical expression of customer happiness. We believe that our customer NPS, which on average has been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76" w:lineRule="exact"/>
        <w:rPr>
          <w:rFonts w:ascii="Arial" w:cs="Arial" w:eastAsia="Arial" w:hAnsi="Arial"/>
          <w:sz w:val="17"/>
          <w:szCs w:val="17"/>
          <w:color w:val="auto"/>
        </w:rPr>
      </w:pPr>
    </w:p>
    <w:p>
      <w:pPr>
        <w:ind w:left="980" w:right="60" w:hanging="432"/>
        <w:spacing w:after="0" w:line="287"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Multipronged go-to-market strategy. </w:t>
      </w:r>
      <w:r>
        <w:rPr>
          <w:rFonts w:ascii="Arial" w:cs="Arial" w:eastAsia="Arial" w:hAnsi="Arial"/>
          <w:sz w:val="16"/>
          <w:szCs w:val="16"/>
          <w:color w:val="auto"/>
        </w:rPr>
        <w:t>We have a multipronged, go-to-market strategy that integrates the viral enthusiasm for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non-paying user into a full enterprise deployment. Many of our customers started with only a single user on the free version. As of</w:t>
      </w:r>
    </w:p>
    <w:p>
      <w:pPr>
        <w:spacing w:after="0" w:line="21" w:lineRule="exact"/>
        <w:rPr>
          <w:sz w:val="20"/>
          <w:szCs w:val="20"/>
          <w:color w:val="auto"/>
        </w:rPr>
      </w:pPr>
    </w:p>
    <w:p>
      <w:pPr>
        <w:ind w:left="980" w:right="180"/>
        <w:spacing w:after="0" w:line="260" w:lineRule="auto"/>
        <w:rPr>
          <w:sz w:val="20"/>
          <w:szCs w:val="20"/>
          <w:color w:val="auto"/>
        </w:rPr>
      </w:pPr>
      <w:r>
        <w:rPr>
          <w:rFonts w:ascii="Arial" w:cs="Arial" w:eastAsia="Arial" w:hAnsi="Arial"/>
          <w:sz w:val="18"/>
          <w:szCs w:val="18"/>
          <w:color w:val="auto"/>
        </w:rPr>
        <w:t>January 31, 2019, % of our customers in the past 12 months with more than $ of annual recurring revenue (ARR) started with at least one free host prior to subscribing, underscoring the power of our model.</w:t>
      </w:r>
    </w:p>
    <w:p>
      <w:pPr>
        <w:spacing w:after="0" w:line="91" w:lineRule="exact"/>
        <w:rPr>
          <w:sz w:val="20"/>
          <w:szCs w:val="20"/>
          <w:color w:val="auto"/>
        </w:rPr>
      </w:pPr>
    </w:p>
    <w:p>
      <w:pPr>
        <w:ind w:left="980" w:right="120" w:hanging="432"/>
        <w:spacing w:after="0" w:line="255"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paying customers. Free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October 31, 2018, our customer support team had a customer satisfaction score (CSAT) of over 90%.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 designated chief happiness officer. To promote our unique culture, we organize activities including an employee mentorship program, “bring your parents to work day,” charity fundraisers and volunteer days.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980" w:hanging="432"/>
        <w:spacing w:after="0" w:line="28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Keep our existing customers happy. </w:t>
      </w:r>
      <w:r>
        <w:rPr>
          <w:rFonts w:ascii="Arial" w:cs="Arial" w:eastAsia="Arial" w:hAnsi="Arial"/>
          <w:sz w:val="17"/>
          <w:szCs w:val="17"/>
          <w:color w:val="auto"/>
        </w:rPr>
        <w:t>We provide happiness to our customers by giving them an experience that delights them. We respond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0" w:lineRule="exact"/>
        <w:rPr>
          <w:rFonts w:ascii="Arial" w:cs="Arial" w:eastAsia="Arial" w:hAnsi="Arial"/>
          <w:sz w:val="17"/>
          <w:szCs w:val="17"/>
          <w:color w:val="auto"/>
        </w:rPr>
      </w:pPr>
    </w:p>
    <w:p>
      <w:pPr>
        <w:ind w:left="980" w:right="80" w:hanging="432"/>
        <w:spacing w:after="0" w:line="275"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81" w:lineRule="exact"/>
        <w:rPr>
          <w:rFonts w:ascii="Arial" w:cs="Arial" w:eastAsia="Arial" w:hAnsi="Arial"/>
          <w:sz w:val="17"/>
          <w:szCs w:val="17"/>
          <w:color w:val="auto"/>
        </w:rPr>
      </w:pPr>
    </w:p>
    <w:p>
      <w:pPr>
        <w:ind w:left="980" w:right="160" w:hanging="432"/>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existing customers. </w:t>
      </w:r>
      <w:r>
        <w:rPr>
          <w:rFonts w:ascii="Arial" w:cs="Arial" w:eastAsia="Arial" w:hAnsi="Arial"/>
          <w:sz w:val="18"/>
          <w:szCs w:val="18"/>
          <w:color w:val="auto"/>
        </w:rPr>
        <w:t>As organizations experience our video platform and become familiar with its benefits, more teams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departments within these organizations adopt Zoom. Our platform may begin in a line of business and then organically expand across departments. This “land and expand” model has led to some of our largest deployments.</w:t>
      </w:r>
    </w:p>
    <w:p>
      <w:pPr>
        <w:spacing w:after="0" w:line="89" w:lineRule="exact"/>
        <w:rPr>
          <w:rFonts w:ascii="Arial" w:cs="Arial" w:eastAsia="Arial" w:hAnsi="Arial"/>
          <w:sz w:val="18"/>
          <w:szCs w:val="18"/>
          <w:color w:val="auto"/>
        </w:rPr>
      </w:pPr>
    </w:p>
    <w:p>
      <w:pPr>
        <w:ind w:left="980" w:right="80" w:hanging="432"/>
        <w:spacing w:after="0" w:line="25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our platform continuously</w:t>
      </w:r>
      <w:r>
        <w:rPr>
          <w:rFonts w:ascii="Arial" w:cs="Arial" w:eastAsia="Arial" w:hAnsi="Arial"/>
          <w:sz w:val="18"/>
          <w:szCs w:val="18"/>
          <w:color w:val="auto"/>
        </w:rPr>
        <w:t>. Our engineers aim to stay on the cutting edge of video communication and collaboration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2" w:lineRule="exact"/>
        <w:rPr>
          <w:rFonts w:ascii="Arial" w:cs="Arial" w:eastAsia="Arial" w:hAnsi="Arial"/>
          <w:sz w:val="18"/>
          <w:szCs w:val="18"/>
          <w:color w:val="auto"/>
        </w:rPr>
      </w:pPr>
    </w:p>
    <w:p>
      <w:pPr>
        <w:ind w:left="980" w:right="100" w:hanging="432"/>
        <w:spacing w:after="0" w:line="31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54" w:lineRule="exact"/>
        <w:rPr>
          <w:rFonts w:ascii="Arial" w:cs="Arial" w:eastAsia="Arial" w:hAnsi="Arial"/>
          <w:sz w:val="16"/>
          <w:szCs w:val="16"/>
          <w:color w:val="auto"/>
        </w:rPr>
      </w:pPr>
    </w:p>
    <w:p>
      <w:pPr>
        <w:ind w:left="980" w:hanging="432"/>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partnership ecosystem and continue to expand our platform. </w:t>
      </w:r>
      <w:r>
        <w:rPr>
          <w:rFonts w:ascii="Arial" w:cs="Arial" w:eastAsia="Arial" w:hAnsi="Arial"/>
          <w:sz w:val="18"/>
          <w:szCs w:val="18"/>
          <w:color w:val="auto"/>
        </w:rPr>
        <w:t>Our platform integrates easily with other systems and tools.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connecting them through frictionless video, voice, chat and content sharing. Our products include Zoom Meetings (including Zoom Chat), Zoom Rooms, Zoom Conference Room Connector, Zoom Voice,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255905</wp:posOffset>
            </wp:positionV>
            <wp:extent cx="2614295" cy="2614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1429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7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i w:val="1"/>
          <w:iCs w:val="1"/>
          <w:color w:val="auto"/>
        </w:rPr>
        <w:t>Zoom Chat</w:t>
      </w:r>
      <w:r>
        <w:rPr>
          <w:rFonts w:ascii="Arial" w:cs="Arial" w:eastAsia="Arial" w:hAnsi="Arial"/>
          <w:sz w:val="17"/>
          <w:szCs w:val="17"/>
          <w:color w:val="auto"/>
        </w:rPr>
        <w:t>, a feature of our Zoom Meetings platform, allows users to send texts, images, audio files and content instantly across desktop, laptop,</w:t>
      </w:r>
      <w:r>
        <w:rPr>
          <w:rFonts w:ascii="Arial" w:cs="Arial" w:eastAsia="Arial" w:hAnsi="Arial"/>
          <w:sz w:val="17"/>
          <w:szCs w:val="17"/>
          <w:i w:val="1"/>
          <w:iCs w:val="1"/>
          <w:color w:val="auto"/>
        </w:rPr>
        <w:t xml:space="preserve"> </w:t>
      </w:r>
      <w:r>
        <w:rPr>
          <w:rFonts w:ascii="Arial" w:cs="Arial" w:eastAsia="Arial" w:hAnsi="Arial"/>
          <w:sz w:val="17"/>
          <w:szCs w:val="17"/>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Zoom Rooms are our software-based conference room system, which enable users to have frictionless Zoom Meetings in their physical meeting spaces. Running on third-party off-the-shelf hardware, Zoom Rooms are a cost-effective way to outfit meeting spaces at scale with video and voice conferencing, wireless content sharing and calendar integrations. This adaptable platform brings video to conference, huddle and training rooms, as well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executive offices, clinics and classrooms. The use of affordable, off-the-shelf hardware means that companies can outfit many more rooms with video instead of a few key executive conference rooms.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Zoom Rooms Scheduling Display</w:t>
      </w:r>
      <w:r>
        <w:rPr>
          <w:rFonts w:ascii="Arial" w:cs="Arial" w:eastAsia="Arial" w:hAnsi="Arial"/>
          <w:sz w:val="18"/>
          <w:szCs w:val="18"/>
          <w:color w:val="auto"/>
        </w:rPr>
        <w:t>, running on an iOS or Android tablet outside the conferencing space, allows users to see upcoming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check in and schedule spontaneous meetings.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Zoom Rooms Digital Signage</w:t>
      </w:r>
      <w:r>
        <w:rPr>
          <w:rFonts w:ascii="Arial" w:cs="Arial" w:eastAsia="Arial" w:hAnsi="Arial"/>
          <w:sz w:val="18"/>
          <w:szCs w:val="18"/>
          <w:color w:val="auto"/>
        </w:rPr>
        <w:t>, running on commodity monitors, enables organizations to display content in common spaces and meeting spaces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communications, internal marketing and branding.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Voice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Zoom Voice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 We announced Zoom Voice in October 2018 and expect to make it generally available in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Video Webinars includes features such as Q&amp;A, reporting, invitations and CRM and marketing automation software integrations. It also easily integrates with Facebook Live and YouTube, providing access to large bases of viewers.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Zoom for Developers and Zoom App Marketplace</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100 million API engagements per month for the three months ended October 31, 2018.</w:t>
      </w:r>
    </w:p>
    <w:p>
      <w:pPr>
        <w:spacing w:after="0" w:line="17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YouTube and Microsoft Teams.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content processing from the transporting and mixing of streams. We allocate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technology and infrastructure have the following key strengths:</w:t>
      </w:r>
    </w:p>
    <w:p>
      <w:pPr>
        <w:spacing w:after="0" w:line="127" w:lineRule="exact"/>
        <w:rPr>
          <w:sz w:val="20"/>
          <w:szCs w:val="20"/>
          <w:color w:val="auto"/>
        </w:rPr>
      </w:pPr>
    </w:p>
    <w:p>
      <w:pPr>
        <w:ind w:left="980" w:hanging="432"/>
        <w:spacing w:after="0" w:line="314"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Architectural separation of content processing from stream routing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Client-side processing for encoding and decoding, our MMR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7" w:lineRule="exact"/>
        <w:rPr>
          <w:rFonts w:ascii="Arial" w:cs="Arial" w:eastAsia="Arial" w:hAnsi="Arial"/>
          <w:sz w:val="16"/>
          <w:szCs w:val="16"/>
          <w:color w:val="auto"/>
        </w:rPr>
      </w:pPr>
    </w:p>
    <w:p>
      <w:pPr>
        <w:ind w:left="980" w:right="180" w:hanging="432"/>
        <w:spacing w:after="0" w:line="298"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Distributed cloud-native infrastructure from the start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day one, we have invested in a distributed architecture and load balancing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9" w:lineRule="exact"/>
        <w:rPr>
          <w:rFonts w:ascii="Arial" w:cs="Arial" w:eastAsia="Arial" w:hAnsi="Arial"/>
          <w:sz w:val="16"/>
          <w:szCs w:val="16"/>
          <w:color w:val="auto"/>
        </w:rPr>
      </w:pPr>
    </w:p>
    <w:p>
      <w:pPr>
        <w:ind w:left="980" w:right="220" w:hanging="432"/>
        <w:spacing w:after="0" w:line="314"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Proactive quality of service application layer at client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optimization technology is based on proprietary algorithms that detect packet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7" w:lineRule="exact"/>
        <w:rPr>
          <w:rFonts w:ascii="Arial" w:cs="Arial" w:eastAsia="Arial" w:hAnsi="Arial"/>
          <w:sz w:val="16"/>
          <w:szCs w:val="16"/>
          <w:color w:val="auto"/>
        </w:rPr>
      </w:pPr>
    </w:p>
    <w:p>
      <w:pPr>
        <w:ind w:left="980" w:hanging="432"/>
        <w:spacing w:after="0" w:line="261"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and disaster recovery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robust security capabilities, including end-to-end encryption, secure login, administrative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cloud-native infrastructure offers the following key strengths:</w:t>
      </w:r>
    </w:p>
    <w:p>
      <w:pPr>
        <w:spacing w:after="0" w:line="131" w:lineRule="exact"/>
        <w:rPr>
          <w:sz w:val="20"/>
          <w:szCs w:val="20"/>
          <w:color w:val="auto"/>
        </w:rPr>
      </w:pPr>
    </w:p>
    <w:p>
      <w:pPr>
        <w:ind w:left="980" w:right="100" w:hanging="432"/>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cloud for real-time activities. </w:t>
      </w:r>
      <w:r>
        <w:rPr>
          <w:rFonts w:ascii="Arial" w:cs="Arial" w:eastAsia="Arial" w:hAnsi="Arial"/>
          <w:sz w:val="18"/>
          <w:szCs w:val="18"/>
          <w:color w:val="auto"/>
        </w:rPr>
        <w:t>We host real-time video and voice using 13 co-located data centers on our own servers around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We have built a network of private links so that each data center connects to multiple others. This structure creates redundancies and ensures reliability and performance.</w:t>
      </w:r>
    </w:p>
    <w:p>
      <w:pPr>
        <w:spacing w:after="0" w:line="89"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public cloud usage. </w:t>
      </w:r>
      <w:r>
        <w:rPr>
          <w:rFonts w:ascii="Arial" w:cs="Arial" w:eastAsia="Arial" w:hAnsi="Arial"/>
          <w:sz w:val="18"/>
          <w:szCs w:val="18"/>
          <w:color w:val="auto"/>
        </w:rPr>
        <w:t>For maximum efficiency, we deploy public cloud providers (Amazon Web Services and Microsoft Azure)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host our web applications and messaging service that do not require real time usage.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customers of all sizes, from individuals to global Fortune 500 organizations. We define a customer as a separate and distinct buying entity, such as an individual, a company, an educational or government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institution, or a distinct business unit of a large corporation that has entered into a master subscription agreement with us or accepted our terms of service online to access our platform. While a single customer may have multiple organizations, operating segments or locations, we only include the customer once for this metric.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bundled productivity solutions providers with basic video functionality, including Google, and point solutions providers, including LogMeIn. Our introduction of Zoom Voice may lead to competition with legacy PBX providers.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corporate headquarters is located in San Jose, California, where we lease approximately 52,700 square feet of commercial space pursuant to operating leases that expire in 2027. In addition, we maintain additional offices in the United States and internationally in Australia, China and the United Kingdom. We believe that our facilities are suitable to meet our current needs.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of October 31, 2018, we had 1,534 full-time employees. Of these employees, 929 are in the United States and 605 are in our international locations. None of our employees are represented by a labor union or covered by collective bargaining agreements, and we have not experienced any work stoppages.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for our executive officers and directors as of December 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ind w:left="1060"/>
              <w:spacing w:after="0"/>
              <w:rPr>
                <w:sz w:val="20"/>
                <w:szCs w:val="20"/>
                <w:color w:val="auto"/>
              </w:rPr>
            </w:pPr>
            <w:r>
              <w:rPr>
                <w:rFonts w:ascii="Arial" w:cs="Arial" w:eastAsia="Arial" w:hAnsi="Arial"/>
                <w:sz w:val="14"/>
                <w:szCs w:val="14"/>
                <w:b w:val="1"/>
                <w:bCs w:val="1"/>
                <w:color w:val="auto"/>
                <w:w w:val="83"/>
              </w:rPr>
              <w:t>Age</w:t>
            </w:r>
          </w:p>
        </w:tc>
        <w:tc>
          <w:tcPr>
            <w:tcW w:w="672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02"/>
        </w:trPr>
        <w:tc>
          <w:tcPr>
            <w:tcW w:w="360" w:type="dxa"/>
            <w:vAlign w:val="bottom"/>
            <w:tcBorders>
              <w:top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Eric S. Yuan</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48</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68"/>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40</w:t>
            </w:r>
          </w:p>
        </w:tc>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General Counsel and Secretary</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Gregory Holmes</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48</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Head of Worldwide Sales</w:t>
            </w:r>
          </w:p>
        </w:tc>
      </w:tr>
      <w:tr>
        <w:trPr>
          <w:trHeight w:val="68"/>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Janine Pelosi</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36</w:t>
            </w:r>
          </w:p>
        </w:tc>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Head of Marketing and Online Business</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Kelly Steckelberg</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(1)</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52</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M. Eschenbach</w:t>
            </w:r>
            <w:r>
              <w:rPr>
                <w:rFonts w:ascii="Arial" w:cs="Arial" w:eastAsia="Arial" w:hAnsi="Arial"/>
                <w:sz w:val="15"/>
                <w:szCs w:val="15"/>
                <w:color w:val="auto"/>
              </w:rPr>
              <w:t>(1)</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52</w:t>
            </w:r>
          </w:p>
        </w:tc>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Peter Gassner</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(3)</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(1)(2)</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55</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Lead Independent Director</w:t>
            </w:r>
          </w:p>
        </w:tc>
      </w:tr>
      <w:tr>
        <w:trPr>
          <w:trHeight w:val="67"/>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(2)(3)</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(2)(3)</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55</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i w:val="1"/>
          <w:iCs w:val="1"/>
          <w:color w:val="auto"/>
        </w:rPr>
        <w:t>Eric S. Yuan</w:t>
      </w:r>
      <w:r>
        <w:rPr>
          <w:rFonts w:ascii="Arial" w:cs="Arial" w:eastAsia="Arial" w:hAnsi="Arial"/>
          <w:sz w:val="16"/>
          <w:szCs w:val="16"/>
          <w:color w:val="auto"/>
        </w:rPr>
        <w:t>. Mr. Yuan is the founder of our company and has served as the Chairman of our board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6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Aparna Bawa</w:t>
      </w:r>
      <w:r>
        <w:rPr>
          <w:rFonts w:ascii="Arial" w:cs="Arial" w:eastAsia="Arial" w:hAnsi="Arial"/>
          <w:sz w:val="18"/>
          <w:szCs w:val="18"/>
          <w:color w:val="auto"/>
        </w:rPr>
        <w:t>. Ms. Bawa has served as our General Counsel since September 2018 and as our Secretary since December 2018.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auto"/>
        </w:rPr>
        <w:t>Gregory Holmes</w:t>
      </w:r>
      <w:r>
        <w:rPr>
          <w:rFonts w:ascii="Arial" w:cs="Arial" w:eastAsia="Arial" w:hAnsi="Arial"/>
          <w:sz w:val="18"/>
          <w:szCs w:val="18"/>
          <w:color w:val="auto"/>
        </w:rPr>
        <w:t>. Mr. Holmes has served as our Head of Worldwide Sales since January 2013. From July 2011 to December 2012, Mr. Holmes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Director of Inside Sales at Nimsoft AS, an IT performance and availability monitoring solutions provider acquired by CA, Inc. From May 2007 to June 2011, Mr. Holmes served in various sales roles at Cisco Systems, Inc., most recently as Regional Sales Manager. Mr. Holmes served as a Sales Manager at WebEx Communications, Inc. from May 2000 until its acquisition by Cisco Systems, Inc. in May 2007. Mr. Holmes holds a B.A. degree in Political Science from the University of California, Santa Barbara.</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Ms. Pelosi has served as our Head of Marketing and Online Business since November 2018. Prior to this, Ms. Pelosi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Marketing from March 2015 to November 2018. From May 2007 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Jonathan Chadwick</w:t>
      </w:r>
      <w:r>
        <w:rPr>
          <w:rFonts w:ascii="Arial" w:cs="Arial" w:eastAsia="Arial" w:hAnsi="Arial"/>
          <w:sz w:val="17"/>
          <w:szCs w:val="17"/>
          <w:color w:val="auto"/>
        </w:rPr>
        <w:t>. 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F5 Networks, Inc., an application networking delivery company, ServiceNow, Inc., a cloud computing company, and various private companies. Mr. Chadwick is a Chartered Accountant in England and holds a B.Sc. degree in Electrical and Electronic Engineering from the University of Bath.</w:t>
      </w:r>
    </w:p>
    <w:p>
      <w:pPr>
        <w:spacing w:after="0" w:line="17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Carl M. Eschenbach</w:t>
      </w:r>
      <w:r>
        <w:rPr>
          <w:rFonts w:ascii="Arial" w:cs="Arial" w:eastAsia="Arial" w:hAnsi="Arial"/>
          <w:sz w:val="16"/>
          <w:szCs w:val="16"/>
          <w:color w:val="auto"/>
        </w:rPr>
        <w:t>. Mr. Eschenbach has served as a member of our board of directors since November 2016. Since April 2016, Mr. Eschenbach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general partner at Sequoia Capital Operations, LLC, a venture capital firm. Prior to joining Sequoia Capital Operations, LLC,</w:t>
      </w:r>
    </w:p>
    <w:p>
      <w:pPr>
        <w:jc w:val="center"/>
        <w:ind w:right="260"/>
        <w:spacing w:after="0" w:line="433" w:lineRule="auto"/>
        <w:rPr>
          <w:sz w:val="20"/>
          <w:szCs w:val="20"/>
          <w:color w:val="auto"/>
        </w:rPr>
      </w:pPr>
      <w:r>
        <w:rPr>
          <w:rFonts w:ascii="Arial" w:cs="Arial" w:eastAsia="Arial" w:hAnsi="Arial"/>
          <w:sz w:val="18"/>
          <w:szCs w:val="18"/>
          <w:color w:val="auto"/>
        </w:rPr>
        <w:t>Mr. Eschenbach spent 14 years at VMware, Inc., most recently as its President and Chief Operating Officer, a role he held from December 2012 to 85</w:t>
      </w:r>
    </w:p>
    <w:p>
      <w:pPr>
        <w:sectPr>
          <w:pgSz w:w="11900" w:h="16838" w:orient="portrait"/>
          <w:cols w:equalWidth="0" w:num="1">
            <w:col w:w="11040"/>
          </w:cols>
          <w:pgMar w:left="320" w:top="459"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i w:val="1"/>
          <w:iCs w:val="1"/>
          <w:color w:val="auto"/>
        </w:rPr>
        <w:t xml:space="preserve">Kimberly L. Hammonds. </w:t>
      </w:r>
      <w:r>
        <w:rPr>
          <w:rFonts w:ascii="Arial" w:cs="Arial" w:eastAsia="Arial" w:hAnsi="Arial"/>
          <w:sz w:val="16"/>
          <w:szCs w:val="16"/>
          <w:color w:val="auto"/>
        </w:rPr>
        <w:t>Ms. Hammonds has served as a member of our board of directors since September 2018. Ms. Hammonds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Dan Scheinman</w:t>
      </w:r>
      <w:r>
        <w:rPr>
          <w:rFonts w:ascii="Arial" w:cs="Arial" w:eastAsia="Arial" w:hAnsi="Arial"/>
          <w:sz w:val="18"/>
          <w:szCs w:val="18"/>
          <w:color w:val="auto"/>
        </w:rPr>
        <w:t>. 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Santiago Subotovsky</w:t>
      </w:r>
      <w:r>
        <w:rPr>
          <w:rFonts w:ascii="Arial" w:cs="Arial" w:eastAsia="Arial" w:hAnsi="Arial"/>
          <w:sz w:val="18"/>
          <w:szCs w:val="18"/>
          <w:color w:val="auto"/>
        </w:rPr>
        <w:t>. Mr. Subotovsky has served as a member of our board of directors since December 2014. Since May 2010, Mr. Subotovsky</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a general partner at Emergence Capital, a venture capital firm.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Bart Swanson</w:t>
      </w:r>
      <w:r>
        <w:rPr>
          <w:rFonts w:ascii="Arial" w:cs="Arial" w:eastAsia="Arial" w:hAnsi="Arial"/>
          <w:sz w:val="17"/>
          <w:szCs w:val="17"/>
          <w:color w:val="auto"/>
        </w:rPr>
        <w:t>. Mr. Swanson has served as a member of our board of directors since August 2013. Since March 2013, Mr. Swanson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Our current directors will continue to serve as directors until their resignation, removal or successor is duly elected.</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9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40" w:type="dxa"/>
            <w:vAlign w:val="bottom"/>
          </w:tcPr>
          <w:p>
            <w:pPr>
              <w:ind w:left="220"/>
              <w:spacing w:after="0"/>
              <w:rPr>
                <w:sz w:val="20"/>
                <w:szCs w:val="20"/>
                <w:color w:val="auto"/>
              </w:rPr>
            </w:pPr>
            <w:r>
              <w:rPr>
                <w:rFonts w:ascii="Arial" w:cs="Arial" w:eastAsia="Arial" w:hAnsi="Arial"/>
                <w:sz w:val="18"/>
                <w:szCs w:val="18"/>
                <w:color w:val="auto"/>
                <w:w w:val="99"/>
              </w:rPr>
              <w:t>and</w:t>
            </w:r>
          </w:p>
        </w:tc>
        <w:tc>
          <w:tcPr>
            <w:tcW w:w="6180" w:type="dxa"/>
            <w:vAlign w:val="bottom"/>
          </w:tcPr>
          <w:p>
            <w:pPr>
              <w:ind w:left="700"/>
              <w:spacing w:after="0"/>
              <w:rPr>
                <w:sz w:val="20"/>
                <w:szCs w:val="20"/>
                <w:color w:val="auto"/>
              </w:rPr>
            </w:pPr>
            <w:r>
              <w:rPr>
                <w:rFonts w:ascii="Arial" w:cs="Arial" w:eastAsia="Arial" w:hAnsi="Arial"/>
                <w:sz w:val="18"/>
                <w:szCs w:val="18"/>
                <w:color w:val="auto"/>
                <w:w w:val="98"/>
              </w:rPr>
              <w:t>, and their terms will expire at our first annual meeting of stockholders</w:t>
            </w:r>
          </w:p>
        </w:tc>
      </w:tr>
      <w:tr>
        <w:trPr>
          <w:trHeight w:val="230"/>
        </w:trPr>
        <w:tc>
          <w:tcPr>
            <w:tcW w:w="26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rPr>
              <w:t>following this offering;</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18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and</w:t>
            </w:r>
          </w:p>
        </w:tc>
        <w:tc>
          <w:tcPr>
            <w:tcW w:w="6180" w:type="dxa"/>
            <w:vAlign w:val="bottom"/>
          </w:tcPr>
          <w:p>
            <w:pPr>
              <w:ind w:left="760"/>
              <w:spacing w:after="0"/>
              <w:rPr>
                <w:sz w:val="20"/>
                <w:szCs w:val="20"/>
                <w:color w:val="auto"/>
              </w:rPr>
            </w:pPr>
            <w:r>
              <w:rPr>
                <w:rFonts w:ascii="Arial" w:cs="Arial" w:eastAsia="Arial" w:hAnsi="Arial"/>
                <w:sz w:val="18"/>
                <w:szCs w:val="18"/>
                <w:color w:val="auto"/>
                <w:w w:val="92"/>
              </w:rPr>
              <w:t>, and their terms will expire at our second annual meeting of stockholders</w:t>
            </w:r>
          </w:p>
        </w:tc>
      </w:tr>
      <w:tr>
        <w:trPr>
          <w:trHeight w:val="230"/>
        </w:trPr>
        <w:tc>
          <w:tcPr>
            <w:tcW w:w="26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rPr>
              <w:t>following this offering; and</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18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and</w:t>
            </w:r>
          </w:p>
        </w:tc>
        <w:tc>
          <w:tcPr>
            <w:tcW w:w="54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 and their terms will expire at our third annual meeting of stockholders following this</w:t>
            </w:r>
          </w:p>
        </w:tc>
      </w:tr>
      <w:tr>
        <w:trPr>
          <w:trHeight w:val="230"/>
        </w:trPr>
        <w:tc>
          <w:tcPr>
            <w:tcW w:w="26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rPr>
              <w:t>offering.</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180" w:type="dxa"/>
            <w:vAlign w:val="bottom"/>
          </w:tcPr>
          <w:p>
            <w:pPr>
              <w:spacing w:after="0"/>
              <w:rPr>
                <w:sz w:val="20"/>
                <w:szCs w:val="20"/>
                <w:color w:val="auto"/>
              </w:rPr>
            </w:pPr>
          </w:p>
        </w:tc>
      </w:tr>
    </w:tbl>
    <w:p>
      <w:pPr>
        <w:spacing w:after="0" w:line="20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responsibilities of a director and that each of these directors is “independent” as that term is defined under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consists of Messrs. Chadwick, Eschenbach and Scheinman. Our board of directors has determined that each member of the</w:t>
      </w:r>
    </w:p>
    <w:p>
      <w:pPr>
        <w:spacing w:after="0" w:line="4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audit committee satisfies the independence requirements under the listing standards of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9" w:lineRule="exact"/>
        <w:rPr>
          <w:sz w:val="20"/>
          <w:szCs w:val="20"/>
          <w:color w:val="auto"/>
        </w:rPr>
      </w:pPr>
    </w:p>
    <w:p>
      <w:pPr>
        <w:ind w:left="5540" w:right="3060" w:hanging="4992"/>
        <w:spacing w:after="0" w:line="449"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88</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980" w:right="120" w:hanging="432"/>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that satisfies the applicable listing</w:t>
      </w:r>
    </w:p>
    <w:p>
      <w:pPr>
        <w:spacing w:after="0" w:line="46" w:lineRule="exact"/>
        <w:rPr>
          <w:sz w:val="20"/>
          <w:szCs w:val="20"/>
          <w:color w:val="auto"/>
        </w:rPr>
      </w:pPr>
    </w:p>
    <w:p>
      <w:pPr>
        <w:ind w:left="120"/>
        <w:spacing w:after="0"/>
        <w:tabs>
          <w:tab w:leader="none" w:pos="1740" w:val="left"/>
        </w:tabs>
        <w:rPr>
          <w:sz w:val="20"/>
          <w:szCs w:val="20"/>
          <w:color w:val="auto"/>
        </w:rPr>
      </w:pPr>
      <w:r>
        <w:rPr>
          <w:rFonts w:ascii="Arial" w:cs="Arial" w:eastAsia="Arial" w:hAnsi="Arial"/>
          <w:sz w:val="18"/>
          <w:szCs w:val="18"/>
          <w:color w:val="auto"/>
        </w:rPr>
        <w:t>standards of</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w:t>
      </w:r>
    </w:p>
    <w:p>
      <w:pPr>
        <w:spacing w:after="0" w:line="35" w:lineRule="exact"/>
        <w:rPr>
          <w:sz w:val="20"/>
          <w:szCs w:val="20"/>
          <w:color w:val="auto"/>
        </w:rPr>
      </w:pPr>
    </w:p>
    <w:p>
      <w:pPr>
        <w:ind w:left="840" w:right="220" w:hanging="719"/>
        <w:spacing w:after="0" w:line="260" w:lineRule="auto"/>
        <w:rPr>
          <w:sz w:val="20"/>
          <w:szCs w:val="20"/>
          <w:color w:val="auto"/>
        </w:rPr>
      </w:pPr>
      <w:r>
        <w:rPr>
          <w:rFonts w:ascii="Arial" w:cs="Arial" w:eastAsia="Arial" w:hAnsi="Arial"/>
          <w:sz w:val="18"/>
          <w:szCs w:val="18"/>
          <w:color w:val="auto"/>
        </w:rPr>
        <w:t>Mr. Scheinman. Our board of directors has determined that each member of the compensation committee is independent under the listing standards of , and a “non-employee director” as defined in Rule 16b-3 promulgated under the Exchange Act.</w:t>
      </w:r>
    </w:p>
    <w:p>
      <w:pPr>
        <w:spacing w:after="0" w:line="18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9" w:lineRule="exact"/>
        <w:rPr>
          <w:sz w:val="20"/>
          <w:szCs w:val="20"/>
          <w:color w:val="auto"/>
        </w:rPr>
      </w:pPr>
    </w:p>
    <w:p>
      <w:pPr>
        <w:ind w:left="980" w:hanging="432"/>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chief executive officer and other executive officers;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jc w:val="both"/>
        <w:ind w:left="980" w:right="60" w:hanging="432"/>
        <w:spacing w:after="0" w:line="342"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9" w:lineRule="exact"/>
        <w:rPr>
          <w:rFonts w:ascii="Arial" w:cs="Arial" w:eastAsia="Arial" w:hAnsi="Arial"/>
          <w:sz w:val="16"/>
          <w:szCs w:val="16"/>
          <w:color w:val="auto"/>
        </w:rPr>
      </w:pPr>
    </w:p>
    <w:p>
      <w:pPr>
        <w:ind w:left="980" w:right="360" w:hanging="432"/>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that satisfies the</w:t>
      </w:r>
    </w:p>
    <w:p>
      <w:pPr>
        <w:spacing w:after="0" w:line="35"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auto"/>
        </w:rPr>
        <w:t>applicable listing standards of</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w:t>
      </w:r>
    </w:p>
    <w:p>
      <w:pPr>
        <w:ind w:left="120"/>
        <w:spacing w:after="0"/>
        <w:tabs>
          <w:tab w:leader="none" w:pos="6440" w:val="left"/>
        </w:tabs>
        <w:rPr>
          <w:sz w:val="20"/>
          <w:szCs w:val="20"/>
          <w:color w:val="auto"/>
        </w:rPr>
      </w:pPr>
      <w:r>
        <w:rPr>
          <w:rFonts w:ascii="Arial" w:cs="Arial" w:eastAsia="Arial" w:hAnsi="Arial"/>
          <w:sz w:val="18"/>
          <w:szCs w:val="18"/>
          <w:color w:val="auto"/>
        </w:rPr>
        <w:t>corporate governance committee is independent under the listing standards of</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980" w:right="560" w:hanging="432"/>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related matters; and</w:t>
      </w:r>
    </w:p>
    <w:p>
      <w:pPr>
        <w:spacing w:after="0" w:line="153" w:lineRule="exact"/>
        <w:rPr>
          <w:rFonts w:ascii="Arial" w:cs="Arial" w:eastAsia="Arial" w:hAnsi="Arial"/>
          <w:sz w:val="16"/>
          <w:szCs w:val="16"/>
          <w:color w:val="auto"/>
        </w:rPr>
      </w:pPr>
    </w:p>
    <w:p>
      <w:pPr>
        <w:ind w:left="980" w:hanging="43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completion of this offering,</w:t>
      </w:r>
    </w:p>
    <w:p>
      <w:pPr>
        <w:spacing w:after="0" w:line="46" w:lineRule="exact"/>
        <w:rPr>
          <w:sz w:val="20"/>
          <w:szCs w:val="20"/>
          <w:color w:val="auto"/>
        </w:rPr>
      </w:pPr>
    </w:p>
    <w:p>
      <w:pPr>
        <w:ind w:left="120"/>
        <w:spacing w:after="0"/>
        <w:tabs>
          <w:tab w:leader="none" w:pos="4220" w:val="left"/>
        </w:tabs>
        <w:rPr>
          <w:sz w:val="20"/>
          <w:szCs w:val="20"/>
          <w:color w:val="auto"/>
        </w:rPr>
      </w:pPr>
      <w:r>
        <w:rPr>
          <w:rFonts w:ascii="Arial" w:cs="Arial" w:eastAsia="Arial" w:hAnsi="Arial"/>
          <w:sz w:val="18"/>
          <w:szCs w:val="18"/>
          <w:color w:val="auto"/>
        </w:rPr>
        <w:t>that satisfies the applicable listing standards of</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360" w:firstLine="440"/>
        <w:spacing w:after="0" w:line="287"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https://zoom.us. In</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addition, we intend to post on our website all disclosures that are required by law or the listing standards of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During the fiscal year ended January 31, 2018,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84"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fiscal year ended January 31, 2018,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2"/>
                <w:szCs w:val="12"/>
                <w:b w:val="1"/>
                <w:bCs w:val="1"/>
                <w:color w:val="auto"/>
              </w:rPr>
              <w:t>(1)(2)</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 ($)</w:t>
            </w: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(3)</w:t>
            </w:r>
          </w:p>
        </w:tc>
        <w:tc>
          <w:tcPr>
            <w:tcW w:w="4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9"/>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264,000</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$ 264,000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Samuel Chen</w:t>
            </w:r>
            <w:r>
              <w:rPr>
                <w:rFonts w:ascii="Arial" w:cs="Arial" w:eastAsia="Arial" w:hAnsi="Arial"/>
                <w:sz w:val="15"/>
                <w:szCs w:val="15"/>
                <w:color w:val="auto"/>
              </w:rPr>
              <w:t>(4)</w:t>
            </w:r>
          </w:p>
        </w:tc>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Eschenbach</w:t>
            </w:r>
          </w:p>
        </w:tc>
        <w:tc>
          <w:tcPr>
            <w:tcW w:w="4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(5)</w:t>
            </w:r>
          </w:p>
        </w:tc>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Scheinman</w:t>
            </w:r>
          </w:p>
        </w:tc>
        <w:tc>
          <w:tcPr>
            <w:tcW w:w="4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Santiago Subotovsky</w:t>
            </w:r>
          </w:p>
        </w:tc>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Swanson</w:t>
            </w:r>
          </w:p>
        </w:tc>
        <w:tc>
          <w:tcPr>
            <w:tcW w:w="4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365"/>
        </w:trPr>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40" w:type="dxa"/>
            <w:vAlign w:val="bottom"/>
          </w:tcPr>
          <w:p>
            <w:pPr>
              <w:jc w:val="right"/>
              <w:ind w:right="2550"/>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02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80" w:hanging="424"/>
        <w:spacing w:after="0" w:line="253"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options granted during the fiscal year ended January 31, 2018 under our 2011 Plan, computed in accordance with Financial Accounting Standard Board Accounting Standards Codification, Topic 718, or ASC Topic 718. The assumptions used in calculating the grant date fair value of the stock options reported in this column are set forth in Note 6 to the notes to our consolidated financial statements included elsewhere in this prospectus. This amount does not reflect the actual economic value that may be realized by the non-employee director.</w:t>
      </w:r>
    </w:p>
    <w:p>
      <w:pPr>
        <w:spacing w:after="0" w:line="3"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January 31, 2018, only Mr. Chadwick and Mr. Gassner held shares underlying unvested equity awards.</w:t>
      </w:r>
    </w:p>
    <w:p>
      <w:pPr>
        <w:spacing w:after="0" w:line="9"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of January 31, 2018, Mr. Chadwick held 400,000 restricted shares of our Class B common stock, acquired pursuant to his early exercise of a stock option granted in September 2017, of which 33,333 shares had vested as of such date and 366,667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option shall accelerate in full.</w:t>
      </w: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Chen resigned from our board of directors on September 6, 2018.</w:t>
      </w:r>
    </w:p>
    <w:p>
      <w:pPr>
        <w:spacing w:after="0" w:line="9"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January 31, 2018, Mr. Gassner held 1,202,720 restricted shares of our Class B common stock of which 841,904 shares had vested as of such date and 360,816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named executive officers for the fiscal year ended January 31, 2018, consisting of our principal executive officer and the next two most highly compensated executive officers, were:</w:t>
      </w:r>
    </w:p>
    <w:p>
      <w:pPr>
        <w:spacing w:after="0" w:line="76" w:lineRule="exact"/>
        <w:rPr>
          <w:sz w:val="20"/>
          <w:szCs w:val="20"/>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Eric S. Yuan, our President and Chief Executive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Kelly Steckelberg, our Chief Financial Officer;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Gregory Holmes, our Head of Worldwide Sales.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 ended January 31,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Non-Equity</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684"/>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860" w:type="dxa"/>
            <w:vAlign w:val="bottom"/>
            <w:vMerge w:val="restart"/>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Salary</w:t>
            </w:r>
          </w:p>
        </w:tc>
        <w:tc>
          <w:tcPr>
            <w:tcW w:w="1100" w:type="dxa"/>
            <w:vAlign w:val="bottom"/>
            <w:gridSpan w:val="2"/>
            <w:vMerge w:val="continue"/>
          </w:tcPr>
          <w:p>
            <w:pPr>
              <w:spacing w:after="0"/>
              <w:rPr>
                <w:sz w:val="12"/>
                <w:szCs w:val="12"/>
                <w:color w:val="auto"/>
              </w:rPr>
            </w:pPr>
          </w:p>
        </w:tc>
        <w:tc>
          <w:tcPr>
            <w:tcW w:w="13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Incentive Plan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3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p>
        </w:tc>
        <w:tc>
          <w:tcPr>
            <w:tcW w:w="14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President and Chief Executive Officer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300,000</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8,636,599</w:t>
            </w:r>
          </w:p>
        </w:tc>
        <w:tc>
          <w:tcPr>
            <w:tcW w:w="500" w:type="dxa"/>
            <w:vAlign w:val="bottom"/>
            <w:tcBorders>
              <w:top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87"/>
              </w:rPr>
              <w:t>(3)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8,936,599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 xml:space="preserve">Kelly Steckelberg, </w:t>
            </w:r>
            <w:r>
              <w:rPr>
                <w:rFonts w:ascii="Arial" w:cs="Arial" w:eastAsia="Arial" w:hAnsi="Arial"/>
                <w:sz w:val="18"/>
                <w:szCs w:val="18"/>
                <w:i w:val="1"/>
                <w:iCs w:val="1"/>
                <w:color w:val="auto"/>
              </w:rPr>
              <w:t>Chief Financial Officer</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71,731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$ 1,209,600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18"/>
                <w:szCs w:val="18"/>
                <w:color w:val="auto"/>
              </w:rPr>
            </w:pPr>
          </w:p>
        </w:tc>
        <w:tc>
          <w:tcPr>
            <w:tcW w:w="126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1,307,581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Gregory Holmes, </w:t>
            </w:r>
            <w:r>
              <w:rPr>
                <w:rFonts w:ascii="Arial" w:cs="Arial" w:eastAsia="Arial" w:hAnsi="Arial"/>
                <w:sz w:val="18"/>
                <w:szCs w:val="18"/>
                <w:i w:val="1"/>
                <w:iCs w:val="1"/>
                <w:color w:val="auto"/>
              </w:rPr>
              <w:t>Head of Worldwide Sales</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192,083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508,039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disclosed represent the aggregate grant date fair value of the stock option granted under our 2011 Plan, computed in accordance with ASC Topic 718. The assumptions used in calculating the grant date fair value of the stock options are set forth in the notes to our audited consolidated financial statements included elsewhere in this prospectus. This amount does not reflect the actual economic value that may be realized by Ms. Steckelberg.</w:t>
      </w:r>
    </w:p>
    <w:p>
      <w:pPr>
        <w:spacing w:after="0" w:line="2"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disclosed represents the executive officer’s total performance bonus earned for the fiscal year ended January 31, 2018 as described below under “—Performance-Based Bonus Opportunity.”</w:t>
      </w:r>
    </w:p>
    <w:p>
      <w:pPr>
        <w:ind w:left="540" w:right="20" w:hanging="424"/>
        <w:spacing w:after="0" w:line="252"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6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The compensation of our named executive officers is generally determined and approved by the compensation committee of our board of directors. The base salaries of each of our executive officers for the fiscal year ended January 31, 2018 are listed in the table below. Mr. Yuan’s base salary was effective for the full fiscal year 2018; Mr. Holmes’ base salary was effective as of March 1, 2017 (prior to that it was $130,000) and Ms. Steckelberg’s base salary was effective as of November 6, 2017 upon her commencement of employment.</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2018 Base Salary</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Eric S. Yuan</w:t>
            </w:r>
          </w:p>
        </w:tc>
        <w:tc>
          <w:tcPr>
            <w:tcW w:w="4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300,000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Kelly Steckelberg</w:t>
            </w:r>
          </w:p>
        </w:tc>
        <w:tc>
          <w:tcPr>
            <w:tcW w:w="44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Holmes</w:t>
            </w:r>
          </w:p>
        </w:tc>
        <w:tc>
          <w:tcPr>
            <w:tcW w:w="440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190,000*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5540" w:right="1880" w:hanging="5424"/>
        <w:spacing w:after="0" w:line="449" w:lineRule="auto"/>
        <w:tabs>
          <w:tab w:leader="none" w:pos="5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Holmes’ base salary was increased to $215,000 effective January 1, 2018 and to $250,000 effective October 1, 2018. 92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Performance-Based Bonus Opportunity</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For the fiscal year ended January 31, 2018, Ms. Steckelberg was eligible to receive a bonus at an annual target of 35% of base salary, and Mr. Holmes was eligible to receive a bonus at an annual target of approximately 100% of base salary. Our corporate performance objectives for the fiscal year ended January 31, 2018 related to achievement of monthly recurring revenue targets and, with respect to Mr. Holmes, sales targets under our sales commission program. Ms. Steckelberg and Mr. Holmes earned bonuses for the fiscal year ended January 31, 2018 performance based on our achievement of the relevant performance targets for each executive. Ms. Steckelberg’s bonus payout was prorated for the period of time she was employed during the fiscal year ended January 31, 2018. All bonuses for the fiscal year ended January 31, 2018 were paid in cash.</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January 2018, our board of directors granted an option to purchase 1,260,000 shares to Ms. Steckelberg at an exercise price of $1.31 per share. Twenty-five percent (25%) of the shares subject to the option vested on November 6, 2018 and the balance of the shares subject to the option shall vest in 36 equal monthly installments thereafter, subject to Ms. Steckelberg’s continuous service with us as of each such vesting date and potential acceleration as described below under “—Agreements with Our Named Executive Officers.” We did not grant any other equity awards to our named executive officers in the fiscal year ended January 31, 2018. For additional information, please see below under “—Outstanding Equity Awards at Fiscal Year-End.”</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September 2018, our compensation committee granted options to purchase 500,000 shares to Mr. Yuan, 100,000 shares to Ms. Steckelberg and 300,000 shares to Mr. Holmes. Each of the options have an exercise price per share of $3.77, except that 132,585 shares of Mr. Yuan’s option have an exercise price per share of $4.15 in order to comply with tax rules governing options intended to be “incentive stock options.” The shares subject to each of the September 2018 options vest in 48 equal monthly installments measured from the grant date, subject to the executive’s continuous service with us as of each such vesting date. Ms. Steckelberg’s option is additionally subject to the same potential vesting acceleration as her January 2018 option grant.</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2018, our compensation committee amended Mr. Yuan’s and Ms. Steckelberg’s options to permit early exercise, whereby Mr. Yuan and Ms. Steckelberg could purchase shares prior to vesting, subject to our right to repurchase such shares, lapsing over time in accordance with the vesting schedule of the stock option.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Eric S. Yuan. </w:t>
      </w:r>
      <w:r>
        <w:rPr>
          <w:rFonts w:ascii="Arial" w:cs="Arial" w:eastAsia="Arial" w:hAnsi="Arial"/>
          <w:sz w:val="17"/>
          <w:szCs w:val="17"/>
          <w:color w:val="auto"/>
        </w:rPr>
        <w:t>Mr. Yuan did not have an employment agreement in place during the fiscal year ended January 31, 2018. In December 2018, we</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 confirmatory offer letter with Mr. Yuan. The confirmatory offer letter has no specific term, 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We entered into an initial letter agreement with Ms. Steckelberg in August 2017 that provided for her at-will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annual base salary, performance bonus opportunity and the terms of her initial stock option which was granted in January 2018. In December 2018, we entered into a confirmatory offer letter with Ms. Steckelberg. The confirmatory offer letter has no specific term, provides for at-will employment and reflects Ms. Steckelberg’s current annual base salary of $300,000,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Gregory Holmes</w:t>
      </w:r>
      <w:r>
        <w:rPr>
          <w:rFonts w:ascii="Arial" w:cs="Arial" w:eastAsia="Arial" w:hAnsi="Arial"/>
          <w:sz w:val="17"/>
          <w:szCs w:val="17"/>
          <w:color w:val="auto"/>
        </w:rPr>
        <w:t>. We entered into an offer letter agreement with Mr. Holmes in December 2012 that provided for his at-will employment,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 defined in the confirmatory offer letter), pursuant to the confirmatory offer letters described above under “—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January 31, 2018.</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20" w:type="dxa"/>
            <w:vAlign w:val="bottom"/>
            <w:vMerge w:val="restart"/>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Grant Date</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Per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9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(2)</w:t>
            </w: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Eric S. Yuan</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Kelly Steckelberg</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1/6/2018</w:t>
            </w:r>
            <w:r>
              <w:rPr>
                <w:rFonts w:ascii="Arial" w:cs="Arial" w:eastAsia="Arial" w:hAnsi="Arial"/>
                <w:sz w:val="15"/>
                <w:szCs w:val="15"/>
                <w:color w:val="auto"/>
              </w:rPr>
              <w:t>(3)</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1,260,000</w:t>
            </w:r>
            <w:r>
              <w:rPr>
                <w:rFonts w:ascii="Arial" w:cs="Arial" w:eastAsia="Arial" w:hAnsi="Arial"/>
                <w:sz w:val="15"/>
                <w:szCs w:val="15"/>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1/6/2028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Holmes</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11/3/2016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120,000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340,000</w:t>
            </w: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11/3/2026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jc w:val="center"/>
        <w:ind w:left="5540" w:right="700" w:hanging="5424"/>
        <w:spacing w:after="0" w:line="449" w:lineRule="auto"/>
        <w:tabs>
          <w:tab w:leader="none" w:pos="5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the option awards were granted under the 2011 Plan, the terms of which plan is described below under “—Equity Incentive Plans.” 94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of the option awards were granted with a per share exercise price equal to the fair market value of one share of our common stock on the date of grant, as determined in good faith by our board of directors or compensation committee.</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25% of the shares subject to the option vested on November 6, 2018, and the balance of the shares subject to the option shall vest in 36 equal monthly installments thereafter, subject to Ms. Steckelberg’s continuous service with us as of each such vesting date and potential acceleration as described above under “—Agreements with Our Named Executive Officers.” This option was amended by our compensation committee in October 2018 to permit early exercise.</w:t>
      </w:r>
    </w:p>
    <w:p>
      <w:pPr>
        <w:spacing w:after="0" w:line="1"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November 3, 2016, subject to Mr. Holmes’ continuous service with us as of each such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and Benefits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January 31, 2018. Our board of directors may elect to provide our officers and other employees with nonqualified defined contribution or other nonqualified deferred compensation benefits in the future if it determines that doing so is in our best interests.</w:t>
      </w:r>
    </w:p>
    <w:p>
      <w:pPr>
        <w:spacing w:after="0" w:line="16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fiscal year ended January 31,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board of directors intends to adopt the 2019 Equity Incentive Plan, (the 2019 Plan) that will become effective in connection with the execution and delivery of the underwriting agreement related to this offering, and such 2019 Plan will supersede and replace our Fourth Amended and Restated 2011 Global Share Plan (the 2011 Plan). The description set forth below reflects the 2011 Plan, as currently in effect. After the 2019 Plan becomes effective, no further stock awards will be granted under the 2011 Plan.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adopted our 2011 Plan in April 2011, and our stockholders approved the 2011 Plan in June 2011. The 2011 Plan has been periodically amended, most recently in September 2017. As of October 31, 2018, there were 3,414,222 shares of Class B common stock remaining available for the future grant of stock awards under our 2011 Plan. As of October 31, 2018, stock options covering 35,070,956 shares of our Class B common stock were outstanding and restricted shares covering 1,909,288 shares of Class B common stock were outstanding and subject to vesting and our repurchase right under the 2011 Plan. We expect that any shares remaining available for issuance under the 2011 Plan at the time of this offering will become available for issuance under the 2019 Plan.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2011 Plan provides for the grant of incentive stock options (ISOs) within the meaning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certain capitalization adjustments, the aggregate number of shares of Class B common stock that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2011 Plan will not exceed 71,240,000 shares.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6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administers and interprets the provisions of the 2011 Plan. The board of directors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2011 Plan,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5"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or (except for ISOs) pursuant to a domestic relations order.</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7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8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76" w:lineRule="exact"/>
        <w:rPr>
          <w:sz w:val="20"/>
          <w:szCs w:val="20"/>
          <w:color w:val="auto"/>
        </w:rPr>
      </w:pPr>
    </w:p>
    <w:p>
      <w:pPr>
        <w:ind w:left="980" w:hanging="43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75" w:lineRule="exact"/>
        <w:rPr>
          <w:rFonts w:ascii="Arial" w:cs="Arial" w:eastAsia="Arial" w:hAnsi="Arial"/>
          <w:sz w:val="18"/>
          <w:szCs w:val="18"/>
          <w:color w:val="auto"/>
        </w:rPr>
      </w:pPr>
    </w:p>
    <w:p>
      <w:pPr>
        <w:ind w:left="980" w:right="40" w:hanging="432"/>
        <w:spacing w:after="0" w:line="263"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9" w:lineRule="exact"/>
        <w:rPr>
          <w:rFonts w:ascii="Arial" w:cs="Arial" w:eastAsia="Arial" w:hAnsi="Arial"/>
          <w:sz w:val="18"/>
          <w:szCs w:val="18"/>
          <w:color w:val="auto"/>
        </w:rPr>
      </w:pPr>
    </w:p>
    <w:p>
      <w:pPr>
        <w:ind w:left="980" w:right="160" w:hanging="432"/>
        <w:spacing w:after="0" w:line="286"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0" w:lineRule="exact"/>
        <w:rPr>
          <w:rFonts w:ascii="Arial" w:cs="Arial" w:eastAsia="Arial" w:hAnsi="Arial"/>
          <w:sz w:val="17"/>
          <w:szCs w:val="17"/>
          <w:color w:val="auto"/>
        </w:rPr>
      </w:pPr>
    </w:p>
    <w:p>
      <w:pPr>
        <w:ind w:left="980" w:hanging="43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The plan administrator may at any time amend, alter, suspend or terminate the 2011 Plan. Certain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authorize us to indemnify our directors, officers, employees and other agents to the fullest extent 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and indemnification agreements are necessary to attract and retain qualified persons as directors and officers. We also maintain customary directors’ and officers’ liability insurance.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6" w:lineRule="exact"/>
        <w:rPr>
          <w:sz w:val="20"/>
          <w:szCs w:val="20"/>
          <w:color w:val="auto"/>
        </w:rPr>
      </w:pPr>
    </w:p>
    <w:p>
      <w:pPr>
        <w:ind w:left="980" w:hanging="432"/>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80" w:right="100" w:hanging="432"/>
        <w:spacing w:after="0" w:line="308"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Stockholder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Entities affiliated with Sequoia Capital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EZP Opportunity, L.P.</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029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Series D</w:t>
            </w:r>
          </w:p>
        </w:tc>
        <w:tc>
          <w:tcPr>
            <w:tcW w:w="9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Preferred</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26,727,064</w:t>
            </w:r>
          </w:p>
        </w:tc>
        <w:tc>
          <w:tcPr>
            <w:tcW w:w="38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$ 99,999,978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2,850,724</w:t>
            </w:r>
          </w:p>
        </w:tc>
        <w:tc>
          <w:tcPr>
            <w:tcW w:w="9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$ 10,666,055</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080" w:space="720"/>
            <w:col w:w="2320"/>
          </w:cols>
          <w:pgMar w:left="320" w:top="459" w:right="459" w:bottom="1440" w:gutter="0" w:footer="0" w:header="0"/>
          <w:type w:val="continuous"/>
        </w:sectPr>
      </w:pPr>
    </w:p>
    <w:p>
      <w:pPr>
        <w:jc w:val="both"/>
        <w:ind w:left="540" w:right="20" w:hanging="424"/>
        <w:spacing w:after="0" w:line="255"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Carl Eschenbach, a member of our board of directors, is a General Partner at Sequoia Capital.</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Santiago Subotovsky, a member of our board of directors, is a General Partner at Emergence Capital Partners.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Digital Mobile Venture Limited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Transfer Agreement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 Repurchase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In connection with this offering, the holders of up to 209,064,386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 to Executive Officer</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Veeva Systems Inc.</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one of our directors. Revenue recognized from services provided to Veeva was $0.3 million and $1.4 million for the fiscal years ended January 31, 2017 and 2018,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STOCKHOLDERS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October 31, 2018, and as adjusted to reflect the sale of our Class A common stock offered by us in this offering assuming no exercise of the underwriters’ option to purchase additional shares, for:</w:t>
      </w:r>
    </w:p>
    <w:p>
      <w:pPr>
        <w:spacing w:after="0" w:line="89" w:lineRule="exact"/>
        <w:rPr>
          <w:sz w:val="20"/>
          <w:szCs w:val="20"/>
          <w:color w:val="auto"/>
        </w:rPr>
      </w:pPr>
    </w:p>
    <w:p>
      <w:pPr>
        <w:ind w:left="980" w:hanging="171"/>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80" w:hanging="171"/>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80" w:hanging="171"/>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30" w:lineRule="exact"/>
        <w:rPr>
          <w:rFonts w:ascii="Arial" w:cs="Arial" w:eastAsia="Arial" w:hAnsi="Arial"/>
          <w:sz w:val="18"/>
          <w:szCs w:val="18"/>
          <w:color w:val="auto"/>
        </w:rPr>
      </w:pPr>
    </w:p>
    <w:p>
      <w:pPr>
        <w:ind w:left="980" w:hanging="171"/>
        <w:spacing w:after="0"/>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42" w:lineRule="exact"/>
        <w:rPr>
          <w:rFonts w:ascii="Arial" w:cs="Arial" w:eastAsia="Arial" w:hAnsi="Arial"/>
          <w:sz w:val="17"/>
          <w:szCs w:val="17"/>
          <w:color w:val="auto"/>
        </w:rPr>
      </w:pPr>
    </w:p>
    <w:p>
      <w:pPr>
        <w:ind w:left="980" w:hanging="171"/>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Applicable percentage ownership before the offering is based on no shares of Class A common stock and 241,420,626 shares of Class B common stock outstanding as of October 31, 2018, assuming the automatic conversion of all outstanding shares of preferred stock into shares of Class B common</w:t>
      </w:r>
    </w:p>
    <w:p>
      <w:pPr>
        <w:ind w:left="120" w:right="80"/>
        <w:spacing w:after="0" w:line="265" w:lineRule="auto"/>
        <w:rPr>
          <w:sz w:val="20"/>
          <w:szCs w:val="20"/>
          <w:color w:val="auto"/>
        </w:rPr>
      </w:pPr>
      <w:r>
        <w:rPr>
          <w:rFonts w:ascii="Arial" w:cs="Arial" w:eastAsia="Arial" w:hAnsi="Arial"/>
          <w:sz w:val="17"/>
          <w:szCs w:val="17"/>
          <w:color w:val="auto"/>
        </w:rPr>
        <w:t>stock upon the completion of this offering. Applicable percentage ownership after the offering is based on shares of Class A common stock and shares of Class B common stock outstanding immediately after the completion of this offering, assuming no exercise by the underwriters</w:t>
      </w:r>
    </w:p>
    <w:p>
      <w:pPr>
        <w:jc w:val="both"/>
        <w:ind w:left="120" w:right="340"/>
        <w:spacing w:after="0" w:line="253" w:lineRule="auto"/>
        <w:rPr>
          <w:sz w:val="20"/>
          <w:szCs w:val="20"/>
          <w:color w:val="auto"/>
        </w:rPr>
      </w:pPr>
      <w:r>
        <w:rPr>
          <w:rFonts w:ascii="Arial" w:cs="Arial" w:eastAsia="Arial" w:hAnsi="Arial"/>
          <w:sz w:val="18"/>
          <w:szCs w:val="18"/>
          <w:color w:val="auto"/>
        </w:rPr>
        <w:t>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October 31, 2018. However, except as described above, we did not deem such shares outstanding for the purpose of computing the percentage ownership of any other person.</w:t>
      </w:r>
    </w:p>
    <w:p>
      <w:pPr>
        <w:spacing w:after="0" w:line="19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660" w:type="dxa"/>
            <w:vAlign w:val="bottom"/>
            <w:gridSpan w:val="11"/>
          </w:tcPr>
          <w:p>
            <w:pPr>
              <w:ind w:left="340"/>
              <w:spacing w:after="0"/>
              <w:rPr>
                <w:sz w:val="20"/>
                <w:szCs w:val="20"/>
                <w:color w:val="auto"/>
              </w:rPr>
            </w:pPr>
            <w:r>
              <w:rPr>
                <w:rFonts w:ascii="Arial" w:cs="Arial" w:eastAsia="Arial" w:hAnsi="Arial"/>
                <w:sz w:val="14"/>
                <w:szCs w:val="14"/>
                <w:b w:val="1"/>
                <w:bCs w:val="1"/>
                <w:color w:val="auto"/>
              </w:rPr>
              <w:t>Shares Beneficially Owned Prior to Offering</w:t>
            </w: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of</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700" w:type="dxa"/>
            <w:vAlign w:val="bottom"/>
            <w:tcBorders>
              <w:top w:val="single" w:sz="8" w:color="auto"/>
            </w:tcBorders>
            <w:gridSpan w:val="3"/>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Class B Common</w:t>
            </w: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1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1860" w:type="dxa"/>
            <w:vAlign w:val="bottom"/>
            <w:gridSpan w:val="4"/>
            <w:vMerge w:val="continue"/>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70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Voting</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being</w:t>
            </w: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4"/>
                <w:szCs w:val="14"/>
                <w:b w:val="1"/>
                <w:bCs w:val="1"/>
                <w:color w:val="auto"/>
              </w:rPr>
              <w:t>Name of Beneficial Owner</w:t>
            </w: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6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Power</w:t>
            </w: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Sold</w:t>
            </w:r>
          </w:p>
        </w:tc>
        <w:tc>
          <w:tcPr>
            <w:tcW w:w="0" w:type="dxa"/>
            <w:vAlign w:val="bottom"/>
          </w:tcPr>
          <w:p>
            <w:pPr>
              <w:spacing w:after="0"/>
              <w:rPr>
                <w:sz w:val="1"/>
                <w:szCs w:val="1"/>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5% Stockholders</w:t>
            </w: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Entities affiliated with Emergence Capital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Partners</w:t>
            </w:r>
            <w:r>
              <w:rPr>
                <w:rFonts w:ascii="Arial" w:cs="Arial" w:eastAsia="Arial" w:hAnsi="Arial"/>
                <w:sz w:val="15"/>
                <w:szCs w:val="15"/>
                <w:color w:val="auto"/>
              </w:rPr>
              <w:t>(1)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30,186,684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15"/>
                <w:szCs w:val="15"/>
                <w:color w:val="auto"/>
              </w:rPr>
              <w:t>(2)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27,614,576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Digital Mobile Venture Ltd.</w:t>
            </w:r>
            <w:r>
              <w:rPr>
                <w:rFonts w:ascii="Arial" w:cs="Arial" w:eastAsia="Arial" w:hAnsi="Arial"/>
                <w:sz w:val="15"/>
                <w:szCs w:val="15"/>
                <w:color w:val="auto"/>
              </w:rPr>
              <w:t>(3)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23,773,356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Bucantini Enterprises Limited</w:t>
            </w:r>
            <w:r>
              <w:rPr>
                <w:rFonts w:ascii="Arial" w:cs="Arial" w:eastAsia="Arial" w:hAnsi="Arial"/>
                <w:sz w:val="15"/>
                <w:szCs w:val="15"/>
                <w:color w:val="auto"/>
              </w:rPr>
              <w:t>(4)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14,543,084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Eric S. Yuan</w:t>
            </w:r>
            <w:r>
              <w:rPr>
                <w:rFonts w:ascii="Arial" w:cs="Arial" w:eastAsia="Arial" w:hAnsi="Arial"/>
                <w:sz w:val="15"/>
                <w:szCs w:val="15"/>
                <w:color w:val="auto"/>
              </w:rPr>
              <w:t>(5)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53,494,799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400,000</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Carl Eschenbach</w:t>
            </w:r>
            <w:r>
              <w:rPr>
                <w:rFonts w:ascii="Arial" w:cs="Arial" w:eastAsia="Arial" w:hAnsi="Arial"/>
                <w:sz w:val="15"/>
                <w:szCs w:val="15"/>
                <w:color w:val="auto"/>
              </w:rPr>
              <w:t>(7)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1,022,312</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2,746,372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30,186,684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(12)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130,556</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Kelly Steckelberg</w:t>
            </w:r>
            <w:r>
              <w:rPr>
                <w:rFonts w:ascii="Arial" w:cs="Arial" w:eastAsia="Arial" w:hAnsi="Arial"/>
                <w:sz w:val="15"/>
                <w:szCs w:val="15"/>
                <w:color w:val="auto"/>
              </w:rPr>
              <w:t>(13)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1,360,000</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Gregory Holmes</w:t>
            </w:r>
            <w:r>
              <w:rPr>
                <w:rFonts w:ascii="Arial" w:cs="Arial" w:eastAsia="Arial" w:hAnsi="Arial"/>
                <w:sz w:val="15"/>
                <w:szCs w:val="15"/>
                <w:color w:val="auto"/>
              </w:rPr>
              <w:t>(14)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1,828,750</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(12 persons)</w:t>
            </w:r>
            <w:r>
              <w:rPr>
                <w:rFonts w:ascii="Arial" w:cs="Arial" w:eastAsia="Arial" w:hAnsi="Arial"/>
                <w:sz w:val="15"/>
                <w:szCs w:val="15"/>
                <w:color w:val="auto"/>
              </w:rPr>
              <w:t>(15)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92,101,348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37.8%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Other Selling Stockholders: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-2751455</wp:posOffset>
            </wp:positionV>
            <wp:extent cx="699516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-2331085</wp:posOffset>
            </wp:positionV>
            <wp:extent cx="69951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-2056765</wp:posOffset>
            </wp:positionV>
            <wp:extent cx="69951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-1782445</wp:posOffset>
            </wp:positionV>
            <wp:extent cx="69951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-1508125</wp:posOffset>
            </wp:positionV>
            <wp:extent cx="69951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-1233805</wp:posOffset>
            </wp:positionV>
            <wp:extent cx="69951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-959485</wp:posOffset>
            </wp:positionV>
            <wp:extent cx="69951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-685165</wp:posOffset>
            </wp:positionV>
            <wp:extent cx="69951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274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Beneficially Owned After</w:t>
      </w:r>
    </w:p>
    <w:p>
      <w:pPr>
        <w:jc w:val="center"/>
        <w:spacing w:after="0" w:line="236" w:lineRule="auto"/>
        <w:rPr>
          <w:sz w:val="20"/>
          <w:szCs w:val="20"/>
          <w:color w:val="auto"/>
        </w:rPr>
      </w:pPr>
      <w:r>
        <w:rPr>
          <w:rFonts w:ascii="Arial" w:cs="Arial" w:eastAsia="Arial" w:hAnsi="Arial"/>
          <w:sz w:val="14"/>
          <w:szCs w:val="14"/>
          <w:b w:val="1"/>
          <w:bCs w:val="1"/>
          <w:color w:val="auto"/>
        </w:rPr>
        <w:t>Offering</w:t>
      </w:r>
    </w:p>
    <w:tbl>
      <w:tblPr>
        <w:tblLayout w:type="fixed"/>
        <w:tblInd w:w="0" w:type="dxa"/>
        <w:tblCellMar>
          <w:top w:w="0" w:type="dxa"/>
          <w:left w:w="0" w:type="dxa"/>
          <w:bottom w:w="0" w:type="dxa"/>
          <w:right w:w="0" w:type="dxa"/>
        </w:tblCellMar>
      </w:tblPr>
      <w:tr>
        <w:trPr>
          <w:trHeight w:val="129"/>
        </w:trPr>
        <w:tc>
          <w:tcPr>
            <w:tcW w:w="700" w:type="dxa"/>
            <w:vAlign w:val="bottom"/>
            <w:tcBorders>
              <w:top w:val="single" w:sz="8" w:color="auto"/>
            </w:tcBorders>
            <w:gridSpan w:val="2"/>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r>
      <w:tr>
        <w:trPr>
          <w:trHeight w:val="148"/>
        </w:trPr>
        <w:tc>
          <w:tcPr>
            <w:tcW w:w="11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62"/>
        </w:trPr>
        <w:tc>
          <w:tcPr>
            <w:tcW w:w="7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r>
      <w:tr>
        <w:trPr>
          <w:trHeight w:val="142"/>
        </w:trPr>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Power</w:t>
            </w:r>
          </w:p>
        </w:tc>
      </w:tr>
      <w:tr>
        <w:trPr>
          <w:trHeight w:val="20"/>
        </w:trPr>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4495" w:lineRule="exact"/>
        <w:rPr>
          <w:sz w:val="20"/>
          <w:szCs w:val="20"/>
          <w:color w:val="auto"/>
        </w:rPr>
      </w:pPr>
    </w:p>
    <w:p>
      <w:pPr>
        <w:sectPr>
          <w:pgSz w:w="11900" w:h="16838" w:orient="portrait"/>
          <w:cols w:equalWidth="0" w:num="2">
            <w:col w:w="8140" w:space="240"/>
            <w:col w:w="2700"/>
          </w:cols>
          <w:pgMar w:left="320" w:top="459" w:right="499" w:bottom="1440" w:gutter="0" w:footer="0" w:header="0"/>
          <w:type w:val="continuous"/>
        </w:sect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40" w:hanging="424"/>
        <w:spacing w:after="0" w:line="265"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Consists of (i) 26,908,848 shares held of record by Emergence Capital Partners III, L.P. (Emergence), and (ii) 3,277,836 shares held of record by EZP Opportunity, L.P. (EZP), and together with Emergence,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each of the Emergence Entities is 160 Bovet Road, Suite 300, San Mateo, California 94402.</w:t>
      </w:r>
    </w:p>
    <w:p>
      <w:pPr>
        <w:ind w:left="540" w:right="60" w:hanging="424"/>
        <w:spacing w:after="0" w:line="281"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Consists of: (i) 6,672,044 shares of record held by Sequoia Capital Global Growth Fund II, L.P. (SC GGFII); (ii) 82,704 shares of record held by Sequoia Capital Global Growth Fund II Principals Fund, L.P. (SC GGFII PF); (iii) 194,538 shares of record held by Sequoia Capital U.S. Growth Fund V, LP (SC US GFV); (iv) 19,402,643 shares held of record by Sequoia Capital U.S. Growth Fund VII, LP (SC US GFVII); and (v)</w:t>
      </w:r>
    </w:p>
    <w:p>
      <w:pPr>
        <w:spacing w:after="0" w:line="1" w:lineRule="exact"/>
        <w:rPr>
          <w:rFonts w:ascii="Arial" w:cs="Arial" w:eastAsia="Arial" w:hAnsi="Arial"/>
          <w:sz w:val="16"/>
          <w:szCs w:val="16"/>
          <w:color w:val="auto"/>
        </w:rPr>
      </w:pPr>
    </w:p>
    <w:p>
      <w:pPr>
        <w:ind w:left="540" w:right="60"/>
        <w:spacing w:after="0" w:line="252" w:lineRule="auto"/>
        <w:rPr>
          <w:rFonts w:ascii="Arial" w:cs="Arial" w:eastAsia="Arial" w:hAnsi="Arial"/>
          <w:sz w:val="16"/>
          <w:szCs w:val="16"/>
          <w:color w:val="auto"/>
        </w:rPr>
      </w:pPr>
      <w:r>
        <w:rPr>
          <w:rFonts w:ascii="Arial" w:cs="Arial" w:eastAsia="Arial" w:hAnsi="Arial"/>
          <w:sz w:val="18"/>
          <w:szCs w:val="18"/>
          <w:color w:val="auto"/>
        </w:rPr>
        <w:t>1,262,647 shares held of record by U.S. Growth VII Principals Fund, LP (SC US GFVII PF). SC US (TTGP), Ltd. is (i) the general partner of SCGGF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 voting and dispositive power with respect to the shares held by the SC GGFII Funds, SC US GFV and the SC US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1" w:lineRule="exact"/>
        <w:rPr>
          <w:sz w:val="20"/>
          <w:szCs w:val="20"/>
          <w:color w:val="auto"/>
        </w:rPr>
      </w:pPr>
    </w:p>
    <w:p>
      <w:pPr>
        <w:jc w:val="both"/>
        <w:ind w:left="54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23,773,356 shares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8"/>
          <w:szCs w:val="18"/>
          <w:color w:val="auto"/>
        </w:rPr>
      </w:pPr>
    </w:p>
    <w:p>
      <w:pPr>
        <w:jc w:val="both"/>
        <w:ind w:left="540" w:right="10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14,543,084 shares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47,160,864 shares held of record by Mr. Yuan, (ii) 5,940,000 shares held of record by 2018 Yuan’s Children’s Irrevocable Trust, for which Mr. Yuan shares voting and investment control with respect to such shares, and (iii) 393,935 shares subject to options exercisable within 60 days of October 31, 2018, of which 31,250 are vested as of such date.</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400,000 shares held of record by Mr. Chadwick, of which 291,667 are subject to repurchase by us at the original issue price as of October 31, 2018.</w:t>
      </w:r>
    </w:p>
    <w:p>
      <w:pPr>
        <w:ind w:left="540" w:right="32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Eschenbach, a member of our board of directors, is a general partner at Sequoia Capital Operations, LLC but does not have voting or investment control with respect to the shares held by the Sequoia Capital entities. Mr. Eschenbach disclaims beneficial ownership of all shares held by the Sequoia Capital entities referred to in footnote 2 above.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1,022,312 shares of restricted stock held of record by Mr. Gassner, which vest on October 28,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150,000 shares subject to options exercisable within 60 days of October 31, 2018, of which 9,375 are vested as of such date.</w:t>
      </w:r>
    </w:p>
    <w:p>
      <w:pPr>
        <w:spacing w:after="0" w:line="20" w:lineRule="exact"/>
        <w:rPr>
          <w:rFonts w:ascii="Arial" w:cs="Arial" w:eastAsia="Arial" w:hAnsi="Arial"/>
          <w:sz w:val="17"/>
          <w:szCs w:val="17"/>
          <w:color w:val="auto"/>
        </w:rPr>
      </w:pPr>
    </w:p>
    <w:p>
      <w:pPr>
        <w:ind w:left="540" w:right="340" w:hanging="424"/>
        <w:spacing w:after="0" w:line="265"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(i) 1,056,960 shares held of record by Dan &amp; Zoe Scheinman Trust Dated 2/23/01, for which Mr. Scheinman serves as trustee, and (ii) 1,689,412 shares held of record by The 2017 Scheinman Irrevocable Trust, for which Mr. Scheinman serves as trustee.</w:t>
      </w:r>
    </w:p>
    <w:p>
      <w:pPr>
        <w:ind w:left="540" w:right="8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Mr. Subotovsky is a member of EEP III and shares voting and investment control with respect to the shares held by the Emergence Entities.</w:t>
      </w:r>
    </w:p>
    <w:p>
      <w:pPr>
        <w:ind w:left="540" w:right="4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44,648 shares held of record by Beyond Merits Limited, for which Mr. Swanson is a director and shareholder and shares voting and investment control with respect to such shares, and (ii) 85,908 shares held of record by Mr. Swanson.</w:t>
      </w:r>
    </w:p>
    <w:p>
      <w:pPr>
        <w:ind w:left="540" w:right="16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76,335 shares held of record by Ms. Steckelberg, all of which are subject to repurchase by us at the original issue price as of October 31, 2018, and (ii) 1,283,665 shares subject to options exercisable within 60 days of October 31, 2018, of which 271,165 are vested as of such date.</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1,740,000 shares held of record by Mr. Holmes and (ii) 88,750 shares subject to options exercisable within 60 days of October 31, 2018, all of which are vested as of such date.</w:t>
      </w:r>
    </w:p>
    <w:p>
      <w:pPr>
        <w:jc w:val="both"/>
        <w:ind w:left="540" w:right="100" w:hanging="424"/>
        <w:spacing w:after="0" w:line="255"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90,096,456 shares beneficially owned by our current executive officers and directors, of which 728,002 may be repurchased by us at the original purchase price as of October 31, 2018, and (ii) 2,004,892 shares subject to options exercisable within 60 days of October 31, 2018, of which 489,082 shares are vested as of such date.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Upon the completion of this offering, our authorized capital stock will consist of the following shares, all with a par value of $0.001 per share, of which:</w:t>
      </w:r>
    </w:p>
    <w:p>
      <w:pPr>
        <w:spacing w:after="0" w:line="76" w:lineRule="exact"/>
        <w:rPr>
          <w:sz w:val="20"/>
          <w:szCs w:val="20"/>
          <w:color w:val="auto"/>
        </w:rPr>
      </w:pPr>
    </w:p>
    <w:p>
      <w:pPr>
        <w:ind w:left="1740" w:hanging="1192"/>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are designated as Class A common stock;</w:t>
      </w:r>
    </w:p>
    <w:p>
      <w:pPr>
        <w:spacing w:after="0" w:line="130" w:lineRule="exact"/>
        <w:rPr>
          <w:rFonts w:ascii="Arial" w:cs="Arial" w:eastAsia="Arial" w:hAnsi="Arial"/>
          <w:sz w:val="18"/>
          <w:szCs w:val="18"/>
          <w:color w:val="auto"/>
        </w:rPr>
      </w:pPr>
    </w:p>
    <w:p>
      <w:pPr>
        <w:ind w:left="1740" w:hanging="1192"/>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are designated as Class B common stock; and</w:t>
      </w:r>
    </w:p>
    <w:p>
      <w:pPr>
        <w:spacing w:after="0" w:line="130" w:lineRule="exact"/>
        <w:rPr>
          <w:rFonts w:ascii="Arial" w:cs="Arial" w:eastAsia="Arial" w:hAnsi="Arial"/>
          <w:sz w:val="18"/>
          <w:szCs w:val="18"/>
          <w:color w:val="auto"/>
        </w:rPr>
      </w:pPr>
    </w:p>
    <w:p>
      <w:pPr>
        <w:ind w:left="1740" w:hanging="1192"/>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225"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As of October 31, 2018, we had 88,754,822 shares of common stock and 152,665,804 shares of preferred stock outstanding. After giving effect to the conversion of all outstanding shares of preferred stock into shares of Class B common stock immediately upon the completion of this offering, there would have been 241,420,626 shares of Class B common stock outstanding on October 31, 2018, held by 281 stockholders of record. As of October 31, 2018, after giving effect to the reclassification of our common stock to Class B common stock, we had outstanding options to acquire 35,070,956 shares of Class B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w:t>
      </w:r>
    </w:p>
    <w:p>
      <w:pPr>
        <w:ind w:left="120" w:right="200"/>
        <w:spacing w:after="0" w:line="255" w:lineRule="auto"/>
        <w:rPr>
          <w:sz w:val="20"/>
          <w:szCs w:val="20"/>
          <w:color w:val="auto"/>
        </w:rPr>
      </w:pPr>
      <w:r>
        <w:rPr>
          <w:rFonts w:ascii="Arial" w:cs="Arial" w:eastAsia="Arial" w:hAnsi="Arial"/>
          <w:sz w:val="18"/>
          <w:szCs w:val="18"/>
          <w:color w:val="auto"/>
        </w:rPr>
        <w:t>of directors without any further stockholder action, except as required by the listing standards of . Our amended and restated certificate of incorporation will provide that, except with respect to voting rights and conversion rights, the Class A common stock and Class B common stock are treated equally and identically.</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not provide for cumulative voting for the election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15 years after the consummation of our initial public offering, (ii) the date that Eric S. Yuan ceases providing services to us or his employment is terminated by us for cause, (iii) six months after the death or incapacity of Mr. Yuan and (iv) the date specified by the holders of a majority of the then outstanding shares of Class B common stock, voting separately as a class.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of October 31, 2018, there were 152,665,804 shares of preferred stock outstanding. Immediately upon the completion of this offering, each outstanding share of preferred stock will convert into one share of Class B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w:t>
      </w:r>
    </w:p>
    <w:p>
      <w:pPr>
        <w:spacing w:after="0" w:line="4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October 31, 2018, we had outstanding options under our equity compensation plans to purchase an aggregate of 35,070,956 shares of our Class B common stock, with a weighted-average exercise price of $0.87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an aggregate of 155,963,522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this offering, the holders of an aggregate of 209,064,386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w:t>
      </w:r>
    </w:p>
    <w:p>
      <w:pPr>
        <w:spacing w:after="0" w:line="4" w:lineRule="exact"/>
        <w:rPr>
          <w:sz w:val="20"/>
          <w:szCs w:val="20"/>
          <w:color w:val="auto"/>
        </w:rPr>
      </w:pPr>
    </w:p>
    <w:p>
      <w:pPr>
        <w:ind w:left="120" w:right="60" w:hanging="4"/>
        <w:spacing w:after="0" w:line="255" w:lineRule="auto"/>
        <w:tabs>
          <w:tab w:leader="none" w:pos="4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an aggregate of 155,963,522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see “Management—Board Composition and Election of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form, the Court of Chancery of the State of Delaware will be the sole and exclusive forum for: (i) any derivative action or proceeding brought on our behalf;</w:t>
      </w:r>
    </w:p>
    <w:p>
      <w:pPr>
        <w:ind w:left="120" w:right="40" w:hanging="4"/>
        <w:spacing w:after="0" w:line="269" w:lineRule="auto"/>
        <w:tabs>
          <w:tab w:leader="none" w:pos="3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or other wrongdoing by any of our directors, officers, employees or agents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Our amended and restated certificate of incorporation will also provide that any person or entity purchasing or otherwise acquiring any interest in shares of our capital stock will be deemed to have notice of and to have consented to this choice of forum provision. It is possible that a court of law could rule that this choice of forum provision to be contained in our amended and restated certificate of incorporation is inapplicable or unenforceable if it is challenged in a proceeding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60"/>
          </w:cols>
          <w:pgMar w:left="320" w:top="459" w:right="51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Class A common stock and Class B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7820" w:space="720"/>
            <w:col w:w="2520"/>
          </w:cols>
          <w:pgMar w:left="320" w:top="459" w:right="51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Class A common stock is currently not listed on any securities exchange. We intend to apply to have our Class A common stock listed on</w:t>
      </w:r>
    </w:p>
    <w:p>
      <w:pPr>
        <w:spacing w:after="0" w:line="46" w:lineRule="exact"/>
        <w:rPr>
          <w:sz w:val="20"/>
          <w:szCs w:val="20"/>
          <w:color w:val="auto"/>
        </w:rPr>
      </w:pPr>
    </w:p>
    <w:p>
      <w:pPr>
        <w:ind w:left="1060"/>
        <w:spacing w:after="0"/>
        <w:tabs>
          <w:tab w:leader="none" w:pos="3320" w:val="left"/>
        </w:tabs>
        <w:rPr>
          <w:sz w:val="20"/>
          <w:szCs w:val="20"/>
          <w:color w:val="auto"/>
        </w:rPr>
      </w:pP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w:t>
      </w:r>
    </w:p>
    <w:p>
      <w:pPr>
        <w:ind w:left="120" w:right="180"/>
        <w:spacing w:after="0" w:line="260" w:lineRule="auto"/>
        <w:rPr>
          <w:sz w:val="20"/>
          <w:szCs w:val="20"/>
          <w:color w:val="auto"/>
        </w:rPr>
      </w:pPr>
      <w:r>
        <w:rPr>
          <w:rFonts w:ascii="Arial" w:cs="Arial" w:eastAsia="Arial" w:hAnsi="Arial"/>
          <w:sz w:val="18"/>
          <w:szCs w:val="18"/>
          <w:color w:val="auto"/>
        </w:rPr>
        <w:t>we intend to apply to have our Class A common stock listed on , we cannot assure you that there will be an active public market for our Class A common stock.</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Following the completion of this offering, based on the number of shares of our Class A common stock and Class B common stock outstanding as of October 31, 2018 and assuming (i) the issuance of shares of Class A common stock in this offering, (ii) the conversion of all outstanding shares of our convertible preferred stock into 152,665,804 shares of Class B common stock, which will automatically occur immediately prior to the completion of</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offering, (iii) the conversion of shares of Class B common stock into Class A common stock upon the sale of such shares by the selling stockholders and (iv) no exercise of the underwriters’ over-allotment option, we will have outstanding an aggregate of approximately shares of Class A common stock and shares of Class B common stock.</w:t>
      </w:r>
    </w:p>
    <w:p>
      <w:pPr>
        <w:spacing w:after="0" w:line="19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4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7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of the 35,070,956 shares of our Class B common stock that were subject to stock options outstanding as of October 31, 2018, of which options to purchase 16,914,471 shares of Class B common stock were vested as of such date, upon exercise, these shares will be eligible for sale subject to the lock–up agreements described below and Rules 144 and 701 under the Securities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1"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below.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20"/>
          </w:cols>
          <w:pgMar w:left="320" w:top="459" w:right="459" w:bottom="1440" w:gutter="0" w:footer="0" w:header="0"/>
        </w:sectPr>
      </w:pPr>
    </w:p>
    <w:p>
      <w:pPr>
        <w:spacing w:after="0" w:line="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3">
            <w:col w:w="620" w:space="360"/>
            <w:col w:w="7860" w:space="720"/>
            <w:col w:w="1560"/>
          </w:cols>
          <w:pgMar w:left="320" w:top="459" w:right="45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the average weekly trading volume in our Class A common stock on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w:t>
      </w:r>
    </w:p>
    <w:p>
      <w:pPr>
        <w:spacing w:after="0" w:line="463" w:lineRule="exact"/>
        <w:rPr>
          <w:sz w:val="20"/>
          <w:szCs w:val="20"/>
          <w:color w:val="auto"/>
        </w:rPr>
      </w:pPr>
    </w:p>
    <w:p>
      <w:pPr>
        <w:sectPr>
          <w:pgSz w:w="11900" w:h="16838" w:orient="portrait"/>
          <w:cols w:equalWidth="0" w:num="3">
            <w:col w:w="620" w:space="360"/>
            <w:col w:w="5020" w:space="720"/>
            <w:col w:w="4400"/>
          </w:cols>
          <w:pgMar w:left="320" w:top="459" w:right="459" w:bottom="1440" w:gutter="0" w:footer="0" w:header="0"/>
          <w:type w:val="continuous"/>
        </w:sectPr>
      </w:pPr>
    </w:p>
    <w:p>
      <w:pPr>
        <w:ind w:left="120" w:right="260" w:firstLine="440"/>
        <w:spacing w:after="0" w:line="291"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ind w:left="120" w:right="200"/>
        <w:spacing w:after="0" w:line="260" w:lineRule="auto"/>
        <w:rPr>
          <w:sz w:val="20"/>
          <w:szCs w:val="20"/>
          <w:color w:val="auto"/>
        </w:rPr>
      </w:pPr>
      <w:r>
        <w:rPr>
          <w:rFonts w:ascii="Arial" w:cs="Arial" w:eastAsia="Arial" w:hAnsi="Arial"/>
          <w:sz w:val="18"/>
          <w:szCs w:val="18"/>
          <w:color w:val="auto"/>
        </w:rPr>
        <w:t>seller must file a notice on Form 144 with the Securities and Exchange Commission and concurrently with either the placing of a sale order with the broker or the execution of a sale directly with a market maker.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of October 31, 2018, holders of up to 209,064,386 shares of our Class B common stock, which includes all of the shares of Class B common stock issuable upon the automatic conversion of our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980" w:right="1000" w:hanging="432"/>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980" w:right="220" w:hanging="432"/>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9"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980" w:hanging="432"/>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80" w:right="100" w:hanging="432"/>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80" w:right="120" w:hanging="432"/>
        <w:spacing w:after="0" w:line="26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980" w:right="400" w:hanging="432"/>
        <w:spacing w:after="0" w:line="263"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9" w:lineRule="exact"/>
        <w:rPr>
          <w:rFonts w:ascii="Arial" w:cs="Arial" w:eastAsia="Arial" w:hAnsi="Arial"/>
          <w:sz w:val="18"/>
          <w:szCs w:val="18"/>
          <w:color w:val="auto"/>
        </w:rPr>
      </w:pPr>
    </w:p>
    <w:p>
      <w:pPr>
        <w:ind w:left="980" w:right="640" w:hanging="432"/>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80" w:right="40" w:hanging="432"/>
        <w:spacing w:after="0" w:line="279"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FATCA will also apply to gross proceeds from sales or other dispositions of our Class A common stock after December 31, 2018.</w:t>
      </w:r>
    </w:p>
    <w:p>
      <w:pPr>
        <w:spacing w:after="0" w:line="16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71" w:lineRule="exact"/>
        <w:rPr>
          <w:sz w:val="20"/>
          <w:szCs w:val="20"/>
          <w:color w:val="auto"/>
        </w:rPr>
      </w:pPr>
    </w:p>
    <w:tbl>
      <w:tblPr>
        <w:tblLayout w:type="fixed"/>
        <w:tblInd w:w="478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20" w:type="dxa"/>
            <w:vAlign w:val="bottom"/>
          </w:tcPr>
          <w:p>
            <w:pPr>
              <w:jc w:val="center"/>
              <w:ind w:left="17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20" w:type="dxa"/>
            <w:vAlign w:val="bottom"/>
          </w:tcPr>
          <w:p>
            <w:pPr>
              <w:jc w:val="center"/>
              <w:ind w:left="17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wp:posOffset>
            </wp:positionV>
            <wp:extent cx="524637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46370" cy="14605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 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46370" cy="28321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524637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643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-121920</wp:posOffset>
            </wp:positionV>
            <wp:extent cx="524637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46370" cy="163195"/>
                    </a:xfrm>
                    <a:prstGeom prst="rect">
                      <a:avLst/>
                    </a:prstGeom>
                    <a:noFill/>
                  </pic:spPr>
                </pic:pic>
              </a:graphicData>
            </a:graphic>
          </wp:anchor>
        </w:drawing>
      </w:r>
    </w:p>
    <w:p>
      <w:pPr>
        <w:spacing w:after="0" w:line="25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64"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up to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4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58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The selling stockholders</w:t>
            </w:r>
          </w:p>
        </w:tc>
        <w:tc>
          <w:tcPr>
            <w:tcW w:w="25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8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5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80" w:type="dxa"/>
            <w:vAlign w:val="bottom"/>
            <w:gridSpan w:val="5"/>
          </w:tcPr>
          <w:p>
            <w:pPr>
              <w:ind w:left="44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340" w:type="dxa"/>
            <w:vAlign w:val="bottom"/>
            <w:gridSpan w:val="3"/>
          </w:tcPr>
          <w:p>
            <w:pPr>
              <w:ind w:left="220"/>
              <w:spacing w:after="0"/>
              <w:rPr>
                <w:sz w:val="20"/>
                <w:szCs w:val="20"/>
                <w:color w:val="auto"/>
              </w:rPr>
            </w:pPr>
            <w:r>
              <w:rPr>
                <w:rFonts w:ascii="Arial" w:cs="Arial" w:eastAsia="Arial" w:hAnsi="Arial"/>
                <w:sz w:val="18"/>
                <w:szCs w:val="18"/>
                <w:color w:val="auto"/>
              </w:rPr>
              <w:t>. We have</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agreed to reimburse the underwriters for expenses relating to clearance of this offering with the Financial Industry Regulatory Authority (FINRA) up to</w:t>
      </w:r>
    </w:p>
    <w:p>
      <w:pPr>
        <w:spacing w:after="0" w:line="32" w:lineRule="exact"/>
        <w:rPr>
          <w:sz w:val="20"/>
          <w:szCs w:val="20"/>
          <w:color w:val="auto"/>
        </w:rPr>
      </w:pPr>
    </w:p>
    <w:p>
      <w:pPr>
        <w:ind w:left="560" w:hanging="444"/>
        <w:spacing w:after="0"/>
        <w:tabs>
          <w:tab w:leader="none" w:pos="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560"/>
        <w:spacing w:after="0"/>
        <w:tabs>
          <w:tab w:leader="none" w:pos="6380" w:val="left"/>
          <w:tab w:leader="none" w:pos="8940" w:val="left"/>
        </w:tabs>
        <w:rPr>
          <w:sz w:val="20"/>
          <w:szCs w:val="20"/>
          <w:color w:val="auto"/>
        </w:rPr>
      </w:pPr>
      <w:r>
        <w:rPr>
          <w:rFonts w:ascii="Arial" w:cs="Arial" w:eastAsia="Arial" w:hAnsi="Arial"/>
          <w:sz w:val="18"/>
          <w:szCs w:val="18"/>
          <w:color w:val="auto"/>
        </w:rPr>
        <w:t>We plan to submit an application to list our Class A common stock on</w:t>
      </w:r>
      <w:r>
        <w:rPr>
          <w:sz w:val="20"/>
          <w:szCs w:val="20"/>
          <w:color w:val="auto"/>
        </w:rPr>
        <w:tab/>
      </w:r>
      <w:r>
        <w:rPr>
          <w:rFonts w:ascii="Arial" w:cs="Arial" w:eastAsia="Arial" w:hAnsi="Arial"/>
          <w:sz w:val="18"/>
          <w:szCs w:val="18"/>
          <w:color w:val="auto"/>
        </w:rPr>
        <w:t>under the trading symbol</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9" w:lineRule="exact"/>
        <w:rPr>
          <w:sz w:val="20"/>
          <w:szCs w:val="20"/>
          <w:color w:val="auto"/>
        </w:rPr>
      </w:pPr>
    </w:p>
    <w:p>
      <w:pPr>
        <w:ind w:left="980" w:right="60" w:hanging="432"/>
        <w:spacing w:after="0" w:line="311"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54" w:lineRule="exact"/>
        <w:rPr>
          <w:rFonts w:ascii="Arial" w:cs="Arial" w:eastAsia="Arial" w:hAnsi="Arial"/>
          <w:sz w:val="16"/>
          <w:szCs w:val="16"/>
          <w:color w:val="auto"/>
        </w:rPr>
      </w:pPr>
    </w:p>
    <w:p>
      <w:pPr>
        <w:ind w:left="980" w:right="160" w:hanging="432"/>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980" w:right="260" w:hanging="432"/>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restrictions described in the immediately preceding paragraph are subject to specified exceptions, including, without limitation, the following:</w:t>
      </w:r>
    </w:p>
    <w:p>
      <w:pPr>
        <w:spacing w:after="0" w:line="154" w:lineRule="exact"/>
        <w:rPr>
          <w:sz w:val="20"/>
          <w:szCs w:val="20"/>
          <w:color w:val="auto"/>
        </w:rPr>
      </w:pPr>
    </w:p>
    <w:p>
      <w:pPr>
        <w:ind w:left="980" w:right="140" w:hanging="432"/>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underwriting agreement;</w:t>
      </w:r>
    </w:p>
    <w:p>
      <w:pPr>
        <w:spacing w:after="0" w:line="130" w:lineRule="exact"/>
        <w:rPr>
          <w:rFonts w:ascii="Arial" w:cs="Arial" w:eastAsia="Arial" w:hAnsi="Arial"/>
          <w:sz w:val="18"/>
          <w:szCs w:val="18"/>
          <w:color w:val="auto"/>
        </w:rPr>
      </w:pPr>
    </w:p>
    <w:p>
      <w:pPr>
        <w:ind w:left="980" w:right="40" w:hanging="432"/>
        <w:spacing w:after="0" w:line="279"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6" w:lineRule="exact"/>
        <w:rPr>
          <w:rFonts w:ascii="Arial" w:cs="Arial" w:eastAsia="Arial" w:hAnsi="Arial"/>
          <w:sz w:val="17"/>
          <w:szCs w:val="17"/>
          <w:color w:val="auto"/>
        </w:rPr>
      </w:pPr>
    </w:p>
    <w:p>
      <w:pPr>
        <w:ind w:left="980" w:hanging="432"/>
        <w:spacing w:after="0" w:line="275"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81" w:lineRule="exact"/>
        <w:rPr>
          <w:rFonts w:ascii="Arial" w:cs="Arial" w:eastAsia="Arial" w:hAnsi="Arial"/>
          <w:sz w:val="17"/>
          <w:szCs w:val="17"/>
          <w:color w:val="auto"/>
        </w:rPr>
      </w:pPr>
    </w:p>
    <w:p>
      <w:pPr>
        <w:ind w:left="980" w:hanging="432"/>
        <w:spacing w:after="0" w:line="275"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81" w:lineRule="exact"/>
        <w:rPr>
          <w:rFonts w:ascii="Arial" w:cs="Arial" w:eastAsia="Arial" w:hAnsi="Arial"/>
          <w:sz w:val="17"/>
          <w:szCs w:val="17"/>
          <w:color w:val="auto"/>
        </w:rPr>
      </w:pPr>
    </w:p>
    <w:p>
      <w:pPr>
        <w:ind w:left="980" w:hanging="432"/>
        <w:spacing w:after="0" w:line="283"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ind w:left="980" w:right="60"/>
        <w:spacing w:after="0" w:line="290" w:lineRule="auto"/>
        <w:rPr>
          <w:rFonts w:ascii="Arial" w:cs="Arial" w:eastAsia="Arial" w:hAnsi="Arial"/>
          <w:sz w:val="16"/>
          <w:szCs w:val="16"/>
          <w:color w:val="auto"/>
        </w:rPr>
      </w:pPr>
      <w:r>
        <w:rPr>
          <w:rFonts w:ascii="Arial" w:cs="Arial" w:eastAsia="Arial" w:hAnsi="Arial"/>
          <w:sz w:val="17"/>
          <w:szCs w:val="17"/>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66" w:lineRule="exact"/>
        <w:rPr>
          <w:rFonts w:ascii="Arial" w:cs="Arial" w:eastAsia="Arial" w:hAnsi="Arial"/>
          <w:sz w:val="16"/>
          <w:szCs w:val="16"/>
          <w:color w:val="auto"/>
        </w:rPr>
      </w:pPr>
    </w:p>
    <w:p>
      <w:pPr>
        <w:ind w:left="980" w:right="80" w:hanging="432"/>
        <w:spacing w:after="0" w:line="286"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spacing w:after="0" w:line="279" w:lineRule="auto"/>
        <w:rPr>
          <w:sz w:val="20"/>
          <w:szCs w:val="20"/>
          <w:color w:val="auto"/>
        </w:rPr>
      </w:pPr>
      <w:r>
        <w:rPr>
          <w:rFonts w:ascii="Arial" w:cs="Arial" w:eastAsia="Arial" w:hAnsi="Arial"/>
          <w:sz w:val="17"/>
          <w:szCs w:val="17"/>
          <w:color w:val="auto"/>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77" w:lineRule="exact"/>
        <w:rPr>
          <w:sz w:val="20"/>
          <w:szCs w:val="20"/>
          <w:color w:val="auto"/>
        </w:rPr>
      </w:pPr>
    </w:p>
    <w:p>
      <w:pPr>
        <w:ind w:left="980" w:right="40" w:hanging="432"/>
        <w:spacing w:after="0" w:line="255"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7" w:lineRule="exact"/>
        <w:rPr>
          <w:rFonts w:ascii="Arial" w:cs="Arial" w:eastAsia="Arial" w:hAnsi="Arial"/>
          <w:sz w:val="18"/>
          <w:szCs w:val="18"/>
          <w:color w:val="auto"/>
        </w:rPr>
      </w:pPr>
    </w:p>
    <w:p>
      <w:pPr>
        <w:ind w:left="980" w:right="20" w:hanging="432"/>
        <w:spacing w:after="0" w:line="25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3" w:lineRule="exact"/>
        <w:rPr>
          <w:rFonts w:ascii="Arial" w:cs="Arial" w:eastAsia="Arial" w:hAnsi="Arial"/>
          <w:sz w:val="18"/>
          <w:szCs w:val="18"/>
          <w:color w:val="auto"/>
        </w:rPr>
      </w:pPr>
    </w:p>
    <w:p>
      <w:pPr>
        <w:ind w:left="980" w:hanging="432"/>
        <w:spacing w:after="0" w:line="25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980" w:right="120" w:hanging="432"/>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through fifth bullets above, each donee, trustee, distributee or transferee shall sign and deliver a lock-up letter agreement; and</w:t>
      </w:r>
    </w:p>
    <w:p>
      <w:pPr>
        <w:spacing w:after="0" w:line="75" w:lineRule="exact"/>
        <w:rPr>
          <w:rFonts w:ascii="Arial" w:cs="Arial" w:eastAsia="Arial" w:hAnsi="Arial"/>
          <w:sz w:val="18"/>
          <w:szCs w:val="18"/>
          <w:color w:val="auto"/>
        </w:rPr>
      </w:pPr>
    </w:p>
    <w:p>
      <w:pPr>
        <w:ind w:left="980" w:right="200" w:hanging="432"/>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9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980" w:hanging="308"/>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80" w:hanging="318"/>
        <w:spacing w:after="0" w:line="263"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9" w:lineRule="exact"/>
        <w:rPr>
          <w:rFonts w:ascii="Arial" w:cs="Arial" w:eastAsia="Arial" w:hAnsi="Arial"/>
          <w:sz w:val="18"/>
          <w:szCs w:val="18"/>
          <w:color w:val="auto"/>
        </w:rPr>
      </w:pPr>
    </w:p>
    <w:p>
      <w:pPr>
        <w:ind w:left="980" w:right="20" w:hanging="308"/>
        <w:spacing w:after="0" w:line="342"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1"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80" w:right="780" w:hanging="308"/>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spacing w:after="0" w:line="277" w:lineRule="auto"/>
        <w:rPr>
          <w:sz w:val="20"/>
          <w:szCs w:val="20"/>
          <w:color w:val="auto"/>
        </w:rPr>
      </w:pPr>
      <w:r>
        <w:rPr>
          <w:rFonts w:ascii="Arial" w:cs="Arial" w:eastAsia="Arial" w:hAnsi="Arial"/>
          <w:sz w:val="18"/>
          <w:szCs w:val="18"/>
          <w:color w:val="auto"/>
        </w:rPr>
        <w:t>Section 21 of the Financial Services and Markets Act 2000 (“FSMA”) received by it in connection with the issue or sale of the shares of our common stock in circumstances in which Section 21(1) of the FSMA does not apply to us; and</w:t>
      </w:r>
    </w:p>
    <w:p>
      <w:pPr>
        <w:spacing w:after="0" w:line="76" w:lineRule="exact"/>
        <w:rPr>
          <w:sz w:val="20"/>
          <w:szCs w:val="20"/>
          <w:color w:val="auto"/>
        </w:rPr>
      </w:pPr>
    </w:p>
    <w:p>
      <w:pPr>
        <w:ind w:left="980" w:right="200" w:hanging="318"/>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October 31, 2018.</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as of January 31, 2017 and January 31, 2018 and for each of the years then ended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Securities Exchange Act of 1934 and we will file reports, proxy statements and other information with the SEC. We also maintain a website at https://zoom.us,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Report of Independent Registered Public Accounting Firm</w:t>
              </w:r>
            </w:hyperlink>
          </w:p>
        </w:tc>
        <w:tc>
          <w:tcPr>
            <w:tcW w:w="6420" w:type="dxa"/>
            <w:vAlign w:val="bottom"/>
            <w:gridSpan w:val="2"/>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6"/>
            <w:vMerge w:val="continue"/>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32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Balance Sheets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Operations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Consolidated Statements of Comprehensive Loss</w:t>
              </w:r>
            </w:hyperlink>
          </w:p>
        </w:tc>
        <w:tc>
          <w:tcPr>
            <w:tcW w:w="710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Consolidated Statements of Convertible Preferred Stock and Stockholders’ Deficit</w:t>
              </w:r>
            </w:hyperlink>
          </w:p>
        </w:tc>
        <w:tc>
          <w:tcPr>
            <w:tcW w:w="47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2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Zoom Video Communications,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audited the accompanying consolidated balance sheets of Zoom Video Communications, Inc. and subsidiaries (the Company) as of January 31, 2017 and 2018, the related consolidated statements of operations, comprehensive loss, convertible preferred stock and stockholders’ deficit, and cash flows for each of the years then ended, and the related notes (collectively, the consolidated financial statements). In our opinion, the consolidated financial statements present fairly, in all material respects, the financial position of the Company as of January 31, 2017 and 2018, and the results of its operations and its cash flows for each of the years then ended, in conformity with U.S. generally accepted accounting principles.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 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As of January 31,</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58"/>
        </w:trPr>
        <w:tc>
          <w:tcPr>
            <w:tcW w:w="8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vMerge w:val="continue"/>
          </w:tcPr>
          <w:p>
            <w:pPr>
              <w:spacing w:after="0"/>
              <w:rPr>
                <w:sz w:val="13"/>
                <w:szCs w:val="13"/>
                <w:color w:val="auto"/>
              </w:rPr>
            </w:pP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19"/>
        </w:trPr>
        <w:tc>
          <w:tcPr>
            <w:tcW w:w="8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134,324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36,146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103,056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w w:val="93"/>
              </w:rPr>
              <w:t>Accounts receivable, net of allowances of $922 and $560 as of January 31, 2017 and 2018, respectively</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24,526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acquisition costs, 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13,888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151,879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183,162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13,032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16,698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164,796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215,019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2,723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15,455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68,529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3,911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82,138</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1"/>
              </w:rPr>
              <w:t>Convertible preferred stock, $0.001 par value per share, 158,104,540 shares authorized as of January 31, 2017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and 2018, 154,031,604 and 152,665,804 issued and outstanding as of January 31, 2017 and 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w w:val="93"/>
              </w:rPr>
              <w:t>respectively; aggregate liquidation preference of $160,929 and $160,724 as of January 31, 2017 and 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respectively; no shares issued and outstanding as of January 31, 2018, pro forma (unaudited)</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159,757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159,552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$0.001 par value per share, 320,000,000 shares authorized as of January 31, 2017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40"/>
              <w:spacing w:after="0"/>
              <w:rPr>
                <w:sz w:val="20"/>
                <w:szCs w:val="20"/>
                <w:color w:val="auto"/>
              </w:rPr>
            </w:pPr>
            <w:r>
              <w:rPr>
                <w:rFonts w:ascii="Arial" w:cs="Arial" w:eastAsia="Arial" w:hAnsi="Arial"/>
                <w:sz w:val="18"/>
                <w:szCs w:val="18"/>
                <w:color w:val="auto"/>
                <w:w w:val="95"/>
              </w:rPr>
              <w:t>2018; 79,650,896 and 82,609,638 shares issued and outstanding as of January 31, 2017 and 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540"/>
              <w:spacing w:after="0"/>
              <w:rPr>
                <w:sz w:val="20"/>
                <w:szCs w:val="20"/>
                <w:color w:val="auto"/>
              </w:rPr>
            </w:pPr>
            <w:r>
              <w:rPr>
                <w:rFonts w:ascii="Arial" w:cs="Arial" w:eastAsia="Arial" w:hAnsi="Arial"/>
                <w:sz w:val="18"/>
                <w:szCs w:val="18"/>
                <w:color w:val="auto"/>
                <w:w w:val="91"/>
              </w:rPr>
              <w:t>respectively; 235,275,442 shares issued and outstanding as of January 31, 2018, pro forma (unaudited)</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165,916</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(28,915)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(32,737)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(28,838)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(26,671)</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$ 132,881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164,796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215,019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 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12,472</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30,780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48,345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31,580</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82,707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(14,366)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(14,380)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w w:val="97"/>
              </w:rPr>
              <w:t>Weighted-average shares used in computing 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70,309,256</w:t>
            </w: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78,119,865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 (unaudited)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pro forma net loss per share attributable to common</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stockholders, basic and diluted (unaudited)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231,681,645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COMPREHENSIVE LOSS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w w:val="98"/>
              </w:rPr>
              <w:t>Year Ended January 31,</w:t>
            </w:r>
          </w:p>
        </w:tc>
      </w:tr>
      <w:tr>
        <w:trPr>
          <w:trHeight w:val="142"/>
        </w:trPr>
        <w:tc>
          <w:tcPr>
            <w:tcW w:w="8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7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2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available for sale marketable securities,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(531)</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7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460"/>
        <w:spacing w:after="0" w:line="282" w:lineRule="auto"/>
        <w:rPr>
          <w:sz w:val="20"/>
          <w:szCs w:val="20"/>
          <w:color w:val="auto"/>
        </w:rPr>
      </w:pPr>
      <w:r>
        <w:rPr>
          <w:rFonts w:ascii="Arial" w:cs="Arial" w:eastAsia="Arial" w:hAnsi="Arial"/>
          <w:sz w:val="18"/>
          <w:szCs w:val="18"/>
          <w:b w:val="1"/>
          <w:bCs w:val="1"/>
          <w:color w:val="auto"/>
        </w:rPr>
        <w:t>ZOOM VIDEO COMMUNICATIONS, INC. CONSOLIDATED STATEMENTS OF CONVERTIBLE PREFERRED STOCK AND STOCKHOLDERS’ DEFICIT</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660" w:type="dxa"/>
            <w:vAlign w:val="bottom"/>
            <w:tcBorders>
              <w:right w:val="single" w:sz="8" w:color="auto"/>
            </w:tcBorders>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Convertible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660" w:type="dxa"/>
            <w:vAlign w:val="bottom"/>
            <w:tcBorders>
              <w:right w:val="single" w:sz="8" w:color="auto"/>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5"/>
                <w:szCs w:val="5"/>
                <w:color w:val="auto"/>
              </w:rPr>
            </w:pPr>
          </w:p>
        </w:tc>
        <w:tc>
          <w:tcPr>
            <w:tcW w:w="960" w:type="dxa"/>
            <w:vAlign w:val="bottom"/>
            <w:gridSpan w:val="2"/>
            <w:vMerge w:val="restart"/>
          </w:tcPr>
          <w:p>
            <w:pPr>
              <w:jc w:val="center"/>
              <w:ind w:right="4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660" w:type="dxa"/>
            <w:vAlign w:val="bottom"/>
            <w:tcBorders>
              <w:right w:val="single" w:sz="8" w:color="auto"/>
            </w:tcBorders>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Pr>
          <w:p>
            <w:pPr>
              <w:spacing w:after="0"/>
              <w:rPr>
                <w:sz w:val="5"/>
                <w:szCs w:val="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60" w:type="dxa"/>
            <w:vAlign w:val="bottom"/>
          </w:tcPr>
          <w:p>
            <w:pPr>
              <w:spacing w:after="0"/>
              <w:rPr>
                <w:sz w:val="7"/>
                <w:szCs w:val="7"/>
                <w:color w:val="auto"/>
              </w:rPr>
            </w:pPr>
          </w:p>
        </w:tc>
        <w:tc>
          <w:tcPr>
            <w:tcW w:w="1660" w:type="dxa"/>
            <w:vAlign w:val="bottom"/>
            <w:tcBorders>
              <w:right w:val="single" w:sz="8" w:color="auto"/>
            </w:tcBorders>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jc w:val="right"/>
              <w:ind w:right="380"/>
              <w:spacing w:after="0" w:line="135" w:lineRule="exact"/>
              <w:rPr>
                <w:sz w:val="20"/>
                <w:szCs w:val="20"/>
                <w:color w:val="auto"/>
              </w:rPr>
            </w:pPr>
            <w:r>
              <w:rPr>
                <w:rFonts w:ascii="Arial" w:cs="Arial" w:eastAsia="Arial" w:hAnsi="Arial"/>
                <w:sz w:val="13"/>
                <w:szCs w:val="13"/>
                <w:b w:val="1"/>
                <w:bCs w:val="1"/>
                <w:color w:val="auto"/>
                <w:w w:val="87"/>
              </w:rPr>
              <w:t>Paid-in</w:t>
            </w:r>
          </w:p>
        </w:tc>
        <w:tc>
          <w:tcPr>
            <w:tcW w:w="1140" w:type="dxa"/>
            <w:vAlign w:val="bottom"/>
            <w:gridSpan w:val="3"/>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7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3"/>
                <w:szCs w:val="13"/>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February 1, 2016</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127,304,540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45,527</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70,679,484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1"/>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1,771</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(17,918)</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60" w:type="dxa"/>
            <w:vAlign w:val="bottom"/>
          </w:tcPr>
          <w:p>
            <w:pPr>
              <w:ind w:left="280"/>
              <w:spacing w:after="0" w:line="130" w:lineRule="exact"/>
              <w:rPr>
                <w:sz w:val="20"/>
                <w:szCs w:val="20"/>
                <w:color w:val="auto"/>
              </w:rPr>
            </w:pPr>
            <w:r>
              <w:rPr>
                <w:rFonts w:ascii="Arial" w:cs="Arial" w:eastAsia="Arial" w:hAnsi="Arial"/>
                <w:sz w:val="14"/>
                <w:szCs w:val="14"/>
                <w:color w:val="auto"/>
              </w:rPr>
              <w:t>Issuance of Series D convertible preferred stock, net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60" w:type="dxa"/>
            <w:vAlign w:val="bottom"/>
          </w:tcPr>
          <w:p>
            <w:pPr>
              <w:ind w:left="420"/>
              <w:spacing w:after="0"/>
              <w:rPr>
                <w:sz w:val="20"/>
                <w:szCs w:val="20"/>
                <w:color w:val="auto"/>
              </w:rPr>
            </w:pPr>
            <w:r>
              <w:rPr>
                <w:rFonts w:ascii="Arial" w:cs="Arial" w:eastAsia="Arial" w:hAnsi="Arial"/>
                <w:sz w:val="14"/>
                <w:szCs w:val="14"/>
                <w:color w:val="auto"/>
              </w:rPr>
              <w:t>issuance costs of $136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30,727,064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86"/>
              </w:rPr>
              <w:t>114,830</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(3,383)</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(10,983)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(14,366)</w:t>
            </w:r>
          </w:p>
        </w:tc>
        <w:tc>
          <w:tcPr>
            <w:tcW w:w="0" w:type="dxa"/>
            <w:vAlign w:val="bottom"/>
          </w:tcPr>
          <w:p>
            <w:pPr>
              <w:spacing w:after="0"/>
              <w:rPr>
                <w:sz w:val="1"/>
                <w:szCs w:val="1"/>
                <w:color w:val="auto"/>
              </w:rPr>
            </w:pPr>
          </w:p>
        </w:tc>
      </w:tr>
      <w:tr>
        <w:trPr>
          <w:trHeight w:val="130"/>
        </w:trPr>
        <w:tc>
          <w:tcPr>
            <w:tcW w:w="376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60" w:type="dxa"/>
            <w:vAlign w:val="bottom"/>
          </w:tcPr>
          <w:p>
            <w:pPr>
              <w:ind w:left="420"/>
              <w:spacing w:after="0"/>
              <w:rPr>
                <w:sz w:val="20"/>
                <w:szCs w:val="20"/>
                <w:color w:val="auto"/>
              </w:rPr>
            </w:pPr>
            <w:r>
              <w:rPr>
                <w:rFonts w:ascii="Arial" w:cs="Arial" w:eastAsia="Arial" w:hAnsi="Arial"/>
                <w:sz w:val="14"/>
                <w:szCs w:val="14"/>
                <w:color w:val="auto"/>
              </w:rPr>
              <w:t>options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8,971,412</w:t>
            </w:r>
          </w:p>
        </w:tc>
        <w:tc>
          <w:tcPr>
            <w:tcW w:w="2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394</w:t>
            </w:r>
          </w:p>
        </w:tc>
        <w:tc>
          <w:tcPr>
            <w:tcW w:w="1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30"/>
        </w:trPr>
        <w:tc>
          <w:tcPr>
            <w:tcW w:w="3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179</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1,039</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3760" w:type="dxa"/>
            <w:vAlign w:val="bottom"/>
          </w:tcPr>
          <w:p>
            <w:pPr>
              <w:spacing w:after="0" w:line="155" w:lineRule="exact"/>
              <w:rPr>
                <w:sz w:val="20"/>
                <w:szCs w:val="20"/>
                <w:color w:val="auto"/>
              </w:rPr>
            </w:pPr>
            <w:r>
              <w:rPr>
                <w:rFonts w:ascii="Arial" w:cs="Arial" w:eastAsia="Arial" w:hAnsi="Arial"/>
                <w:sz w:val="14"/>
                <w:szCs w:val="14"/>
                <w:color w:val="auto"/>
              </w:rPr>
              <w:t>Balance as of January 31, 2017</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154,031,604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159,757</w:t>
            </w: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79,650,896</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(28,915)</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(4,405)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30"/>
        </w:trPr>
        <w:tc>
          <w:tcPr>
            <w:tcW w:w="376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60" w:type="dxa"/>
            <w:vAlign w:val="bottom"/>
          </w:tcPr>
          <w:p>
            <w:pPr>
              <w:ind w:left="420"/>
              <w:spacing w:after="0"/>
              <w:rPr>
                <w:sz w:val="20"/>
                <w:szCs w:val="20"/>
                <w:color w:val="auto"/>
              </w:rPr>
            </w:pPr>
            <w:r>
              <w:rPr>
                <w:rFonts w:ascii="Arial" w:cs="Arial" w:eastAsia="Arial" w:hAnsi="Arial"/>
                <w:sz w:val="14"/>
                <w:szCs w:val="14"/>
                <w:color w:val="auto"/>
              </w:rPr>
              <w:t>options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2,958,742</w:t>
            </w:r>
          </w:p>
        </w:tc>
        <w:tc>
          <w:tcPr>
            <w:tcW w:w="2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419</w:t>
            </w:r>
          </w:p>
        </w:tc>
        <w:tc>
          <w:tcPr>
            <w:tcW w:w="1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30"/>
        </w:trPr>
        <w:tc>
          <w:tcPr>
            <w:tcW w:w="3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10,329</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10,329</w:t>
            </w: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(3,822)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31, 2018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159,552</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82,609,638</w:t>
            </w:r>
          </w:p>
        </w:tc>
        <w:tc>
          <w:tcPr>
            <w:tcW w:w="240" w:type="dxa"/>
            <w:vAlign w:val="bottom"/>
            <w:shd w:val="clear" w:color="auto" w:fill="CCEEFF"/>
          </w:tcPr>
          <w:p>
            <w:pPr>
              <w:jc w:val="right"/>
              <w:ind w:right="91"/>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6,517</w:t>
            </w:r>
          </w:p>
        </w:tc>
        <w:tc>
          <w:tcPr>
            <w:tcW w:w="1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(32,737)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Year Ended January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accounts receivable allowances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Deferred contract acquisition costs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15,011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31,496</w:t>
            </w:r>
          </w:p>
        </w:tc>
        <w:tc>
          <w:tcPr>
            <w:tcW w:w="0" w:type="dxa"/>
            <w:vAlign w:val="bottom"/>
          </w:tcPr>
          <w:p>
            <w:pPr>
              <w:spacing w:after="0"/>
              <w:rPr>
                <w:sz w:val="1"/>
                <w:szCs w:val="1"/>
                <w:color w:val="auto"/>
              </w:rPr>
            </w:pPr>
          </w:p>
        </w:tc>
      </w:tr>
      <w:tr>
        <w:trPr>
          <w:trHeight w:val="230"/>
        </w:trPr>
        <w:tc>
          <w:tcPr>
            <w:tcW w:w="9040" w:type="dxa"/>
            <w:vAlign w:val="bottom"/>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(143,329)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39,710</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received from loan to related party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114,830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Repurchase of convertible preferred stock</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904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100,267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(97,928)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134,749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134,749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36,821</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during the period included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Purchase of property and equipment under capital lease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 and restricted stock awards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Zoom Video Communications, Inc. and its subsidiaries (together, Zoom, the Company, we, us, or our) provide video communications services through a video-first communications platform. Our platform combines video, audio, screen sharing and chat functionalities. The Company was incorporated in the state of Delaware in April 2011 and is headquartered in San Jose,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fiscal year ends on January 31. References to fiscal 2018, for example, refer to the fiscal year ended January 31,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Stockholders’ Equity Information</w:t>
      </w:r>
    </w:p>
    <w:p>
      <w:pPr>
        <w:spacing w:after="0" w:line="117" w:lineRule="exact"/>
        <w:rPr>
          <w:sz w:val="20"/>
          <w:szCs w:val="20"/>
          <w:color w:val="auto"/>
        </w:rPr>
      </w:pPr>
    </w:p>
    <w:p>
      <w:pPr>
        <w:jc w:val="both"/>
        <w:ind w:left="120" w:right="220" w:firstLine="440"/>
        <w:spacing w:after="0" w:line="279" w:lineRule="auto"/>
        <w:rPr>
          <w:sz w:val="20"/>
          <w:szCs w:val="20"/>
          <w:color w:val="auto"/>
        </w:rPr>
      </w:pPr>
      <w:r>
        <w:rPr>
          <w:rFonts w:ascii="Arial" w:cs="Arial" w:eastAsia="Arial" w:hAnsi="Arial"/>
          <w:sz w:val="17"/>
          <w:szCs w:val="17"/>
          <w:color w:val="auto"/>
        </w:rPr>
        <w:t>We have presented unaudited pro forma stockholders’ equity as of January 31, 2018 in order to show the assumed effect on the balance sheet of the automatic conversion of the outstanding convertible preferred stock upon the consummation of a qualified initial public offering (IPO). Upon the consummation of an IPO, all of the outstanding convertible preferred stock will automatically convert into 152,665,804 shares of common stock. The unaudited pro forma stockholders’ equity does not give effect to any proceeds from the assumed IPO.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period for deferred contract acquisition costs, the allowance for doubtful accounts, the useful lives of fixed assets, stock-based compensation, sales and other tax liabilities, the valuation of deferred income tax assets and uncertain tax positions. Actual results could differ from those estimates.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2017 or 2018. No single customer accounted for 10% or more of total revenue during the fiscal years ended January 31, 2017 or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Restricted cash consists of certificates of deposit collateralizing our operating leases and corporate credit cards. We have $0.4 million and</w:t>
      </w:r>
    </w:p>
    <w:p>
      <w:pPr>
        <w:spacing w:after="0" w:line="35"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$0.7 million of restricted cash as of January 31, 2017 and 2018, respectively, which are included in prepaid expenses and other current assets and other assets, non-current in the consolidated balance sheets.</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2"/>
              </w:rPr>
              <w:t>February 1,</w:t>
            </w:r>
          </w:p>
        </w:tc>
        <w:tc>
          <w:tcPr>
            <w:tcW w:w="360" w:type="dxa"/>
            <w:vAlign w:val="bottom"/>
          </w:tcPr>
          <w:p>
            <w:pPr>
              <w:spacing w:after="0"/>
              <w:rPr>
                <w:sz w:val="14"/>
                <w:szCs w:val="14"/>
                <w:color w:val="auto"/>
              </w:rPr>
            </w:pPr>
          </w:p>
        </w:tc>
        <w:tc>
          <w:tcPr>
            <w:tcW w:w="1720" w:type="dxa"/>
            <w:vAlign w:val="bottom"/>
            <w:gridSpan w:val="4"/>
          </w:tcPr>
          <w:p>
            <w:pPr>
              <w:ind w:left="4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27,695</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$134,324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$36,146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assets, non-current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134,749</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36,821</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other comprehensive loss, which is reflected as a component of stockholders’ (deficit) equity. We evaluate our securities to assess whether those with unrealized loss positions are other than temporarily impaired. We consider impairments to be other than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(expense), net in the consolidated statements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Fair value is defined as the exchange price that would be received from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and accounts payable. Cash equivalents, restricted cash and marketable securities are stated at fair value. Accounts receivable and accounts payable are stated at their carrying value, which approximates fair value due to the short time to the expected receipt or payment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Capitalization of costs associated with the development of software was immaterial for all periods presented.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or 2018.</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No offering costs were capitalized as of January 31, 2017 or 2018.</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560" w:right="140" w:firstLine="423"/>
        <w:spacing w:after="0" w:line="254"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95"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8"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jc w:val="both"/>
        <w:ind w:left="560" w:right="60" w:firstLine="423"/>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7" w:lineRule="exact"/>
        <w:rPr>
          <w:sz w:val="20"/>
          <w:szCs w:val="20"/>
          <w:color w:val="auto"/>
        </w:rPr>
      </w:pPr>
    </w:p>
    <w:p>
      <w:pPr>
        <w:ind w:left="560" w:right="300" w:firstLine="423"/>
        <w:spacing w:after="0" w:line="301" w:lineRule="auto"/>
        <w:rPr>
          <w:sz w:val="20"/>
          <w:szCs w:val="20"/>
          <w:color w:val="auto"/>
        </w:rPr>
      </w:pPr>
      <w:r>
        <w:rPr>
          <w:rFonts w:ascii="Arial" w:cs="Arial" w:eastAsia="Arial" w:hAnsi="Arial"/>
          <w:sz w:val="16"/>
          <w:szCs w:val="16"/>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5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Services are time-based arrangements and revenue is recognized as these services are performed. Fees for services represent less than 3% of revenue in the periods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January 31,</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$50,676</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$125,428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APAC</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5,756</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13,652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60,817</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151,478</w:t>
            </w:r>
          </w:p>
        </w:tc>
        <w:tc>
          <w:tcPr>
            <w:tcW w:w="1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 The amount of unbilled accounts receivable included within accounts receivable, net on the consolidated balance sheets was $1.8 million and $2.5 million as of January 31, 2017 and 2018, respectively. The balance of accounts receivable, net as of February 1, 2016 was $4.4 million, inclusive of unbilled accounts receivable of $0.7 million.</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contract. The current portion of deferred revenue balances are recognized during the following 12-month period. The amount of revenue recognized in the fiscal years ended January 31, 2017 and 2018 that was included in deferred revenue at the beginning of each period was $7.1 million and $21.3 million, respectively. The balance of deferred revenue, current and deferred revenue, non-current as of February 1, 2016 was $7.1 million and $0.7 million,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w:t>
      </w:r>
    </w:p>
    <w:p>
      <w:pPr>
        <w:spacing w:after="0" w:line="117"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consideration in the amount of $75.7 million that we expect to recognize as revenue. We expect to recognize 67% of our remaining performance obligations as revenue in fiscal 2019, and the remainder thereafter.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to Obtain a Contract</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Sales commissions paid upon the initial acquisition of a contract are amortized over an estimated period of benefit of three years, which is typically greater than the contractual terms of the contracts. We do not pay sales 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44"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Year Ended</w:t>
      </w:r>
    </w:p>
    <w:p>
      <w:pPr>
        <w:ind w:left="990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9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9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3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$12,139</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Additions to deferred contract acquisition costs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11,230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27,470</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(3,114)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(9,023)</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12,139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30,586</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acquisition costs, current (to be recognized in next 12 months)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$13,888</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Deferred contract acquisition costs, non-current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6,878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16,698</w:t>
            </w:r>
          </w:p>
        </w:tc>
      </w:tr>
      <w:tr>
        <w:trPr>
          <w:trHeight w:val="27"/>
        </w:trPr>
        <w:tc>
          <w:tcPr>
            <w:tcW w:w="9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contract acquisition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12,139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30,586</w:t>
            </w:r>
          </w:p>
        </w:tc>
      </w:tr>
      <w:tr>
        <w:trPr>
          <w:trHeight w:val="20"/>
        </w:trPr>
        <w:tc>
          <w:tcPr>
            <w:tcW w:w="9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 services, personnel-related costs,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Research and development costs include personnel-related costs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$3.7 million and $17.1 million for the fiscal years ended January 31, 2017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some portion or all of a deferred tax asset will not be realized. Due to our lack of earnings history, the net deferred tax assets have been fully offset by a valuation allowance.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calculate our basic and diluted net loss per share attributable to common stockholders in conformity with the two-class method required for companies with participating securities. We consider our convertible preferred stock to be participating securities. In the event a dividend is declared or paid on our common stock, holders of convertible preferred stock are entitled to a share of such dividend in proportion to the holders of common stock on an as-if converted basis. Under the two-class method, basic net loss per share attributable to common stockholders is calculated by dividing the net loss attributable to common stockholders by the weighted-average number of shares of common stock outstanding for the period. Net loss attributable to common stockholders is determined by allocating undistributed earnings between common and convertible preferred stockholders. Undistributed earnings are calculated as net income less distributed earnings.</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determined using the treasury stock method. The net loss attributable to common stockholders was not allocated to the convertible preferred stock under the two-class method as the convertible preferred stock does not have a contractual obligation to share in our losses. For purposes of this calculation, convertible preferred stock, unvested restricted common stock, stock options, and early exercised stock options are considered potentially dilutive common stock equivalents but have been excluded from the calculation of diluted net loss per share attributable to common stockholders as their effect is anti-dilutive.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Unaudited pro forma basic and diluted net loss per share attributable to common stockholders for fiscal 2018 has been computed to give effect to the conversion of convertible preferred stock into common stock as of the beginning of the period or the original date of issuance, if earlier.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discrete financial information at the consolidated level.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1 above. The following table presents our property and equipment, net of depreciation and amortization, by geographic region: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5"/>
          </w:tcPr>
          <w:p>
            <w:pPr>
              <w:jc w:val="right"/>
              <w:ind w:right="21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$4,383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9,612</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APAC</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2,746</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5,660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13,032</w:t>
            </w:r>
          </w:p>
        </w:tc>
        <w:tc>
          <w:tcPr>
            <w:tcW w:w="6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2017 and 2018 under ASC 606.</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provides guidance about which changes to the terms or conditions of a share-based payment award require an entity to apply modification accounting in Topic</w:t>
      </w:r>
    </w:p>
    <w:p>
      <w:pPr>
        <w:ind w:left="120" w:right="860" w:hanging="4"/>
        <w:spacing w:after="0" w:line="260" w:lineRule="auto"/>
        <w:tabs>
          <w:tab w:leader="none" w:pos="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change is required to be applied prospectively to an award modified on or after the adoption date. We adopted the guidance starting February 1, 2016. The adoption of this standard had no effect on our consolidated financial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ASU 2016-02 on February 1, 2019. While we expect ASU 2016-02 to add significant right-of-use assets and lease liabilities to the consolidated balance sheets, we are evaluating other effects that the new standard will have on our consolidated financial statements.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standard simplifies the accounting for share-based payments granted to nonemployees for goods and services and aligns most of the guidance on such payments to the nonemployees with the requirements for share-based payments granted to employees. This change is required to be applied using a modified retrospective transition approach. We are currently evaluating the effect that ASU 2018-07 will have on our consolidated financial statements and related disclosures.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Marketable Securities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held no marketable securities during the fiscal year ended January 31, 2017. As of January 31, 2018, our marketable securities consisted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41,639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103,587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103,056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None of the marketable securities had been in an unrealized loss position for greater than 12 months as of January 31, 2018. Based on the available evidence, we concluded that the gross unrealized losses on the marketable securities as of January 31, 2018, are temporary in nature. There were no material realized gains or losses from available-for-sale securities that were reclassified out of accumulated other comprehensive loss for fiscal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59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43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58,347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4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44,709</w:t>
            </w:r>
          </w:p>
        </w:tc>
        <w:tc>
          <w:tcPr>
            <w:tcW w:w="60" w:type="dxa"/>
            <w:vAlign w:val="bottom"/>
          </w:tcPr>
          <w:p>
            <w:pPr>
              <w:spacing w:after="0"/>
              <w:rPr>
                <w:sz w:val="19"/>
                <w:szCs w:val="19"/>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103,056</w:t>
            </w:r>
          </w:p>
        </w:tc>
      </w:tr>
      <w:tr>
        <w:trPr>
          <w:trHeight w:val="20"/>
        </w:trPr>
        <w:tc>
          <w:tcPr>
            <w:tcW w:w="5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using the input categories further discussed in Note 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January 31, 2017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0"/>
                <w:szCs w:val="10"/>
                <w:color w:val="auto"/>
              </w:rPr>
            </w:pPr>
          </w:p>
        </w:tc>
        <w:tc>
          <w:tcPr>
            <w:tcW w:w="5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Level 3</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Certificate of deposit</w:t>
            </w:r>
          </w:p>
        </w:tc>
        <w:tc>
          <w:tcPr>
            <w:tcW w:w="33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$ 250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Certificate of deposit</w:t>
            </w:r>
          </w:p>
        </w:tc>
        <w:tc>
          <w:tcPr>
            <w:tcW w:w="3960" w:type="dxa"/>
            <w:vAlign w:val="bottom"/>
            <w:gridSpan w:val="3"/>
          </w:tcPr>
          <w:p>
            <w:pPr>
              <w:jc w:val="right"/>
              <w:ind w:right="24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 non-current</w:t>
            </w:r>
          </w:p>
        </w:tc>
        <w:tc>
          <w:tcPr>
            <w:tcW w:w="3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3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$ 425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3960" w:type="dxa"/>
            <w:vAlign w:val="bottom"/>
            <w:gridSpan w:val="3"/>
          </w:tcPr>
          <w:p>
            <w:pPr>
              <w:jc w:val="right"/>
              <w:ind w:right="2800"/>
              <w:spacing w:after="0"/>
              <w:rPr>
                <w:sz w:val="20"/>
                <w:szCs w:val="20"/>
                <w:color w:val="auto"/>
              </w:rPr>
            </w:pPr>
            <w:r>
              <w:rPr>
                <w:rFonts w:ascii="Arial" w:cs="Arial" w:eastAsia="Arial" w:hAnsi="Arial"/>
                <w:sz w:val="18"/>
                <w:szCs w:val="18"/>
                <w:color w:val="auto"/>
              </w:rPr>
              <w:t>F-18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4"/>
              </w:rPr>
              <w:t>January 31, 2018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500" w:type="dxa"/>
            <w:vAlign w:val="bottom"/>
          </w:tcPr>
          <w:p>
            <w:pPr>
              <w:spacing w:after="0"/>
              <w:rPr>
                <w:sz w:val="12"/>
                <w:szCs w:val="12"/>
                <w:color w:val="auto"/>
              </w:rPr>
            </w:pPr>
          </w:p>
        </w:tc>
        <w:tc>
          <w:tcPr>
            <w:tcW w:w="8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r>
      <w:tr>
        <w:trPr>
          <w:trHeight w:val="142"/>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Money market fund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41,403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Agency bonds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44,707</w:t>
            </w: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44,707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720"/>
              <w:spacing w:after="0"/>
              <w:rPr>
                <w:sz w:val="20"/>
                <w:szCs w:val="20"/>
                <w:color w:val="auto"/>
              </w:rPr>
            </w:pPr>
            <w:r>
              <w:rPr>
                <w:rFonts w:ascii="Arial" w:cs="Arial" w:eastAsia="Arial" w:hAnsi="Arial"/>
                <w:sz w:val="18"/>
                <w:szCs w:val="18"/>
                <w:color w:val="auto"/>
              </w:rPr>
              <w:t>Marketable securities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720"/>
              <w:spacing w:after="0"/>
              <w:rPr>
                <w:sz w:val="20"/>
                <w:szCs w:val="20"/>
                <w:color w:val="auto"/>
              </w:rPr>
            </w:pPr>
            <w:r>
              <w:rPr>
                <w:rFonts w:ascii="Arial" w:cs="Arial" w:eastAsia="Arial" w:hAnsi="Arial"/>
                <w:sz w:val="18"/>
                <w:szCs w:val="18"/>
                <w:color w:val="auto"/>
              </w:rPr>
              <w:t>Other assets, non-current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111,202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103,731</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bond, U.S. government agency securities and certificate of deposit within Level 2 because they are valued using inputs other than quoted prices which are directly or indirectly observable in the market, including readily-available pricing sources for the identical underlying security which may not be actively traded. There were no transfers of financial instruments between Level 1, Level 2 and Level 3 during the periods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January 31,</w:t>
            </w:r>
          </w:p>
        </w:tc>
      </w:tr>
      <w:tr>
        <w:trPr>
          <w:trHeight w:val="142"/>
        </w:trPr>
        <w:tc>
          <w:tcPr>
            <w:tcW w:w="93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9320" w:type="dxa"/>
            <w:vAlign w:val="bottom"/>
          </w:tcPr>
          <w:p>
            <w:pPr>
              <w:spacing w:after="0"/>
              <w:rPr>
                <w:sz w:val="12"/>
                <w:szCs w:val="12"/>
                <w:color w:val="auto"/>
              </w:rPr>
            </w:pPr>
          </w:p>
        </w:tc>
        <w:tc>
          <w:tcPr>
            <w:tcW w:w="15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$ 5,830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$13,865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r>
      <w:tr>
        <w:trPr>
          <w:trHeight w:val="27"/>
        </w:trPr>
        <w:tc>
          <w:tcPr>
            <w:tcW w:w="9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gross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(1,862)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(4,700)</w:t>
            </w:r>
          </w:p>
        </w:tc>
      </w:tr>
      <w:tr>
        <w:trPr>
          <w:trHeight w:val="27"/>
        </w:trPr>
        <w:tc>
          <w:tcPr>
            <w:tcW w:w="9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$ 5,660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13,032</w:t>
            </w:r>
          </w:p>
        </w:tc>
      </w:tr>
      <w:tr>
        <w:trPr>
          <w:trHeight w:val="20"/>
        </w:trPr>
        <w:tc>
          <w:tcPr>
            <w:tcW w:w="9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$1.2 million and $2.8 million for the fiscal years ended January 31, 2017 and 2018, respectively.</w:t>
      </w:r>
    </w:p>
    <w:p>
      <w:pPr>
        <w:spacing w:after="0" w:line="23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had no property and equipment financed under capital leases during the fiscal year ended January 31, 2017. As of January 31, 2018, property and equipment financed under capital leases was immaterial.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5"/>
          </w:tcPr>
          <w:p>
            <w:pPr>
              <w:jc w:val="right"/>
              <w:ind w:right="21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$3,642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9,206</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Accrued expenses</w:t>
            </w:r>
          </w:p>
        </w:tc>
        <w:tc>
          <w:tcPr>
            <w:tcW w:w="880" w:type="dxa"/>
            <w:vAlign w:val="bottom"/>
            <w:gridSpan w:val="4"/>
          </w:tcPr>
          <w:p>
            <w:pPr>
              <w:jc w:val="right"/>
              <w:ind w:right="38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3,920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2,329</w:t>
            </w: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6,061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15,455</w:t>
            </w:r>
          </w:p>
        </w:tc>
        <w:tc>
          <w:tcPr>
            <w:tcW w:w="6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lease our office facilities in Australia, China, the United Kingdom and the United States under noncancelable agreements that expire at various dates through January 2022. Rent expense for operating leases during the fiscal year ended January 31, 2017 and 2018 was $1.6 million and $3.3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payments related to operating leases as of January 31, 2018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6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Year Ending January 31,</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2019</w:t>
            </w:r>
          </w:p>
        </w:tc>
        <w:tc>
          <w:tcPr>
            <w:tcW w:w="372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3,749</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3,305</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2,254</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w:t>
            </w: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2023 and thereafter</w:t>
            </w:r>
          </w:p>
        </w:tc>
        <w:tc>
          <w:tcPr>
            <w:tcW w:w="3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future minimum payments</w:t>
            </w:r>
          </w:p>
        </w:tc>
        <w:tc>
          <w:tcPr>
            <w:tcW w:w="37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10,849</w:t>
            </w:r>
          </w:p>
        </w:tc>
      </w:tr>
      <w:tr>
        <w:trPr>
          <w:trHeight w:val="20"/>
        </w:trPr>
        <w:tc>
          <w:tcPr>
            <w:tcW w:w="6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In the normal course of business, we enter into non-cancelable purchase commitments with various parties to purchase software services. As of January 31, 2018, we had outstanding non-cancelable purchase obligations with a term of 12 months or longer of $8.0 million.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indemnification provisions.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2017 and 2018, we recorded sales and other tax liabilities of $3.2 million and $8.9 million, respectively, of which $0.3 million and $0.5 million are included in accrued expenses and other current liabilities, respectively, and $2.9 million and $8.4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each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Commerce’s Bureau of Industry and Security and OFAC. If we are found to be in violation of U.S. economic sanctions or export control laws, it could result in substantial fines and penalties for us and for the individuals working for us. We may also be adversely affected through other penalties, reputational harm, loss of access to certain markets or otherwise. No loss has been recognized in the financial statements for this loss contingency as it is not probable a loss has been incurred and the range of a possible loss is not yet estimable.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28" w:lineRule="exact"/>
        <w:rPr>
          <w:sz w:val="20"/>
          <w:szCs w:val="20"/>
          <w:color w:val="auto"/>
        </w:rPr>
      </w:pPr>
    </w:p>
    <w:p>
      <w:pPr>
        <w:ind w:left="660" w:hanging="544"/>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 Equity and Equity Incentive Plan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preferred stock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January 31, 2017</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7580" w:type="dxa"/>
            <w:vAlign w:val="bottom"/>
          </w:tcPr>
          <w:p>
            <w:pPr>
              <w:spacing w:after="0"/>
              <w:rPr>
                <w:sz w:val="10"/>
                <w:szCs w:val="10"/>
                <w:color w:val="auto"/>
              </w:rPr>
            </w:pPr>
          </w:p>
        </w:tc>
        <w:tc>
          <w:tcPr>
            <w:tcW w:w="10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Designated</w:t>
            </w:r>
          </w:p>
        </w:tc>
        <w:tc>
          <w:tcPr>
            <w:tcW w:w="200" w:type="dxa"/>
            <w:vAlign w:val="bottom"/>
          </w:tcPr>
          <w:p>
            <w:pPr>
              <w:spacing w:after="0"/>
              <w:rPr>
                <w:sz w:val="10"/>
                <w:szCs w:val="10"/>
                <w:color w:val="auto"/>
              </w:rPr>
            </w:pPr>
          </w:p>
        </w:tc>
        <w:tc>
          <w:tcPr>
            <w:tcW w:w="11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r>
      <w:tr>
        <w:trPr>
          <w:trHeight w:val="149"/>
        </w:trPr>
        <w:tc>
          <w:tcPr>
            <w:tcW w:w="75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Liquidation</w:t>
            </w:r>
          </w:p>
        </w:tc>
      </w:tr>
      <w:tr>
        <w:trPr>
          <w:trHeight w:val="171"/>
        </w:trPr>
        <w:tc>
          <w:tcPr>
            <w:tcW w:w="75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Authorized</w:t>
            </w:r>
          </w:p>
        </w:tc>
        <w:tc>
          <w:tcPr>
            <w:tcW w:w="2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7580" w:type="dxa"/>
            <w:vAlign w:val="bottom"/>
          </w:tcPr>
          <w:p>
            <w:pPr>
              <w:spacing w:after="0"/>
              <w:rPr>
                <w:sz w:val="12"/>
                <w:szCs w:val="12"/>
                <w:color w:val="auto"/>
              </w:rPr>
            </w:pPr>
          </w:p>
        </w:tc>
        <w:tc>
          <w:tcPr>
            <w:tcW w:w="2740" w:type="dxa"/>
            <w:vAlign w:val="bottom"/>
            <w:tcBorders>
              <w:top w:val="single" w:sz="8" w:color="auto"/>
            </w:tcBorders>
            <w:gridSpan w:val="7"/>
          </w:tcPr>
          <w:p>
            <w:pPr>
              <w:jc w:val="center"/>
              <w:ind w:left="559"/>
              <w:spacing w:after="0" w:line="142" w:lineRule="exact"/>
              <w:rPr>
                <w:sz w:val="20"/>
                <w:szCs w:val="20"/>
                <w:color w:val="auto"/>
              </w:rPr>
            </w:pPr>
            <w:r>
              <w:rPr>
                <w:rFonts w:ascii="Arial" w:cs="Arial" w:eastAsia="Arial" w:hAnsi="Arial"/>
                <w:sz w:val="14"/>
                <w:szCs w:val="14"/>
                <w:b w:val="1"/>
                <w:bCs w:val="1"/>
                <w:color w:val="auto"/>
                <w:w w:val="90"/>
              </w:rPr>
              <w:t>(in thousands, except share data)</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67,083,500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63,083,500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25,857,784</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25,857,784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6,500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34,363,256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34,363,256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Pr>
          <w:p>
            <w:pPr>
              <w:jc w:val="right"/>
              <w:spacing w:after="0"/>
              <w:rPr>
                <w:sz w:val="20"/>
                <w:szCs w:val="20"/>
                <w:color w:val="auto"/>
              </w:rPr>
            </w:pPr>
            <w:r>
              <w:rPr>
                <w:rFonts w:ascii="Arial" w:cs="Arial" w:eastAsia="Arial" w:hAnsi="Arial"/>
                <w:sz w:val="18"/>
                <w:szCs w:val="18"/>
                <w:color w:val="auto"/>
              </w:rPr>
              <w:t>30,800,000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30,727,064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114,966</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158,104,540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154,031,604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160,929</w:t>
            </w:r>
          </w:p>
        </w:tc>
      </w:tr>
      <w:tr>
        <w:trPr>
          <w:trHeight w:val="20"/>
        </w:trPr>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January 31, 2018</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7580" w:type="dxa"/>
            <w:vAlign w:val="bottom"/>
          </w:tcPr>
          <w:p>
            <w:pPr>
              <w:spacing w:after="0"/>
              <w:rPr>
                <w:sz w:val="10"/>
                <w:szCs w:val="10"/>
                <w:color w:val="auto"/>
              </w:rPr>
            </w:pPr>
          </w:p>
        </w:tc>
        <w:tc>
          <w:tcPr>
            <w:tcW w:w="10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Designated</w:t>
            </w:r>
          </w:p>
        </w:tc>
        <w:tc>
          <w:tcPr>
            <w:tcW w:w="200" w:type="dxa"/>
            <w:vAlign w:val="bottom"/>
          </w:tcPr>
          <w:p>
            <w:pPr>
              <w:spacing w:after="0"/>
              <w:rPr>
                <w:sz w:val="10"/>
                <w:szCs w:val="10"/>
                <w:color w:val="auto"/>
              </w:rPr>
            </w:pPr>
          </w:p>
        </w:tc>
        <w:tc>
          <w:tcPr>
            <w:tcW w:w="11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r>
      <w:tr>
        <w:trPr>
          <w:trHeight w:val="149"/>
        </w:trPr>
        <w:tc>
          <w:tcPr>
            <w:tcW w:w="75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Liquidation</w:t>
            </w:r>
          </w:p>
        </w:tc>
      </w:tr>
      <w:tr>
        <w:trPr>
          <w:trHeight w:val="171"/>
        </w:trPr>
        <w:tc>
          <w:tcPr>
            <w:tcW w:w="75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Authorized</w:t>
            </w:r>
          </w:p>
        </w:tc>
        <w:tc>
          <w:tcPr>
            <w:tcW w:w="2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7580" w:type="dxa"/>
            <w:vAlign w:val="bottom"/>
          </w:tcPr>
          <w:p>
            <w:pPr>
              <w:spacing w:after="0"/>
              <w:rPr>
                <w:sz w:val="12"/>
                <w:szCs w:val="12"/>
                <w:color w:val="auto"/>
              </w:rPr>
            </w:pPr>
          </w:p>
        </w:tc>
        <w:tc>
          <w:tcPr>
            <w:tcW w:w="2740" w:type="dxa"/>
            <w:vAlign w:val="bottom"/>
            <w:tcBorders>
              <w:top w:val="single" w:sz="8" w:color="auto"/>
            </w:tcBorders>
            <w:gridSpan w:val="7"/>
          </w:tcPr>
          <w:p>
            <w:pPr>
              <w:jc w:val="center"/>
              <w:ind w:left="559"/>
              <w:spacing w:after="0" w:line="142" w:lineRule="exact"/>
              <w:rPr>
                <w:sz w:val="20"/>
                <w:szCs w:val="20"/>
                <w:color w:val="auto"/>
              </w:rPr>
            </w:pPr>
            <w:r>
              <w:rPr>
                <w:rFonts w:ascii="Arial" w:cs="Arial" w:eastAsia="Arial" w:hAnsi="Arial"/>
                <w:sz w:val="14"/>
                <w:szCs w:val="14"/>
                <w:b w:val="1"/>
                <w:bCs w:val="1"/>
                <w:color w:val="auto"/>
                <w:w w:val="90"/>
              </w:rPr>
              <w:t>(in thousands, except share data)</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67,083,500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61,717,700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25,857,784</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25,857,784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6,500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34,363,256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34,363,256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Pr>
          <w:p>
            <w:pPr>
              <w:jc w:val="right"/>
              <w:spacing w:after="0"/>
              <w:rPr>
                <w:sz w:val="20"/>
                <w:szCs w:val="20"/>
                <w:color w:val="auto"/>
              </w:rPr>
            </w:pPr>
            <w:r>
              <w:rPr>
                <w:rFonts w:ascii="Arial" w:cs="Arial" w:eastAsia="Arial" w:hAnsi="Arial"/>
                <w:sz w:val="18"/>
                <w:szCs w:val="18"/>
                <w:color w:val="auto"/>
              </w:rPr>
              <w:t>30,800,000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30,727,064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114,966</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158,104,540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160,724</w:t>
            </w:r>
          </w:p>
        </w:tc>
      </w:tr>
      <w:tr>
        <w:trPr>
          <w:trHeight w:val="20"/>
        </w:trPr>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the convertible preferred stock have the following rights, preferences and privileges: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convertible preferred stock are entitled to receive noncumulative dividends at the rate of 6% of their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 Holders of convertible preferred stock have the right to convert at any time into shares of common stock at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ratio arrived at by dividing the original issuance price by the applicable conversion price. All shares of the convertible preferred stock shall be automatically converted into shares of common stock (i) upon the written request from holders of each of (a) a majority of the Series A convertible preferred stock then outstanding, (b) a majority of the Series B convertible preferred stock then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outstanding, (c) a majority of the Series C convertible preferred stock then outstanding, and (d) a majority of the Series D convertible preferred stock outstanding, or (ii) into shares of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8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dissolution or winding up of the Company, either voluntary or involuntary,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 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common stock. The remaining funds are distributed with equal priority and pro rata among the holders of preferred stock and common stock.</w:t>
      </w:r>
    </w:p>
    <w:p>
      <w:pPr>
        <w:spacing w:after="0" w:line="179"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The holders of convertible preferred stock are entitled to vote on all matters and are entitled to the number of votes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into which each share of convertible preferred stock is then convertible. The holders of convertible preferred stock vote together with the holders of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common stock, voting as a separate class, are entitled to elect two members of the board of directors. The holders of convertible preferred stock and common stock, voting together as a single class on an as-if-converted basis, are entitled to elect remaining members of the board of directors.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The convertible preferred stock does not contain any date-certain redemption features.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i w:val="1"/>
          <w:iCs w:val="1"/>
          <w:color w:val="auto"/>
        </w:rPr>
        <w:t xml:space="preserve">Classification of Convertible Preferred Stock </w:t>
      </w:r>
      <w:r>
        <w:rPr>
          <w:rFonts w:ascii="Arial" w:cs="Arial" w:eastAsia="Arial" w:hAnsi="Arial"/>
          <w:sz w:val="18"/>
          <w:szCs w:val="18"/>
          <w:color w:val="auto"/>
        </w:rPr>
        <w:t>– The deemed liquidation preference provisions of the convertible preferred stock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Repurchases of Convertible Preferred Stock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Series A convertible preferred stock that we repurchased were retired immediately thereafter.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January 31, 2018, there were 320,000,000 shares of common stock authorized, of which 82,609,638 shares were issued and outstanding. Holders of common stock are entitled to receive dividends whenever funds are legally available and when declared by the board of directors, subject to the priority rights of holders of all series of convertible preferred stock outstanding.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 reserved for issuance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85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154,031,604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28,011,000</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34,170,489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Remaining shares available for future issuance under the 2011 Plan</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5,578,104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10,459,873</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 shares of common stock 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187,620,708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197,296,166</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of January 31, 2017 and 2018, our board of directors had authorized 57,240,000 and 71,240,000 shares of common stock to be reserved for grants of awards under the 2011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4"/>
                <w:szCs w:val="14"/>
                <w:b w:val="1"/>
                <w:bCs w:val="1"/>
                <w:color w:val="auto"/>
                <w:w w:val="91"/>
              </w:rPr>
              <w:t>Options Outstanding</w:t>
            </w: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0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Contractual</w:t>
            </w:r>
          </w:p>
        </w:tc>
        <w:tc>
          <w:tcPr>
            <w:tcW w:w="920" w:type="dxa"/>
            <w:vAlign w:val="bottom"/>
            <w:gridSpan w:val="3"/>
          </w:tcPr>
          <w:p>
            <w:pPr>
              <w:jc w:val="center"/>
              <w:ind w:left="7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Grant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340" w:type="dxa"/>
            <w:vAlign w:val="bottom"/>
          </w:tcPr>
          <w:p>
            <w:pPr>
              <w:spacing w:after="0"/>
              <w:rPr>
                <w:sz w:val="14"/>
                <w:szCs w:val="14"/>
                <w:color w:val="auto"/>
              </w:rPr>
            </w:pPr>
          </w:p>
        </w:tc>
        <w:tc>
          <w:tcPr>
            <w:tcW w:w="740" w:type="dxa"/>
            <w:vAlign w:val="bottom"/>
          </w:tcPr>
          <w:p>
            <w:pPr>
              <w:jc w:val="center"/>
              <w:ind w:right="253"/>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right"/>
              <w:ind w:right="161"/>
              <w:spacing w:after="0"/>
              <w:rPr>
                <w:sz w:val="20"/>
                <w:szCs w:val="20"/>
                <w:color w:val="auto"/>
              </w:rPr>
            </w:pPr>
            <w:r>
              <w:rPr>
                <w:rFonts w:ascii="Arial" w:cs="Arial" w:eastAsia="Arial" w:hAnsi="Arial"/>
                <w:sz w:val="14"/>
                <w:szCs w:val="14"/>
                <w:b w:val="1"/>
                <w:bCs w:val="1"/>
                <w:color w:val="auto"/>
              </w:rPr>
              <w:t>Life (Years)</w:t>
            </w:r>
          </w:p>
        </w:tc>
        <w:tc>
          <w:tcPr>
            <w:tcW w:w="34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5"/>
          </w:tcPr>
          <w:p>
            <w:pPr>
              <w:jc w:val="right"/>
              <w:ind w:right="441"/>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1, 2016</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10,758,016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31,802,500</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0.06</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(5,808,000)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5,808,000</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0.30</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(8,971,412)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0.04</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628,088</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(628,088)</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0.19</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5,578,104</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28,011,000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0.11</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13,900</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Shares authorized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14,000,000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(9,765,200)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9,765,200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0.87</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(2,958,742)</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0.25</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646,969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(646,969)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0.39</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as of January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10,459,873</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34,170,489</w:t>
            </w:r>
          </w:p>
        </w:tc>
        <w:tc>
          <w:tcPr>
            <w:tcW w:w="28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0.31</w:t>
            </w:r>
          </w:p>
        </w:tc>
        <w:tc>
          <w:tcPr>
            <w:tcW w:w="1200" w:type="dxa"/>
            <w:vAlign w:val="bottom"/>
          </w:tcPr>
          <w:p>
            <w:pPr>
              <w:jc w:val="right"/>
              <w:ind w:right="141"/>
              <w:spacing w:after="0"/>
              <w:rPr>
                <w:sz w:val="20"/>
                <w:szCs w:val="20"/>
                <w:color w:val="auto"/>
              </w:rPr>
            </w:pPr>
            <w:r>
              <w:rPr>
                <w:rFonts w:ascii="Arial" w:cs="Arial" w:eastAsia="Arial" w:hAnsi="Arial"/>
                <w:sz w:val="18"/>
                <w:szCs w:val="18"/>
                <w:color w:val="auto"/>
              </w:rPr>
              <w:t>6.9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53,947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as of January 31, 2018</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19,287,895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0.09</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34,810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weighted-average grant date fair value of options granted during the fiscal years ended January 31, 2017 and 2018 was $0.23 and $0.67, respectively. As of January 31, 2018, unrecognized stock-based compensation cost related to outstanding unvested stock options was $7.4 million, which is expected to be recognized over a weighted-average period of 1.6 years.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Year Ended January 31,</w:t>
            </w:r>
          </w:p>
        </w:tc>
        <w:tc>
          <w:tcPr>
            <w:tcW w:w="800" w:type="dxa"/>
            <w:vAlign w:val="bottom"/>
            <w:tcBorders>
              <w:bottom w:val="single" w:sz="8" w:color="auto"/>
            </w:tcBorders>
          </w:tcPr>
          <w:p>
            <w:pPr>
              <w:spacing w:after="0"/>
              <w:rPr>
                <w:sz w:val="14"/>
                <w:szCs w:val="14"/>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2"/>
          </w:tcPr>
          <w:p>
            <w:pPr>
              <w:jc w:val="right"/>
              <w:ind w:right="49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56.3%</w:t>
            </w: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800" w:type="dxa"/>
            <w:vAlign w:val="bottom"/>
          </w:tcPr>
          <w:p>
            <w:pPr>
              <w:ind w:left="20"/>
              <w:spacing w:after="0"/>
              <w:rPr>
                <w:sz w:val="20"/>
                <w:szCs w:val="20"/>
                <w:color w:val="auto"/>
              </w:rPr>
            </w:pPr>
            <w:r>
              <w:rPr>
                <w:rFonts w:ascii="Arial" w:cs="Arial" w:eastAsia="Arial" w:hAnsi="Arial"/>
                <w:sz w:val="18"/>
                <w:szCs w:val="18"/>
                <w:color w:val="auto"/>
              </w:rPr>
              <w:t>– 52.0%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455"/>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31" w:lineRule="exact"/>
        <w:rPr>
          <w:sz w:val="20"/>
          <w:szCs w:val="20"/>
          <w:color w:val="auto"/>
        </w:rPr>
      </w:pPr>
    </w:p>
    <w:p>
      <w:pPr>
        <w:ind w:left="980" w:right="100" w:hanging="432"/>
        <w:spacing w:after="0" w:line="259"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our common stock is not publicly traded, the fair value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2" w:lineRule="exact"/>
        <w:rPr>
          <w:rFonts w:ascii="Arial" w:cs="Arial" w:eastAsia="Arial" w:hAnsi="Arial"/>
          <w:sz w:val="18"/>
          <w:szCs w:val="18"/>
          <w:color w:val="auto"/>
        </w:rPr>
      </w:pPr>
    </w:p>
    <w:p>
      <w:pPr>
        <w:ind w:left="980" w:right="180" w:hanging="432"/>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75" w:lineRule="exact"/>
        <w:rPr>
          <w:rFonts w:ascii="Arial" w:cs="Arial" w:eastAsia="Arial" w:hAnsi="Arial"/>
          <w:sz w:val="18"/>
          <w:szCs w:val="18"/>
          <w:color w:val="auto"/>
        </w:rPr>
      </w:pPr>
    </w:p>
    <w:p>
      <w:pPr>
        <w:jc w:val="both"/>
        <w:ind w:left="980" w:right="100" w:hanging="432"/>
        <w:spacing w:after="0" w:line="311"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of options represents the period of time that options are expected to be outstanding. Our historical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000" w:right="580"/>
        <w:spacing w:after="0" w:line="277" w:lineRule="auto"/>
        <w:rPr>
          <w:sz w:val="20"/>
          <w:szCs w:val="20"/>
          <w:color w:val="auto"/>
        </w:rPr>
      </w:pPr>
      <w:r>
        <w:rPr>
          <w:rFonts w:ascii="Arial" w:cs="Arial" w:eastAsia="Arial" w:hAnsi="Arial"/>
          <w:sz w:val="18"/>
          <w:szCs w:val="18"/>
          <w:color w:val="auto"/>
        </w:rPr>
        <w:t>calculates the expected term as the average of the time-to-vesting and the contractual life of the options. For stock options granted to non-employees, the expected term equals the contractual term of the option.</w:t>
      </w:r>
    </w:p>
    <w:p>
      <w:pPr>
        <w:spacing w:after="0" w:line="76" w:lineRule="exact"/>
        <w:rPr>
          <w:sz w:val="20"/>
          <w:szCs w:val="20"/>
          <w:color w:val="auto"/>
        </w:rPr>
      </w:pPr>
    </w:p>
    <w:p>
      <w:pPr>
        <w:jc w:val="both"/>
        <w:ind w:left="980" w:right="160" w:hanging="432"/>
        <w:spacing w:after="0" w:line="263"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9" w:lineRule="exact"/>
        <w:rPr>
          <w:rFonts w:ascii="Arial" w:cs="Arial" w:eastAsia="Arial" w:hAnsi="Arial"/>
          <w:sz w:val="18"/>
          <w:szCs w:val="18"/>
          <w:color w:val="auto"/>
        </w:rPr>
      </w:pPr>
    </w:p>
    <w:p>
      <w:pPr>
        <w:ind w:left="980" w:right="680" w:hanging="432"/>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Early Exercise of Common Stock</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board of directors allowed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2017 and 2018, 2,475,000 and 1,941,667 shares of common stock were subject to repurchase at a weighted average price of $0.14 and $0.26 per share, respectively. As of January 31, 2017 and 2018, the cash proceeds received for unvested shares of common stock recorded within accrued expenses and other current liabilities in the consolidated balance sheets were $0.3 million and $0.5 million, respectively.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4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For the fiscal years ended January 31, 2017 and 2018, 180,408 shares of the restricted common stock vested in each period, and the related stock-based compensation expense for such shares of common stock was immaterial. As of January 31, 2018, 360,816 shares of common stock were unvested and subject to repurchase.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Stock Transactions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255"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auto"/>
        </w:rPr>
        <w:t>Year Ended</w:t>
      </w:r>
    </w:p>
    <w:p>
      <w:pPr>
        <w:ind w:left="998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6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13"/>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8,953</w:t>
            </w:r>
          </w:p>
        </w:tc>
      </w:tr>
      <w:tr>
        <w:trPr>
          <w:trHeight w:val="27"/>
        </w:trPr>
        <w:tc>
          <w:tcPr>
            <w:tcW w:w="63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10,329</w:t>
            </w:r>
          </w:p>
        </w:tc>
      </w:tr>
      <w:tr>
        <w:trPr>
          <w:trHeight w:val="20"/>
        </w:trPr>
        <w:tc>
          <w:tcPr>
            <w:tcW w:w="6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net income (loss) before the provision for income taxes were as follows:</w:t>
      </w:r>
    </w:p>
    <w:p>
      <w:pPr>
        <w:spacing w:after="0" w:line="244"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Year Ended</w:t>
      </w:r>
    </w:p>
    <w:p>
      <w:pPr>
        <w:ind w:left="996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20" w:type="dxa"/>
            <w:vAlign w:val="bottom"/>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$(3,782)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Foreign</w:t>
            </w:r>
          </w:p>
        </w:tc>
        <w:tc>
          <w:tcPr>
            <w:tcW w:w="43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273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r>
      <w:tr>
        <w:trPr>
          <w:trHeight w:val="27"/>
        </w:trPr>
        <w:tc>
          <w:tcPr>
            <w:tcW w:w="5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(3,518)</w:t>
            </w:r>
          </w:p>
        </w:tc>
      </w:tr>
      <w:tr>
        <w:trPr>
          <w:trHeight w:val="20"/>
        </w:trPr>
        <w:tc>
          <w:tcPr>
            <w:tcW w:w="5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were as follows:</w:t>
      </w:r>
    </w:p>
    <w:p>
      <w:pPr>
        <w:spacing w:after="0" w:line="244"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Year Ended</w:t>
      </w:r>
    </w:p>
    <w:p>
      <w:pPr>
        <w:ind w:left="1016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98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9860" w:type="dxa"/>
            <w:vAlign w:val="bottom"/>
          </w:tcPr>
          <w:p>
            <w:pPr>
              <w:spacing w:after="0"/>
              <w:rPr>
                <w:sz w:val="12"/>
                <w:szCs w:val="12"/>
                <w:color w:val="auto"/>
              </w:rPr>
            </w:pPr>
          </w:p>
        </w:tc>
        <w:tc>
          <w:tcPr>
            <w:tcW w:w="110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2"/>
                <w:szCs w:val="12"/>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23"/>
        </w:trPr>
        <w:tc>
          <w:tcPr>
            <w:tcW w:w="9860" w:type="dxa"/>
            <w:vAlign w:val="bottom"/>
          </w:tcPr>
          <w:p>
            <w:pPr>
              <w:ind w:left="36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r>
      <w:tr>
        <w:trPr>
          <w:trHeight w:val="216"/>
        </w:trPr>
        <w:tc>
          <w:tcPr>
            <w:tcW w:w="9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income tax expense</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State</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9860" w:type="dxa"/>
            <w:vAlign w:val="bottom"/>
          </w:tcPr>
          <w:p>
            <w:pPr>
              <w:ind w:left="720"/>
              <w:spacing w:after="0"/>
              <w:rPr>
                <w:sz w:val="20"/>
                <w:szCs w:val="20"/>
                <w:color w:val="auto"/>
              </w:rPr>
            </w:pPr>
            <w:r>
              <w:rPr>
                <w:rFonts w:ascii="Arial" w:cs="Arial" w:eastAsia="Arial" w:hAnsi="Arial"/>
                <w:sz w:val="18"/>
                <w:szCs w:val="18"/>
                <w:color w:val="auto"/>
              </w:rPr>
              <w:t>Total deferred income tax expense</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172</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r>
      <w:tr>
        <w:trPr>
          <w:trHeight w:val="20"/>
        </w:trPr>
        <w:tc>
          <w:tcPr>
            <w:tcW w:w="9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earnings of foreign subsidiaries that is payable over eight years (Transition Tax) and a reduction in the corporate tax rate to 21%. The Tax Act also establishes new tax laws that will affect later years, a general limitation of U.S. 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performed a re-measurement of deferred tax assets and liabilities as a result of the decrease in the corporate federal income tax rate to 21%, which was offset by the valuation allowance.</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Additional work is necessary for a more detailed analysis of our deferred tax assets and liabilities and valuation allowance. Any subsequent adjustment to these amounts will be recorded in the first quarter of 2019 when the analysis is complete.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as follows:</w:t>
      </w:r>
    </w:p>
    <w:p>
      <w:pPr>
        <w:spacing w:after="0" w:line="244"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Year Ended</w:t>
      </w:r>
    </w:p>
    <w:p>
      <w:pPr>
        <w:ind w:left="99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19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(1,157)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State taxes</w:t>
            </w: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(243)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3,272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Differences in U.S. GAAP to local statutory accounting</w:t>
            </w: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net of FIN48</w:t>
            </w: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Tax uncertainties</w:t>
            </w: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(648)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(1,895)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Change in federal tax rate</w:t>
            </w: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Total</w:t>
            </w:r>
          </w:p>
        </w:tc>
        <w:tc>
          <w:tcPr>
            <w:tcW w:w="4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4900" w:type="dxa"/>
            <w:vAlign w:val="bottom"/>
            <w:gridSpan w:val="2"/>
          </w:tcPr>
          <w:p>
            <w:pPr>
              <w:jc w:val="right"/>
              <w:ind w:right="3807"/>
              <w:spacing w:after="0"/>
              <w:rPr>
                <w:sz w:val="20"/>
                <w:szCs w:val="20"/>
                <w:color w:val="auto"/>
              </w:rPr>
            </w:pPr>
            <w:r>
              <w:rPr>
                <w:rFonts w:ascii="Arial" w:cs="Arial" w:eastAsia="Arial" w:hAnsi="Arial"/>
                <w:sz w:val="18"/>
                <w:szCs w:val="18"/>
                <w:color w:val="auto"/>
              </w:rPr>
              <w:t>F-28</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Deferred income taxes result from differences in the recognition of expenses for tax and financial reporting purposes, as well as operating loss and tax credit carryforwards. Significant components of our deferred income tax assets as of January 31, 2017 and 2018 are as follows:</w:t>
      </w:r>
    </w:p>
    <w:p>
      <w:pPr>
        <w:spacing w:after="0" w:line="165"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auto"/>
        </w:rPr>
        <w:t>Year Ended</w:t>
      </w:r>
    </w:p>
    <w:p>
      <w:pPr>
        <w:ind w:left="988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6,774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6,040</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 carryforward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1,929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3,036</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(1,250)</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Deferred contract acquisition costs</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(3,190)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(6,290)</w:t>
            </w: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deferred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6,220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3,154</w:t>
            </w: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(6,220)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(3,154)</w:t>
            </w:r>
          </w:p>
        </w:tc>
        <w:tc>
          <w:tcPr>
            <w:tcW w:w="120" w:type="dxa"/>
            <w:vAlign w:val="bottom"/>
          </w:tcPr>
          <w:p>
            <w:pPr>
              <w:spacing w:after="0"/>
              <w:rPr>
                <w:sz w:val="19"/>
                <w:szCs w:val="19"/>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$0.8 million for the fiscal year ended January 31, 2017 and decreased $3.1 million for the fiscal year ended January 31, 2018.</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January 31, 2018, we had net operating loss carryforwards of approximately $22.2 million for federal income tax purposes which will begin to expire in 2032 if unused. We had net operating loss carryforwards of approximately $18.4 million for state income tax purposes which will begin to expire in the year 2027 if unused.</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January 31, 2018, we also had research and development credit carryforwards of approximately $0.5 million for federal income tax and $0.6 million for state income tax purposes. The federal research and development tax credit will begin to expire in 2036 if unused. State research and development tax credits carryforward indefinitely.</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w:t>
      </w:r>
    </w:p>
    <w:p>
      <w:pPr>
        <w:spacing w:after="0" w:line="171"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We comply with ASC 740-10, “Accounting for Uncertainty in Income Taxes” which prescribes a comprehensive model for the recognition, measurement, presentation and disclosure in financial statements of any uncertain tax positions that have been taken or expected to be taken on a tax return. In 2011, we adopted the provisions set forth in FASB Accounting Standard Codification (ASC) Topic 740-10, issued originally as FASB</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Interpretation No. 48, Accounting for Uncertainty in Income Taxes. This pronouncement sets a “more likely than not” criterion for recognizing the tax benefit of uncertain tax positions. Total unrecognized income tax benefits are $2.0 million as of January 31, 2018. We do not anticipate any significant changes to unrecognized tax benefits in the next 12 months. We recognize interest and penalties related to uncertain tax positions in income tax expense.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Unrecognized</w:t>
            </w:r>
          </w:p>
        </w:tc>
      </w:tr>
      <w:tr>
        <w:trPr>
          <w:trHeight w:val="171"/>
        </w:trPr>
        <w:tc>
          <w:tcPr>
            <w:tcW w:w="6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Tax Benefits</w:t>
            </w:r>
          </w:p>
        </w:tc>
      </w:tr>
      <w:tr>
        <w:trPr>
          <w:trHeight w:val="142"/>
        </w:trPr>
        <w:tc>
          <w:tcPr>
            <w:tcW w:w="6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344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Increases related to current years’ tax positions</w:t>
            </w:r>
          </w:p>
        </w:tc>
        <w:tc>
          <w:tcPr>
            <w:tcW w:w="3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Increases related to current years’ tax positions</w:t>
            </w:r>
          </w:p>
        </w:tc>
        <w:tc>
          <w:tcPr>
            <w:tcW w:w="3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344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r>
      <w:tr>
        <w:trPr>
          <w:trHeight w:val="20"/>
        </w:trPr>
        <w:tc>
          <w:tcPr>
            <w:tcW w:w="6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During the years ended January 31, 2017 and 2018,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$0.5 million would affect our effective tax rate.</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file income tax returns in the U.S. federal jurisdiction, various state jurisdictions and various foreign jurisdictions. As of January 31, 2018, all of the years remain open to examination by the federal and state tax authorities for three or four years from the tax year in which net operating losses or tax credits are utilized. We are not currently subject to income tax examinations by any tax authority.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93"/>
              </w:rPr>
              <w:t>per share data)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1"/>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Distributed earnings attributable to participating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(14,366)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 stockholders,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240" w:type="dxa"/>
            <w:vAlign w:val="bottom"/>
            <w:gridSpan w:val="2"/>
          </w:tcPr>
          <w:p>
            <w:pPr>
              <w:jc w:val="right"/>
              <w:ind w:right="361"/>
              <w:spacing w:after="0"/>
              <w:rPr>
                <w:sz w:val="20"/>
                <w:szCs w:val="20"/>
                <w:color w:val="auto"/>
              </w:rPr>
            </w:pPr>
            <w:r>
              <w:rPr>
                <w:rFonts w:ascii="Arial" w:cs="Arial" w:eastAsia="Arial" w:hAnsi="Arial"/>
                <w:sz w:val="18"/>
                <w:szCs w:val="18"/>
                <w:color w:val="auto"/>
                <w:w w:val="86"/>
              </w:rPr>
              <w:t>70,309,256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78,119,865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5340"/>
              <w:spacing w:after="0"/>
              <w:rPr>
                <w:sz w:val="20"/>
                <w:szCs w:val="20"/>
                <w:color w:val="auto"/>
              </w:rPr>
            </w:pPr>
            <w:r>
              <w:rPr>
                <w:rFonts w:ascii="Arial" w:cs="Arial" w:eastAsia="Arial" w:hAnsi="Arial"/>
                <w:sz w:val="18"/>
                <w:szCs w:val="18"/>
                <w:color w:val="auto"/>
              </w:rPr>
              <w:t>F-30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5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154,031,604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28,011,000</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34,170,489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repurchase from early exercised stock options and restricted stock</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3,016,224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2,302,483</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185,058,828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189,138,776</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have presented the unaudited pro forma basic and diluted net loss per share for the fiscal year ended January 31, 2018, which has been computed to give effect to the conversion of our convertible preferred stock into common stock (using the if-converted method) as though the conversion had occurred as of the beginning of the period. The pro forma net loss per share does not include shares being offered in the assumed IPO.</w:t>
      </w:r>
    </w:p>
    <w:p>
      <w:pPr>
        <w:spacing w:after="0" w:line="149"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9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71"/>
        </w:trPr>
        <w:tc>
          <w:tcPr>
            <w:tcW w:w="9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119"/>
        </w:trPr>
        <w:tc>
          <w:tcPr>
            <w:tcW w:w="990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 thousands,</w:t>
            </w:r>
          </w:p>
        </w:tc>
        <w:tc>
          <w:tcPr>
            <w:tcW w:w="120" w:type="dxa"/>
            <w:vAlign w:val="bottom"/>
          </w:tcPr>
          <w:p>
            <w:pPr>
              <w:spacing w:after="0"/>
              <w:rPr>
                <w:sz w:val="10"/>
                <w:szCs w:val="10"/>
                <w:color w:val="auto"/>
              </w:rPr>
            </w:pPr>
          </w:p>
        </w:tc>
      </w:tr>
      <w:tr>
        <w:trPr>
          <w:trHeight w:val="148"/>
        </w:trPr>
        <w:tc>
          <w:tcPr>
            <w:tcW w:w="9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except share</w:t>
            </w:r>
          </w:p>
        </w:tc>
      </w:tr>
      <w:tr>
        <w:trPr>
          <w:trHeight w:val="148"/>
        </w:trPr>
        <w:tc>
          <w:tcPr>
            <w:tcW w:w="99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and per share</w:t>
            </w:r>
          </w:p>
        </w:tc>
      </w:tr>
      <w:tr>
        <w:trPr>
          <w:trHeight w:val="17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data)</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(8,227)</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Distributed earnings attributable to participating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4,405</w:t>
            </w: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(3,822)</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78,119,865</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of convertible preferred stock upon assumed conversion in IPO</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153,561,780</w:t>
            </w:r>
          </w:p>
        </w:tc>
      </w:tr>
      <w:tr>
        <w:trPr>
          <w:trHeight w:val="209"/>
        </w:trPr>
        <w:tc>
          <w:tcPr>
            <w:tcW w:w="9900" w:type="dxa"/>
            <w:vAlign w:val="bottom"/>
          </w:tcPr>
          <w:p>
            <w:pPr>
              <w:ind w:left="360"/>
              <w:spacing w:after="0"/>
              <w:rPr>
                <w:sz w:val="20"/>
                <w:szCs w:val="20"/>
                <w:color w:val="auto"/>
              </w:rPr>
            </w:pPr>
            <w:r>
              <w:rPr>
                <w:rFonts w:ascii="Arial" w:cs="Arial" w:eastAsia="Arial" w:hAnsi="Arial"/>
                <w:sz w:val="18"/>
                <w:szCs w:val="18"/>
                <w:color w:val="auto"/>
              </w:rPr>
              <w:t>Weighted-average shares used in computing pro forma net loss per share attributable to common stockholders, basic</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900" w:type="dxa"/>
            <w:vAlign w:val="bottom"/>
          </w:tcPr>
          <w:p>
            <w:pPr>
              <w:ind w:left="54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231,681,645</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one of our board of directors. Revenue recognized from services provided to Veeva was $0.3 million and $1.4 million for the fiscal years ended January 31, 2017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have evaluated subsequent events from the balance sheet date through December 20, 2018, the date at which the consolidated financial statements were available to be issued.</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Subsequent to January 31, 2018, we granted stock options to purchase up to 8,450,300 shares of common stock with a weighted-average exercise price of $3.94 per share.</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Subsequent to January 31, 2018, we entered into agreements to lease additional spaces located in Australia, China, the United Kingdom and the United States. We expect to make $39.7 million of additional rent payments over the terms of these leases, which expire at various dates through the year ending January 31, 2028.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October 2018, we entered into a strategic, multi-phase partnership with Dropbox, Inc. (Dropbox), a global collaboration platform, which involves the development of integrated workflows between our platforms and the Dropbox platform, as well as a strategic financial investment by Dropbox whereby we issued a $5.0 million unsecured three-year convertible promissory note to Dropbox, which accrues simple interest at 2.75% per annum. The note will automatically convert into shares of common stock upon an IPO at a conversion price equal to the IPO price. In the event of a “Qualified Financing”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October 2018, we entered into a strategic partnership with the collaboration software company Atlassian, Inc. (Atlassian), a collaboration software company, which involves the development of integrated workflows between us and Atlassian’s Jira Ops and Jira Service Desk products, as well as a strategic financial investment by Atlassian whereby we issued a $10.0 million unsecured three-year convertible promissory note to Atlassian, which accrues simple interest at 5.0% per annum. The note will automatically convert into shares of common stock upon an IPO at a conversion price equal to the IPO price. In the event of a “Qualified Financing”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November 2018, we implemented a dual class common stock structure pursuant to which all then-outstanding shares of our common stock were reclassified as Class B common stock and a new class of Class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common stock was authorized. The Class A common stock is entitled to one vote per share and the Class B common stock is entitled to 10 votes per share. The Class A and Class B common stock have the same dividend and liquidation rights. A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w:t>
      </w:r>
    </w:p>
    <w:p>
      <w:pPr>
        <w:spacing w:after="0" w:line="2" w:lineRule="exact"/>
        <w:rPr>
          <w:sz w:val="20"/>
          <w:szCs w:val="20"/>
          <w:color w:val="auto"/>
        </w:rPr>
      </w:pPr>
    </w:p>
    <w:p>
      <w:pPr>
        <w:ind w:left="120" w:right="40" w:hanging="4"/>
        <w:spacing w:after="0" w:line="252" w:lineRule="auto"/>
        <w:tabs>
          <w:tab w:leader="none" w:pos="3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our proposed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3392170</wp:posOffset>
            </wp:positionV>
            <wp:extent cx="3086100" cy="694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86100" cy="6946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1120"/>
          </w:cols>
          <w:pgMar w:left="320" w:top="459" w:right="459" w:bottom="1440" w:gutter="0" w:footer="0" w:header="0"/>
        </w:sectPr>
      </w:pPr>
    </w:p>
    <w:p>
      <w:pPr>
        <w:spacing w:after="0" w:line="3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Exchange listing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13335</wp:posOffset>
            </wp:positionV>
            <wp:extent cx="474916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27940</wp:posOffset>
            </wp:positionV>
            <wp:extent cx="474916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Printing and engraving expenses</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029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2"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7"/>
        <w:spacing w:after="0"/>
        <w:rPr>
          <w:sz w:val="20"/>
          <w:szCs w:val="20"/>
          <w:color w:val="auto"/>
        </w:rPr>
      </w:pPr>
      <w:r>
        <w:rPr>
          <w:rFonts w:ascii="Arial" w:cs="Arial" w:eastAsia="Arial" w:hAnsi="Arial"/>
          <w:sz w:val="13"/>
          <w:szCs w:val="13"/>
          <w:b w:val="1"/>
          <w:bCs w:val="1"/>
          <w:u w:val="single" w:color="auto"/>
          <w:color w:val="auto"/>
        </w:rPr>
        <w:t>Amount</w:t>
      </w:r>
    </w:p>
    <w:p>
      <w:pPr>
        <w:spacing w:after="0" w:line="37" w:lineRule="exact"/>
        <w:rPr>
          <w:sz w:val="20"/>
          <w:szCs w:val="20"/>
          <w:color w:val="auto"/>
        </w:rPr>
      </w:pPr>
    </w:p>
    <w:p>
      <w:pPr>
        <w:ind w:left="357" w:hanging="357"/>
        <w:spacing w:after="0"/>
        <w:tabs>
          <w:tab w:leader="none" w:pos="3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5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429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 w:lineRule="exact"/>
        <w:rPr>
          <w:sz w:val="20"/>
          <w:szCs w:val="20"/>
          <w:color w:val="auto"/>
        </w:rPr>
      </w:pPr>
    </w:p>
    <w:p>
      <w:pPr>
        <w:ind w:left="357" w:hanging="357"/>
        <w:spacing w:after="0"/>
        <w:tabs>
          <w:tab w:leader="none" w:pos="35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429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429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8103" w:space="720"/>
            <w:col w:w="2297"/>
          </w:cols>
          <w:pgMar w:left="320" w:top="459"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19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2015, we have issued the following unregistered securities:</w:t>
      </w:r>
    </w:p>
    <w:p>
      <w:pPr>
        <w:spacing w:after="0" w:line="131" w:lineRule="exact"/>
        <w:rPr>
          <w:sz w:val="20"/>
          <w:szCs w:val="20"/>
          <w:color w:val="auto"/>
        </w:rPr>
      </w:pPr>
    </w:p>
    <w:p>
      <w:pPr>
        <w:ind w:left="980" w:hanging="318"/>
        <w:spacing w:after="0" w:line="308" w:lineRule="auto"/>
        <w:tabs>
          <w:tab w:leader="none" w:pos="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340" w:hanging="318"/>
        <w:spacing w:after="0" w:line="263"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From January 1, 2015 through November 30, 2018, we granted to certain employees, consultants and directors options to purchase an aggregate of 39,002,220 shares of our Class B common stock under our 2011 Plan at exercise prices ranging from $0.1375 to $10.79 per share, for an aggregate exercise price of $196,757,005.</w:t>
      </w:r>
    </w:p>
    <w:p>
      <w:pPr>
        <w:spacing w:after="0" w:line="89" w:lineRule="exact"/>
        <w:rPr>
          <w:rFonts w:ascii="Arial" w:cs="Arial" w:eastAsia="Arial" w:hAnsi="Arial"/>
          <w:sz w:val="18"/>
          <w:szCs w:val="18"/>
          <w:color w:val="auto"/>
        </w:rPr>
      </w:pPr>
    </w:p>
    <w:p>
      <w:pPr>
        <w:ind w:left="980" w:right="140" w:hanging="318"/>
        <w:spacing w:after="0" w:line="263"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From January 1, 2015 through November 30, 2018, we issued and sold an aggregate of 25,415,634 shares of our Class B common stock upon the exercise of options under our 2011 Plan, at exercise prices ranging from $0.015 to $3.77 per share, for an aggregate exercise price of $4,681,524.</w:t>
      </w:r>
    </w:p>
    <w:p>
      <w:pPr>
        <w:spacing w:after="0" w:line="89" w:lineRule="exact"/>
        <w:rPr>
          <w:rFonts w:ascii="Arial" w:cs="Arial" w:eastAsia="Arial" w:hAnsi="Arial"/>
          <w:sz w:val="18"/>
          <w:szCs w:val="18"/>
          <w:color w:val="auto"/>
        </w:rPr>
      </w:pPr>
    </w:p>
    <w:p>
      <w:pPr>
        <w:ind w:left="980" w:right="80" w:hanging="318"/>
        <w:spacing w:after="0" w:line="342"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October 2015, we issued and sold to a director 1,202,720 shares of our Class B common stock in connection with the grant of a restricted stock award under our 2011 Plan with a purchase price of $0.1375 per share for an aggregate purchase price of $0.2 million.</w:t>
      </w:r>
    </w:p>
    <w:p>
      <w:pPr>
        <w:spacing w:after="0" w:line="29" w:lineRule="exact"/>
        <w:rPr>
          <w:rFonts w:ascii="Arial" w:cs="Arial" w:eastAsia="Arial" w:hAnsi="Arial"/>
          <w:sz w:val="16"/>
          <w:szCs w:val="16"/>
          <w:color w:val="auto"/>
        </w:rPr>
      </w:pPr>
    </w:p>
    <w:p>
      <w:pPr>
        <w:ind w:left="980" w:hanging="318"/>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October 2018, we issued $15.0 million in principal amount of convertible promissory notes.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1" w:lineRule="exact"/>
        <w:rPr>
          <w:sz w:val="20"/>
          <w:szCs w:val="20"/>
          <w:color w:val="auto"/>
        </w:rPr>
      </w:pPr>
    </w:p>
    <w:p>
      <w:pPr>
        <w:jc w:val="both"/>
        <w:ind w:left="120" w:right="80" w:hanging="4"/>
        <w:spacing w:after="0" w:line="253"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976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5"/>
                <w:szCs w:val="15"/>
                <w:color w:val="auto"/>
              </w:rPr>
            </w:pPr>
          </w:p>
        </w:tc>
        <w:tc>
          <w:tcPr>
            <w:tcW w:w="9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Amended and Restated Bylaws of the Registrant, as amended February 14, 2018, as currently in effect.</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Form of Amended and Restated Certificate of Incorporation of the Registrant, to be effective immediately prior to the completion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8"/>
              </w:rPr>
              <w:t>Form of Amended and Restated Bylaws of the Registrant, to be effective immediately prior to the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310"/>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7"/>
              </w:rPr>
              <w:t>Third Amended and Restated Investors’ Rights Agreement by and among the Registrant and certain of its stockholders,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December 1, 2016.</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Zoom Video Communications, Inc. Fourth Amended and Restated 2011 Global Share Plan, and forms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10.2*</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Zoom Video Communications, Inc. 2019 Equity Incentive Plan and forms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10.3*</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Zoom Video Communications, Inc. 2019 Employee Stock Purchase Plan and forms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10.4*</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Confirmatory Offer Letter by and between the Registrant and Eric S. Yuan, dated December 18, 2018.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60" w:type="dxa"/>
            <w:vAlign w:val="bottom"/>
          </w:tcPr>
          <w:p>
            <w:pPr>
              <w:ind w:left="410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vMerge w:val="restart"/>
          </w:tcPr>
          <w:p>
            <w:pPr>
              <w:spacing w:after="0"/>
              <w:rPr>
                <w:sz w:val="14"/>
                <w:szCs w:val="14"/>
                <w:color w:val="auto"/>
              </w:rPr>
            </w:pPr>
          </w:p>
        </w:tc>
        <w:tc>
          <w:tcPr>
            <w:tcW w:w="98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vMerge w:val="continue"/>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Confirmatory Offer Letter by and between the Registrant and Aparna Bawa, dated December 18, 2018.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Confirmatory Offer Letter by and between the Registrant and Gregory Holmes, dated December 18, 2018.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Confirmatory Offer Letter by and between the Registrant and Janine Pelosi, dated December 18, 2018.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Confirmatory Offer Letter by and between the Registrant and Kelly Steckelberg, dated December 18, 2018.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6"/>
              </w:rPr>
              <w:t>Lease Agreement dated August 1, 2016, as amended, by and between the Registrant and KBSIII Almaden Financial Plaza,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120" w:right="340" w:firstLine="436"/>
        <w:spacing w:after="0" w:line="286" w:lineRule="auto"/>
        <w:tabs>
          <w:tab w:leader="none" w:pos="8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120" w:right="140" w:firstLine="436"/>
        <w:spacing w:after="0" w:line="263" w:lineRule="auto"/>
        <w:tabs>
          <w:tab w:leader="none" w:pos="8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w w:val="91"/>
              </w:rPr>
              <w:t>the undersigned, thereunto duly authorized, in the City of San Jose, State of California, on</w:t>
            </w:r>
          </w:p>
        </w:tc>
        <w:tc>
          <w:tcPr>
            <w:tcW w:w="4480" w:type="dxa"/>
            <w:vAlign w:val="bottom"/>
            <w:gridSpan w:val="2"/>
          </w:tcPr>
          <w:p>
            <w:pPr>
              <w:jc w:val="right"/>
              <w:ind w:right="3190"/>
              <w:spacing w:after="0"/>
              <w:rPr>
                <w:sz w:val="20"/>
                <w:szCs w:val="20"/>
                <w:color w:val="auto"/>
              </w:rPr>
            </w:pPr>
            <w:r>
              <w:rPr>
                <w:rFonts w:ascii="Arial" w:cs="Arial" w:eastAsia="Arial" w:hAnsi="Arial"/>
                <w:sz w:val="18"/>
                <w:szCs w:val="18"/>
                <w:color w:val="auto"/>
              </w:rPr>
              <w:t>, 2019.</w:t>
            </w:r>
          </w:p>
        </w:tc>
      </w:tr>
      <w:tr>
        <w:trPr>
          <w:trHeight w:val="445"/>
        </w:trPr>
        <w:tc>
          <w:tcPr>
            <w:tcW w:w="6540" w:type="dxa"/>
            <w:vAlign w:val="bottom"/>
          </w:tcPr>
          <w:p>
            <w:pPr>
              <w:spacing w:after="0"/>
              <w:rPr>
                <w:sz w:val="24"/>
                <w:szCs w:val="24"/>
                <w:color w:val="auto"/>
              </w:rPr>
            </w:pPr>
          </w:p>
        </w:tc>
        <w:tc>
          <w:tcPr>
            <w:tcW w:w="4480" w:type="dxa"/>
            <w:vAlign w:val="bottom"/>
            <w:gridSpan w:val="2"/>
          </w:tcPr>
          <w:p>
            <w:pPr>
              <w:ind w:left="8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6540" w:type="dxa"/>
            <w:vAlign w:val="bottom"/>
          </w:tcPr>
          <w:p>
            <w:pPr>
              <w:spacing w:after="0"/>
              <w:rPr>
                <w:sz w:val="24"/>
                <w:szCs w:val="24"/>
                <w:color w:val="auto"/>
              </w:rPr>
            </w:pPr>
          </w:p>
        </w:tc>
        <w:tc>
          <w:tcPr>
            <w:tcW w:w="4480" w:type="dxa"/>
            <w:vAlign w:val="bottom"/>
            <w:gridSpan w:val="2"/>
          </w:tcPr>
          <w:p>
            <w:pPr>
              <w:ind w:left="80"/>
              <w:spacing w:after="0"/>
              <w:rPr>
                <w:sz w:val="20"/>
                <w:szCs w:val="20"/>
                <w:color w:val="auto"/>
              </w:rPr>
            </w:pPr>
            <w:r>
              <w:rPr>
                <w:rFonts w:ascii="Arial" w:cs="Arial" w:eastAsia="Arial" w:hAnsi="Arial"/>
                <w:sz w:val="18"/>
                <w:szCs w:val="18"/>
                <w:color w:val="auto"/>
              </w:rPr>
              <w:t>By:</w:t>
            </w:r>
          </w:p>
        </w:tc>
      </w:tr>
      <w:tr>
        <w:trPr>
          <w:trHeight w:val="195"/>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Eric S. Yuan</w:t>
            </w:r>
          </w:p>
        </w:tc>
      </w:tr>
      <w:tr>
        <w:trPr>
          <w:trHeight w:val="230"/>
        </w:trPr>
        <w:tc>
          <w:tcPr>
            <w:tcW w:w="6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6540" w:type="dxa"/>
            <w:vAlign w:val="bottom"/>
          </w:tcPr>
          <w:p>
            <w:pPr>
              <w:ind w:left="5360"/>
              <w:spacing w:after="0"/>
              <w:rPr>
                <w:sz w:val="20"/>
                <w:szCs w:val="20"/>
                <w:color w:val="auto"/>
              </w:rPr>
            </w:pPr>
            <w:r>
              <w:rPr>
                <w:rFonts w:ascii="Arial" w:cs="Arial" w:eastAsia="Arial" w:hAnsi="Arial"/>
                <w:sz w:val="18"/>
                <w:szCs w:val="18"/>
                <w:color w:val="auto"/>
              </w:rPr>
              <w:t>II-4</w:t>
            </w:r>
          </w:p>
        </w:tc>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28289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wp:posOffset>
            </wp:positionV>
            <wp:extent cx="28289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Roy Benhorin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28289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8289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Bart Swanson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Date</w:t>
            </w:r>
          </w:p>
        </w:tc>
      </w:tr>
      <w:tr>
        <w:trPr>
          <w:trHeight w:val="398"/>
        </w:trPr>
        <w:tc>
          <w:tcPr>
            <w:tcW w:w="44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513"/>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32"/>
              <w:spacing w:after="0"/>
              <w:rPr>
                <w:sz w:val="20"/>
                <w:szCs w:val="20"/>
                <w:color w:val="auto"/>
              </w:rPr>
            </w:pPr>
            <w:r>
              <w:rPr>
                <w:rFonts w:ascii="Arial" w:cs="Arial" w:eastAsia="Arial" w:hAnsi="Arial"/>
                <w:sz w:val="18"/>
                <w:szCs w:val="18"/>
                <w:color w:val="auto"/>
              </w:rPr>
              <w:t>, 2019</w:t>
            </w:r>
          </w:p>
        </w:tc>
      </w:tr>
      <w:tr>
        <w:trPr>
          <w:trHeight w:val="445"/>
        </w:trPr>
        <w:tc>
          <w:tcPr>
            <w:tcW w:w="4440" w:type="dxa"/>
            <w:vAlign w:val="bottom"/>
            <w:gridSpan w:val="2"/>
          </w:tcPr>
          <w:p>
            <w:pPr>
              <w:ind w:left="80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2">
            <w:col w:w="3960" w:space="720"/>
            <w:col w:w="6460"/>
          </w:cols>
          <w:pgMar w:left="320" w:top="459" w:right="43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Zoom Video Communications, Inc., a corporation organized and existing under the laws of the State of Delaware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certifies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The name of the Corporation is Zoom Video Communications, Inc. The Corporation was originally incorporated under the name “Saasbee, Inc.” The Corporation’s original Certificate of Incorporation was filed with the Secretary of State of the State of Delaware on April 21, 2011. A Certificate of Amendment of the Certificate of Incorporation of the Corporation was filed with the Secretary of State of Delaware on February 27, 2012. A Certificate of Amendment of the Certificate of Incorporation of the Corporation was filed on May 1, 2012. An Amended and Restated Certificate of Incorporation was filed on December 18, 2012. A Second Amended and Restated Certificate of Incorporation was filed on August 15, 2013. A Third Amended and Restated Certificate of Incorporation was filed on December 22, 2014. A Fourth Amended and Restated Certificate of Incorporation was filed on November 30, 2016. A Fifth Amended and Restated Certificate of Incorporation was filed on January 3, 2018.</w:t>
      </w:r>
    </w:p>
    <w:p>
      <w:pPr>
        <w:spacing w:after="0" w:line="16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Sixth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text of the Certificate of Incorporation is amended and restated to read as set forth in EXHIBIT A attached hereto.</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WITNESS WHEREOF, Zoom Video Communications, Inc. has caused this Sixth Amended and Restated Certificate of Incorporation to be signed by Eric S. Yuan, a duly authorized officer of the Corporation, on November 13, 2018.</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72" w:name="page173"/>
    <w:bookmarkEnd w:id="172"/>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5044"/>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name of the Corporation is Zoom Video Communications, Inc.</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2"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19801. The name of the registered agent at such address is The Corporation Trust Company.</w:t>
      </w:r>
    </w:p>
    <w:p>
      <w:pPr>
        <w:spacing w:after="0" w:line="382"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 w:right="40" w:firstLine="436"/>
        <w:spacing w:after="0" w:line="289" w:lineRule="auto"/>
        <w:tabs>
          <w:tab w:leader="none" w:pos="759"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 Immediately upon the filing of this Sixth Amended and Restated Certificate of Incorporation with the Secretary of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Delaware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automatically and without further action on the part of holders of capital stock of the Corporation, each then outstanding share of the Corporation’s Common Stock or held by the Corporation as treasury stock shall be reclassified as, and become, one</w:t>
      </w:r>
    </w:p>
    <w:p>
      <w:pPr>
        <w:spacing w:after="0" w:line="1"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share of Class B Common Stock, as such term is defined below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Reclassification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Reclassification shall occur automatically as of the Effective Time without any further action by the holders of the shares affected thereby and whether or not any certificates representing such shares are surrendered to the Corporation. The Reclassification shall also apply to any outstanding securities or rights convertible into, or exchangeable or exercisable for, Common Stock of the Corporation. All share and per share amounts set forth in this Sixth Amended and Restated Certificate of Incorporation have been revised to reflect the Reclassification.</w:t>
      </w:r>
    </w:p>
    <w:p>
      <w:pPr>
        <w:spacing w:after="0" w:line="186" w:lineRule="exact"/>
        <w:rPr>
          <w:rFonts w:ascii="Arial" w:cs="Arial" w:eastAsia="Arial" w:hAnsi="Arial"/>
          <w:sz w:val="18"/>
          <w:szCs w:val="18"/>
          <w:color w:val="auto"/>
        </w:rPr>
      </w:pPr>
    </w:p>
    <w:p>
      <w:pPr>
        <w:ind w:left="4" w:right="140" w:firstLine="436"/>
        <w:spacing w:after="0" w:line="273" w:lineRule="auto"/>
        <w:tabs>
          <w:tab w:leader="none" w:pos="759"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Authorized Stock</w:t>
      </w:r>
      <w:r>
        <w:rPr>
          <w:rFonts w:ascii="Arial" w:cs="Arial" w:eastAsia="Arial" w:hAnsi="Arial"/>
          <w:sz w:val="17"/>
          <w:szCs w:val="17"/>
          <w:color w:val="auto"/>
        </w:rPr>
        <w:t>. The total number of shares of stock that the Corporation shall have authority to issue is 778,104,540,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320,000,000 shares of Class A Common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A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300,000,000 shares of Class B Common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B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158,104,540 shares of Preferred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series of Preferred Stock shall be designated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Series A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consist of 67,083,500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second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Preferred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shall consist of 25,857,784 shares. The third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C Preferred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shall consist of 34,363,256 shares. The fourth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D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consist of 30,800,000 shares.</w:t>
      </w:r>
    </w:p>
    <w:p>
      <w:pPr>
        <w:spacing w:after="0" w:line="388"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terms and provisions of the Class A Common Stock, Class B Common Stock and Preferred Stock are as follows:</w:t>
      </w:r>
    </w:p>
    <w:p>
      <w:pPr>
        <w:spacing w:after="0" w:line="221" w:lineRule="exact"/>
        <w:rPr>
          <w:sz w:val="20"/>
          <w:szCs w:val="20"/>
          <w:color w:val="auto"/>
        </w:rPr>
      </w:pPr>
    </w:p>
    <w:p>
      <w:pPr>
        <w:ind w:left="764" w:hanging="324"/>
        <w:spacing w:after="0"/>
        <w:tabs>
          <w:tab w:leader="none" w:pos="76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ARTICLE V, the following definitions shall apply:</w:t>
      </w:r>
    </w:p>
    <w:p>
      <w:pPr>
        <w:spacing w:after="0" w:line="229" w:lineRule="exact"/>
        <w:rPr>
          <w:rFonts w:ascii="Arial" w:cs="Arial" w:eastAsia="Arial" w:hAnsi="Arial"/>
          <w:sz w:val="18"/>
          <w:szCs w:val="18"/>
          <w:color w:val="auto"/>
        </w:rPr>
      </w:pPr>
    </w:p>
    <w:p>
      <w:pPr>
        <w:ind w:left="1264" w:hanging="383"/>
        <w:spacing w:after="0"/>
        <w:tabs>
          <w:tab w:leader="none" w:pos="1264"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Board of Directors of the Corporation.</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4"/>
          </w:cols>
          <w:pgMar w:left="436" w:top="270" w:right="559" w:bottom="1440" w:gutter="0" w:footer="0" w:header="0"/>
        </w:sectPr>
      </w:pPr>
    </w:p>
    <w:bookmarkStart w:id="173" w:name="page174"/>
    <w:bookmarkEnd w:id="173"/>
    <w:p>
      <w:pPr>
        <w:ind w:left="4" w:firstLine="877"/>
        <w:spacing w:after="0" w:line="286" w:lineRule="auto"/>
        <w:tabs>
          <w:tab w:leader="none" w:pos="1275"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(i) the Founder’s unauthorized use or disclosure of the Corporation’s confidential information or 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use or disclosure causes material harm to the Corporation, (ii) the Founder’s material breach of any agreement between the Founder and the Corporation, (iii) the Founder’s material failure to comply with the Corporation’s written policies or rules, (iv) the Founder’s conviction of, or his plea of “guilty” or “no contest” to, a felony under the laws of the United States or any state thereof, (v) the Founder’s gross negligence or willful misconduct,</w:t>
      </w:r>
    </w:p>
    <w:p>
      <w:pPr>
        <w:spacing w:after="0" w:line="1" w:lineRule="exact"/>
        <w:rPr>
          <w:rFonts w:ascii="Arial" w:cs="Arial" w:eastAsia="Arial" w:hAnsi="Arial"/>
          <w:sz w:val="16"/>
          <w:szCs w:val="16"/>
          <w:color w:val="auto"/>
        </w:rPr>
      </w:pPr>
    </w:p>
    <w:p>
      <w:pPr>
        <w:ind w:left="4" w:hanging="4"/>
        <w:spacing w:after="0" w:line="255" w:lineRule="auto"/>
        <w:tabs>
          <w:tab w:leader="none" w:pos="3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Founder’s willful and continuing failure to perform assigned duties after receiving written notification of the failure from the Board, or (vii) the Founder’s failure to cooperate in good faith with a governmental or internal investigation of the Corporation or its directors, officers or employees, if the Corporation has requested Founder’s cooperation.</w:t>
      </w:r>
    </w:p>
    <w:p>
      <w:pPr>
        <w:spacing w:after="0" w:line="189" w:lineRule="exact"/>
        <w:rPr>
          <w:rFonts w:ascii="Arial" w:cs="Arial" w:eastAsia="Arial" w:hAnsi="Arial"/>
          <w:sz w:val="18"/>
          <w:szCs w:val="18"/>
          <w:color w:val="auto"/>
        </w:rPr>
      </w:pPr>
    </w:p>
    <w:p>
      <w:pPr>
        <w:ind w:left="4" w:right="40" w:firstLine="877"/>
        <w:spacing w:after="0" w:line="286" w:lineRule="auto"/>
        <w:tabs>
          <w:tab w:leader="none" w:pos="1265" w:val="left"/>
        </w:tabs>
        <w:numPr>
          <w:ilvl w:val="1"/>
          <w:numId w:val="10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Conversion Price</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(i) $0.15 per share for the Series A Preferred Stock (ii) $0.251375 per share for the Series B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(iii) $0.873025 per share for the Series C Preferred Stock, and (iv) $3.741525 per share for the Series D Preferred Stock (each as subject to adjustment from time to time for any applicable Recapitalizations and as otherwise set forth elsewhere herein).</w:t>
      </w:r>
    </w:p>
    <w:p>
      <w:pPr>
        <w:spacing w:after="0" w:line="165" w:lineRule="exact"/>
        <w:rPr>
          <w:rFonts w:ascii="Arial" w:cs="Arial" w:eastAsia="Arial" w:hAnsi="Arial"/>
          <w:sz w:val="17"/>
          <w:szCs w:val="17"/>
          <w:color w:val="auto"/>
        </w:rPr>
      </w:pPr>
    </w:p>
    <w:p>
      <w:pPr>
        <w:ind w:left="4" w:right="300" w:firstLine="877"/>
        <w:spacing w:after="0" w:line="277" w:lineRule="auto"/>
        <w:tabs>
          <w:tab w:leader="none" w:pos="1275"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evidences of indebtedness, shares or other securities convertible into or exchangeable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or Class B Common Stock.</w:t>
      </w:r>
    </w:p>
    <w:p>
      <w:pPr>
        <w:spacing w:after="0" w:line="170" w:lineRule="exact"/>
        <w:rPr>
          <w:rFonts w:ascii="Arial" w:cs="Arial" w:eastAsia="Arial" w:hAnsi="Arial"/>
          <w:sz w:val="18"/>
          <w:szCs w:val="18"/>
          <w:color w:val="auto"/>
        </w:rPr>
      </w:pPr>
    </w:p>
    <w:p>
      <w:pPr>
        <w:ind w:left="1264" w:hanging="383"/>
        <w:spacing w:after="0"/>
        <w:tabs>
          <w:tab w:leader="none" w:pos="1264"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Zoom Video Communications, Inc.</w:t>
      </w:r>
    </w:p>
    <w:p>
      <w:pPr>
        <w:spacing w:after="0" w:line="225" w:lineRule="exact"/>
        <w:rPr>
          <w:rFonts w:ascii="Arial" w:cs="Arial" w:eastAsia="Arial" w:hAnsi="Arial"/>
          <w:sz w:val="18"/>
          <w:szCs w:val="18"/>
          <w:color w:val="auto"/>
        </w:rPr>
      </w:pPr>
    </w:p>
    <w:p>
      <w:pPr>
        <w:ind w:left="4" w:right="60" w:firstLine="877"/>
        <w:spacing w:after="0" w:line="270" w:lineRule="auto"/>
        <w:tabs>
          <w:tab w:leader="none" w:pos="1245" w:val="left"/>
        </w:tabs>
        <w:numPr>
          <w:ilvl w:val="1"/>
          <w:numId w:val="10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transfer of cash or other property without consideration whether by way of dividend or otherwise,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dividends on Class A Common Stock or Class B Common Stock payable in Class A Common Stock or Class B Common Stock, or the purchase or redemption of shares of the Corporation by the Corporation for cash or property other than: (i) repurchases of Class A Common Stock or Class B Common Stock issued to or held by employees, officers, directors or consultants of the Corporation or its subsidiaries at cost upon termination of their employment or services pursuant to agreements providing for the right of said repurchase, (ii) repurchases of Class A Common Stock or Class B Common Stock issued to or held by employees, officers, directors or consultants of the Corporation or its subsidiaries pursuant to rights of first refusal contained in agreements providing for such right that are approved by the Board (including the approval of the Series C Director), and (iii) repurchases of capital stock of the Corporation in connection with the settlement of disputes with any stockholder that are approved by the Board (including the approval of the Series C Director).</w:t>
      </w:r>
    </w:p>
    <w:p>
      <w:pPr>
        <w:spacing w:after="0" w:line="180" w:lineRule="exact"/>
        <w:rPr>
          <w:rFonts w:ascii="Arial" w:cs="Arial" w:eastAsia="Arial" w:hAnsi="Arial"/>
          <w:sz w:val="17"/>
          <w:szCs w:val="17"/>
          <w:color w:val="auto"/>
        </w:rPr>
      </w:pPr>
    </w:p>
    <w:p>
      <w:pPr>
        <w:ind w:left="4" w:right="280" w:firstLine="877"/>
        <w:spacing w:after="0" w:line="342" w:lineRule="auto"/>
        <w:tabs>
          <w:tab w:leader="none" w:pos="1275"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Dividend Rate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for each series of the Preferred Stock, an annual rate of six percent (6%) of the Original Issue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series of the Preferred Stock (subject to adjustment from time to time for any applicable Recapitalizations as set forth elsewhere herein).</w:t>
      </w:r>
    </w:p>
    <w:p>
      <w:pPr>
        <w:spacing w:after="0" w:line="123" w:lineRule="exact"/>
        <w:rPr>
          <w:rFonts w:ascii="Arial" w:cs="Arial" w:eastAsia="Arial" w:hAnsi="Arial"/>
          <w:sz w:val="16"/>
          <w:szCs w:val="16"/>
          <w:color w:val="auto"/>
        </w:rPr>
      </w:pPr>
    </w:p>
    <w:p>
      <w:pPr>
        <w:ind w:left="4" w:right="60" w:firstLine="877"/>
        <w:spacing w:after="0" w:line="342" w:lineRule="auto"/>
        <w:tabs>
          <w:tab w:leader="none" w:pos="1275"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Family Member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individual’s spouse, ex-spouse, domestic partner, lineal descendant or antecedent, brother or sister,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child or adopted grandchild, or the spouse or domestic partner of any child, adopted child, grandchild or adopted grandchild of such individual.</w:t>
      </w:r>
    </w:p>
    <w:p>
      <w:pPr>
        <w:spacing w:after="0" w:line="123" w:lineRule="exact"/>
        <w:rPr>
          <w:rFonts w:ascii="Arial" w:cs="Arial" w:eastAsia="Arial" w:hAnsi="Arial"/>
          <w:sz w:val="16"/>
          <w:szCs w:val="16"/>
          <w:color w:val="auto"/>
        </w:rPr>
      </w:pPr>
    </w:p>
    <w:p>
      <w:pPr>
        <w:ind w:left="1224" w:hanging="343"/>
        <w:spacing w:after="0"/>
        <w:tabs>
          <w:tab w:leader="none" w:pos="1224"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Eric S. Yuan, an individual.</w:t>
      </w:r>
    </w:p>
    <w:p>
      <w:pPr>
        <w:spacing w:after="0" w:line="225" w:lineRule="exact"/>
        <w:rPr>
          <w:rFonts w:ascii="Arial" w:cs="Arial" w:eastAsia="Arial" w:hAnsi="Arial"/>
          <w:sz w:val="18"/>
          <w:szCs w:val="18"/>
          <w:color w:val="auto"/>
        </w:rPr>
      </w:pPr>
    </w:p>
    <w:p>
      <w:pPr>
        <w:ind w:left="4" w:right="160" w:firstLine="877"/>
        <w:spacing w:after="0" w:line="257" w:lineRule="auto"/>
        <w:tabs>
          <w:tab w:leader="none" w:pos="1235"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 individual, that such individual is incapable of managing his or her financial affairs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set forth in the applicable probate code that can be expected to result in death or which has lasted or can be expected to last for a continuous period of not less than 12 months as determined by a licensed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74" w:name="page175"/>
    <w:bookmarkEnd w:id="174"/>
    <w:p>
      <w:pPr>
        <w:ind w:left="4" w:right="340" w:firstLine="877"/>
        <w:spacing w:after="0" w:line="263" w:lineRule="auto"/>
        <w:tabs>
          <w:tab w:leader="none" w:pos="1275"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$0.15 per share for the Series A Preferred Stock (ii) $0.251375 per share for the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(iii) $0.873025 per share for the Series C Preferred Stock, and (iv) $3.741525 per share for the Series D Preferred Stock (each as subject to adjustment from time to time for any applicable Recapitalizations as set forth elsewhere herein).</w:t>
      </w:r>
    </w:p>
    <w:p>
      <w:pPr>
        <w:spacing w:after="0" w:line="183" w:lineRule="exact"/>
        <w:rPr>
          <w:rFonts w:ascii="Arial" w:cs="Arial" w:eastAsia="Arial" w:hAnsi="Arial"/>
          <w:sz w:val="18"/>
          <w:szCs w:val="18"/>
          <w:color w:val="auto"/>
        </w:rPr>
      </w:pPr>
    </w:p>
    <w:p>
      <w:pPr>
        <w:ind w:left="4" w:right="420" w:firstLine="877"/>
        <w:spacing w:after="0" w:line="277" w:lineRule="auto"/>
        <w:tabs>
          <w:tab w:leader="none" w:pos="1235"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rights, options or warrants to subscribe for, purchase or otherwise acquire Class A Common Stock,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Convertible Securities.</w:t>
      </w:r>
    </w:p>
    <w:p>
      <w:pPr>
        <w:spacing w:after="0" w:line="170" w:lineRule="exact"/>
        <w:rPr>
          <w:rFonts w:ascii="Arial" w:cs="Arial" w:eastAsia="Arial" w:hAnsi="Arial"/>
          <w:sz w:val="18"/>
          <w:szCs w:val="18"/>
          <w:color w:val="auto"/>
        </w:rPr>
      </w:pPr>
    </w:p>
    <w:p>
      <w:pPr>
        <w:ind w:left="1324" w:hanging="443"/>
        <w:spacing w:after="0"/>
        <w:tabs>
          <w:tab w:leader="none" w:pos="1324"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Issue Date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date upon which any shares of the Series D Preferred Stock were first issued.</w:t>
      </w:r>
    </w:p>
    <w:p>
      <w:pPr>
        <w:spacing w:after="0" w:line="225" w:lineRule="exact"/>
        <w:rPr>
          <w:rFonts w:ascii="Arial" w:cs="Arial" w:eastAsia="Arial" w:hAnsi="Arial"/>
          <w:sz w:val="18"/>
          <w:szCs w:val="18"/>
          <w:color w:val="auto"/>
        </w:rPr>
      </w:pPr>
    </w:p>
    <w:p>
      <w:pPr>
        <w:ind w:left="4" w:right="200" w:firstLine="877"/>
        <w:spacing w:after="0" w:line="263" w:lineRule="auto"/>
        <w:tabs>
          <w:tab w:leader="none" w:pos="1275"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Issue Price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$0.15 per share for the Series A Preferred</w:t>
      </w:r>
      <w:r>
        <w:rPr>
          <w:rFonts w:ascii="Arial" w:cs="Arial" w:eastAsia="Arial" w:hAnsi="Arial"/>
          <w:sz w:val="18"/>
          <w:szCs w:val="18"/>
          <w:i w:val="1"/>
          <w:iCs w:val="1"/>
          <w:color w:val="auto"/>
        </w:rPr>
        <w:t xml:space="preserve"> Stock </w:t>
      </w:r>
      <w:r>
        <w:rPr>
          <w:rFonts w:ascii="Arial" w:cs="Arial" w:eastAsia="Arial" w:hAnsi="Arial"/>
          <w:sz w:val="18"/>
          <w:szCs w:val="18"/>
          <w:color w:val="auto"/>
        </w:rPr>
        <w:t>(ii) $0.251375 per share for the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(iii) $0.873025 per share for the Series C Preferred Stock, and (iv) $3.741525 per share for the Series D Preferred Stock, in each case subject to adjustment from time to time for any applicable Recapitalizations as set forth elsewhere herein.</w:t>
      </w:r>
    </w:p>
    <w:p>
      <w:pPr>
        <w:spacing w:after="0" w:line="183" w:lineRule="exact"/>
        <w:rPr>
          <w:rFonts w:ascii="Arial" w:cs="Arial" w:eastAsia="Arial" w:hAnsi="Arial"/>
          <w:sz w:val="18"/>
          <w:szCs w:val="18"/>
          <w:color w:val="auto"/>
        </w:rPr>
      </w:pPr>
    </w:p>
    <w:p>
      <w:pPr>
        <w:ind w:left="1264" w:hanging="383"/>
        <w:spacing w:after="0"/>
        <w:tabs>
          <w:tab w:leader="none" w:pos="1264"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and be restricted to, any Transfer of a share of Class B Common Stock that satisfies the following</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requirements:</w:t>
      </w:r>
    </w:p>
    <w:p>
      <w:pPr>
        <w:spacing w:after="0" w:line="210" w:lineRule="exact"/>
        <w:rPr>
          <w:rFonts w:ascii="Arial" w:cs="Arial" w:eastAsia="Arial" w:hAnsi="Arial"/>
          <w:sz w:val="16"/>
          <w:szCs w:val="16"/>
          <w:color w:val="auto"/>
        </w:rPr>
      </w:pPr>
    </w:p>
    <w:p>
      <w:pPr>
        <w:ind w:left="4" w:right="40" w:firstLine="1428"/>
        <w:spacing w:after="0" w:line="286" w:lineRule="auto"/>
        <w:tabs>
          <w:tab w:leader="none" w:pos="1786" w:val="left"/>
        </w:tabs>
        <w:numPr>
          <w:ilvl w:val="2"/>
          <w:numId w:val="108"/>
        </w:numPr>
        <w:rPr>
          <w:rFonts w:ascii="Arial" w:cs="Arial" w:eastAsia="Arial" w:hAnsi="Arial"/>
          <w:sz w:val="17"/>
          <w:szCs w:val="17"/>
          <w:color w:val="auto"/>
        </w:rPr>
      </w:pPr>
      <w:r>
        <w:rPr>
          <w:rFonts w:ascii="Arial" w:cs="Arial" w:eastAsia="Arial" w:hAnsi="Arial"/>
          <w:sz w:val="17"/>
          <w:szCs w:val="17"/>
          <w:color w:val="auto"/>
        </w:rPr>
        <w:t>by a Qualified Stockholder to (A) any Permitted Entity of such Qualified Stockholder, (B) such Qualified Stockholder’s Family Members or to a trust or trusts or other estate planning vehicle for the benefit of such Qualified Stockholder’s Family Members, in each case so long as such Qualified Stockholder continues to exercise Voting Control over such Transferred shares, or (C) to Founder; or</w:t>
      </w:r>
    </w:p>
    <w:p>
      <w:pPr>
        <w:spacing w:after="0" w:line="165" w:lineRule="exact"/>
        <w:rPr>
          <w:rFonts w:ascii="Arial" w:cs="Arial" w:eastAsia="Arial" w:hAnsi="Arial"/>
          <w:sz w:val="17"/>
          <w:szCs w:val="17"/>
          <w:color w:val="auto"/>
        </w:rPr>
      </w:pPr>
    </w:p>
    <w:p>
      <w:pPr>
        <w:ind w:left="1824" w:hanging="392"/>
        <w:spacing w:after="0"/>
        <w:tabs>
          <w:tab w:leader="none" w:pos="1824" w:val="left"/>
        </w:tabs>
        <w:numPr>
          <w:ilvl w:val="2"/>
          <w:numId w:val="108"/>
        </w:numPr>
        <w:rPr>
          <w:rFonts w:ascii="Arial" w:cs="Arial" w:eastAsia="Arial" w:hAnsi="Arial"/>
          <w:sz w:val="17"/>
          <w:szCs w:val="17"/>
          <w:color w:val="auto"/>
        </w:rPr>
      </w:pPr>
      <w:r>
        <w:rPr>
          <w:rFonts w:ascii="Arial" w:cs="Arial" w:eastAsia="Arial" w:hAnsi="Arial"/>
          <w:sz w:val="17"/>
          <w:szCs w:val="17"/>
          <w:color w:val="auto"/>
        </w:rPr>
        <w:t>by a Permitted Entity of a Qualified Stockholder to (A) such Qualified Stockholder or (B) any other Permitted Entity of such</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Qualified Stockholder.</w:t>
      </w:r>
    </w:p>
    <w:p>
      <w:pPr>
        <w:spacing w:after="0" w:line="210" w:lineRule="exact"/>
        <w:rPr>
          <w:rFonts w:ascii="Arial" w:cs="Arial" w:eastAsia="Arial" w:hAnsi="Arial"/>
          <w:sz w:val="17"/>
          <w:szCs w:val="17"/>
          <w:color w:val="auto"/>
        </w:rPr>
      </w:pPr>
    </w:p>
    <w:p>
      <w:pPr>
        <w:ind w:left="1264" w:hanging="383"/>
        <w:spacing w:after="0"/>
        <w:tabs>
          <w:tab w:leader="none" w:pos="1264"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with respect to a Qualified Stockholder (i) a Permitted Trust (as defined below) solely for the benefit of</w:t>
      </w:r>
    </w:p>
    <w:p>
      <w:pPr>
        <w:spacing w:after="0" w:line="46" w:lineRule="exact"/>
        <w:rPr>
          <w:rFonts w:ascii="Arial" w:cs="Arial" w:eastAsia="Arial" w:hAnsi="Arial"/>
          <w:sz w:val="16"/>
          <w:szCs w:val="16"/>
          <w:color w:val="auto"/>
        </w:rPr>
      </w:pPr>
    </w:p>
    <w:p>
      <w:pPr>
        <w:ind w:left="4" w:right="60" w:hanging="4"/>
        <w:spacing w:after="0" w:line="255" w:lineRule="auto"/>
        <w:tabs>
          <w:tab w:leader="none" w:pos="2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Qualified Stockholder and/or (B) any other Permitted Entity of such Qualified Stockholder, or (ii) any general partnership, limited partnership, limited liability company, corporation or other entity exclusively owned by (A) such Qualified Stockholder and/or (B) any other Permitted Entity of such Qualified Stockholder.</w:t>
      </w:r>
    </w:p>
    <w:p>
      <w:pPr>
        <w:spacing w:after="0" w:line="189" w:lineRule="exact"/>
        <w:rPr>
          <w:rFonts w:ascii="Arial" w:cs="Arial" w:eastAsia="Arial" w:hAnsi="Arial"/>
          <w:sz w:val="18"/>
          <w:szCs w:val="18"/>
          <w:color w:val="auto"/>
        </w:rPr>
      </w:pPr>
    </w:p>
    <w:p>
      <w:pPr>
        <w:ind w:left="1264" w:hanging="383"/>
        <w:spacing w:after="0"/>
        <w:tabs>
          <w:tab w:leader="none" w:pos="1264"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 transferee of shares of Class B Common Stock received in a Transfer that constitutes a Permitted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Transfer.</w:t>
      </w:r>
    </w:p>
    <w:p>
      <w:pPr>
        <w:spacing w:after="0" w:line="210" w:lineRule="exact"/>
        <w:rPr>
          <w:rFonts w:ascii="Arial" w:cs="Arial" w:eastAsia="Arial" w:hAnsi="Arial"/>
          <w:sz w:val="16"/>
          <w:szCs w:val="16"/>
          <w:color w:val="auto"/>
        </w:rPr>
      </w:pPr>
    </w:p>
    <w:p>
      <w:pPr>
        <w:ind w:left="4" w:right="40" w:firstLine="877"/>
        <w:spacing w:after="0" w:line="277" w:lineRule="auto"/>
        <w:tabs>
          <w:tab w:leader="none" w:pos="1245"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 bona fide trust where each trustee is (i) a Qualified Stockholder or (ii) a professional in the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trustee services, including private professional fiduciaries, trust companies and bank trust departments.</w:t>
      </w:r>
    </w:p>
    <w:p>
      <w:pPr>
        <w:spacing w:after="0" w:line="170" w:lineRule="exact"/>
        <w:rPr>
          <w:rFonts w:ascii="Arial" w:cs="Arial" w:eastAsia="Arial" w:hAnsi="Arial"/>
          <w:sz w:val="18"/>
          <w:szCs w:val="18"/>
          <w:color w:val="auto"/>
        </w:rPr>
      </w:pPr>
    </w:p>
    <w:p>
      <w:pPr>
        <w:ind w:left="4" w:right="120" w:firstLine="877"/>
        <w:spacing w:after="0" w:line="277" w:lineRule="auto"/>
        <w:tabs>
          <w:tab w:leader="none" w:pos="1255"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Series A Preferred Stock, the Series B Preferred Stock, the Series C Preferred Stock, and the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D Preferred Stock.</w:t>
      </w:r>
    </w:p>
    <w:p>
      <w:pPr>
        <w:spacing w:after="0" w:line="170" w:lineRule="exact"/>
        <w:rPr>
          <w:rFonts w:ascii="Arial" w:cs="Arial" w:eastAsia="Arial" w:hAnsi="Arial"/>
          <w:sz w:val="18"/>
          <w:szCs w:val="18"/>
          <w:color w:val="auto"/>
        </w:rPr>
      </w:pPr>
    </w:p>
    <w:p>
      <w:pPr>
        <w:ind w:left="4" w:right="140" w:firstLine="877"/>
        <w:spacing w:after="0" w:line="296" w:lineRule="auto"/>
        <w:tabs>
          <w:tab w:leader="none" w:pos="1235"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Qualified IPO</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 firm commitment underwritten public offering pursuant to an effective registration statement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 registration statement under similar securities laws of any foreign jurisdiction, to the extent applicable) in connection with an offering of securities on the New York Stock Exchange, NASDAQ Global Market, or other nationally or internationally-recognized securities exchange as approved by the Board resulting in at least $75,000,000 of proceeds to the Corporation (net of underwriting discounts and commissions) at a fully-diluted pre-offering valuation of the Corporation of no less than $1,000,000,000.</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75" w:name="page176"/>
    <w:bookmarkEnd w:id="175"/>
    <w:p>
      <w:pPr>
        <w:ind w:left="4" w:firstLine="877"/>
        <w:spacing w:after="0" w:line="257" w:lineRule="auto"/>
        <w:tabs>
          <w:tab w:leader="none" w:pos="1275"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Qualified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the registered holder of a share of Class B Common Stock immediately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(ii) the initial registered holder of any shares of Class B Common Stock that are originally issued by this Corporation pursuant to the exercise or conversion of Options or settlement of convertible securities; (iii) each natural person who Transferred shares of or equity awards for Class B Common Stock (including any Options or convertible into or any convertible securities that can be settled in shares of Class B Common Stock) to a Permitted Entity that is or becomes a Qualified Stockholder; or (iv) a Permitted Transferee.</w:t>
      </w:r>
    </w:p>
    <w:p>
      <w:pPr>
        <w:spacing w:after="0" w:line="187" w:lineRule="exact"/>
        <w:rPr>
          <w:rFonts w:ascii="Arial" w:cs="Arial" w:eastAsia="Arial" w:hAnsi="Arial"/>
          <w:sz w:val="18"/>
          <w:szCs w:val="18"/>
          <w:color w:val="auto"/>
        </w:rPr>
      </w:pPr>
    </w:p>
    <w:p>
      <w:pPr>
        <w:ind w:left="4" w:right="380" w:firstLine="877"/>
        <w:spacing w:after="0" w:line="277" w:lineRule="auto"/>
        <w:tabs>
          <w:tab w:leader="none" w:pos="1275"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as to any series or class of stock, any stock dividend, stock split, combination of shares,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with respect to such series or class of stock that is effected after the Original Issue Date.</w:t>
      </w:r>
    </w:p>
    <w:p>
      <w:pPr>
        <w:spacing w:after="0" w:line="170" w:lineRule="exact"/>
        <w:rPr>
          <w:rFonts w:ascii="Arial" w:cs="Arial" w:eastAsia="Arial" w:hAnsi="Arial"/>
          <w:sz w:val="18"/>
          <w:szCs w:val="18"/>
          <w:color w:val="auto"/>
        </w:rPr>
      </w:pPr>
    </w:p>
    <w:p>
      <w:pPr>
        <w:ind w:left="4" w:right="440" w:firstLine="877"/>
        <w:spacing w:after="0" w:line="277" w:lineRule="auto"/>
        <w:tabs>
          <w:tab w:leader="none" w:pos="1315"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option, warrant, conversion right or contractual right of any kind to acquire shares of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but unissued capital stock.</w:t>
      </w:r>
    </w:p>
    <w:p>
      <w:pPr>
        <w:spacing w:after="0" w:line="170" w:lineRule="exact"/>
        <w:rPr>
          <w:rFonts w:ascii="Arial" w:cs="Arial" w:eastAsia="Arial" w:hAnsi="Arial"/>
          <w:sz w:val="18"/>
          <w:szCs w:val="18"/>
          <w:color w:val="auto"/>
        </w:rPr>
      </w:pPr>
    </w:p>
    <w:p>
      <w:pPr>
        <w:ind w:left="4" w:right="60" w:firstLine="877"/>
        <w:spacing w:after="0" w:line="257" w:lineRule="auto"/>
        <w:tabs>
          <w:tab w:leader="none" w:pos="1275"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sale, assignment, transfer, conveyance, hypothecation or other transfer or disposition of such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legal or beneficial interest in such share, whether or not for value and whether voluntary or involuntary or by operation of law, including, without limitation, a transfer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shall not be considered a “Transfer”:</w:t>
      </w:r>
    </w:p>
    <w:p>
      <w:pPr>
        <w:spacing w:after="0" w:line="187" w:lineRule="exact"/>
        <w:rPr>
          <w:rFonts w:ascii="Arial" w:cs="Arial" w:eastAsia="Arial" w:hAnsi="Arial"/>
          <w:sz w:val="18"/>
          <w:szCs w:val="18"/>
          <w:color w:val="auto"/>
        </w:rPr>
      </w:pPr>
    </w:p>
    <w:p>
      <w:pPr>
        <w:ind w:left="4" w:right="60" w:firstLine="1428"/>
        <w:spacing w:after="0" w:line="277" w:lineRule="auto"/>
        <w:tabs>
          <w:tab w:leader="none" w:pos="1786"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with the approval and at the request of the Board in connection with actions to be taken at an annual or special meeting of stockholders;</w:t>
      </w:r>
    </w:p>
    <w:p>
      <w:pPr>
        <w:spacing w:after="0" w:line="170" w:lineRule="exact"/>
        <w:rPr>
          <w:rFonts w:ascii="Arial" w:cs="Arial" w:eastAsia="Arial" w:hAnsi="Arial"/>
          <w:sz w:val="18"/>
          <w:szCs w:val="18"/>
          <w:color w:val="auto"/>
        </w:rPr>
      </w:pPr>
    </w:p>
    <w:p>
      <w:pPr>
        <w:ind w:left="4" w:firstLine="1428"/>
        <w:spacing w:after="0" w:line="287" w:lineRule="auto"/>
        <w:tabs>
          <w:tab w:leader="none" w:pos="1836" w:val="left"/>
        </w:tabs>
        <w:numPr>
          <w:ilvl w:val="2"/>
          <w:numId w:val="110"/>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this Corporation, (B) either has a term not exceeding one (1) year or is terminable by the holder of the shares subject thereto at any time and</w:t>
      </w:r>
    </w:p>
    <w:p>
      <w:pPr>
        <w:spacing w:after="0" w:line="2" w:lineRule="exact"/>
        <w:rPr>
          <w:rFonts w:ascii="Arial" w:cs="Arial" w:eastAsia="Arial" w:hAnsi="Arial"/>
          <w:sz w:val="16"/>
          <w:szCs w:val="16"/>
          <w:color w:val="auto"/>
        </w:rPr>
      </w:pPr>
    </w:p>
    <w:p>
      <w:pPr>
        <w:ind w:left="4" w:right="320" w:hanging="4"/>
        <w:spacing w:after="0" w:line="260" w:lineRule="auto"/>
        <w:tabs>
          <w:tab w:leader="none" w:pos="2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5" w:lineRule="exact"/>
        <w:rPr>
          <w:rFonts w:ascii="Arial" w:cs="Arial" w:eastAsia="Arial" w:hAnsi="Arial"/>
          <w:sz w:val="18"/>
          <w:szCs w:val="18"/>
          <w:color w:val="auto"/>
        </w:rPr>
      </w:pPr>
    </w:p>
    <w:p>
      <w:pPr>
        <w:ind w:left="4" w:right="380" w:firstLine="1428"/>
        <w:spacing w:after="0" w:line="308" w:lineRule="auto"/>
        <w:tabs>
          <w:tab w:leader="none" w:pos="1886" w:val="left"/>
        </w:tabs>
        <w:numPr>
          <w:ilvl w:val="2"/>
          <w:numId w:val="111"/>
        </w:numPr>
        <w:rPr>
          <w:rFonts w:ascii="Arial" w:cs="Arial" w:eastAsia="Arial" w:hAnsi="Arial"/>
          <w:sz w:val="17"/>
          <w:szCs w:val="17"/>
          <w:color w:val="auto"/>
        </w:rPr>
      </w:pPr>
      <w:r>
        <w:rPr>
          <w:rFonts w:ascii="Arial" w:cs="Arial" w:eastAsia="Arial" w:hAnsi="Arial"/>
          <w:sz w:val="17"/>
          <w:szCs w:val="17"/>
          <w:color w:val="auto"/>
        </w:rPr>
        <w:t>in connection with a Liquidation Event that has been approved by the Board, the entering into a support, voting, tender or similar agreement or arrangement (in each case, with or without the grant of a proxy) that has also been approved by the Board; or</w:t>
      </w:r>
    </w:p>
    <w:p>
      <w:pPr>
        <w:spacing w:after="0" w:line="146" w:lineRule="exact"/>
        <w:rPr>
          <w:rFonts w:ascii="Arial" w:cs="Arial" w:eastAsia="Arial" w:hAnsi="Arial"/>
          <w:sz w:val="17"/>
          <w:szCs w:val="17"/>
          <w:color w:val="auto"/>
        </w:rPr>
      </w:pPr>
    </w:p>
    <w:p>
      <w:pPr>
        <w:ind w:left="4" w:right="20" w:firstLine="1428"/>
        <w:spacing w:after="0" w:line="259" w:lineRule="auto"/>
        <w:tabs>
          <w:tab w:leader="none" w:pos="187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w:t>
      </w:r>
    </w:p>
    <w:p>
      <w:pPr>
        <w:spacing w:after="0" w:line="18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occurred with respect to a share of Class B Common Stock beneficially held by (y)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entity that is a Permitted Entity, if there occurs any act or circumstance that causes such entity to no longer be a Permitted Entity or (z) an entity that is a Qualified Stockholder, if there occurs a Transfer on a cumulative basis, from and after the Effective Time, of a majority of the voting power of the voting securities of such entity or any direct or indirect Parent of such entity, other than a Transfer to parties that are, as of the Effective Time, holders of voting securities of any such entity or Parent of such entity.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i w:val="1"/>
          <w:iCs w:val="1"/>
          <w:color w:val="auto"/>
        </w:rPr>
        <w:t>”</w:t>
      </w:r>
      <w:r>
        <w:rPr>
          <w:rFonts w:ascii="Arial" w:cs="Arial" w:eastAsia="Arial" w:hAnsi="Arial"/>
          <w:sz w:val="18"/>
          <w:szCs w:val="18"/>
          <w:color w:val="auto"/>
        </w:rPr>
        <w:t xml:space="preserve"> of an entity shall mean any entity that directly or indirectly owns or controls a majority of the voting power of the voting securities of such entity.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76" w:name="page177"/>
    <w:bookmarkEnd w:id="176"/>
    <w:p>
      <w:pPr>
        <w:ind w:left="-40" w:right="220" w:firstLine="877"/>
        <w:spacing w:after="0" w:line="277" w:lineRule="auto"/>
        <w:tabs>
          <w:tab w:leader="none" w:pos="1231"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Voting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with respect to a share of Class B Common Stock, the power (whether exclusive or shared) to vote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voting of such share by proxy, voting agreement or otherwise.</w:t>
      </w:r>
    </w:p>
    <w:p>
      <w:pPr>
        <w:spacing w:after="0" w:line="274" w:lineRule="exact"/>
        <w:rPr>
          <w:rFonts w:ascii="Arial" w:cs="Arial" w:eastAsia="Arial" w:hAnsi="Arial"/>
          <w:sz w:val="18"/>
          <w:szCs w:val="18"/>
          <w:color w:val="auto"/>
        </w:rPr>
      </w:pPr>
    </w:p>
    <w:p>
      <w:pPr>
        <w:ind w:left="720" w:hanging="324"/>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color w:val="auto"/>
        </w:rPr>
      </w:pPr>
    </w:p>
    <w:p>
      <w:pPr>
        <w:ind w:left="-40" w:right="80" w:firstLine="877"/>
        <w:spacing w:after="0" w:line="270" w:lineRule="auto"/>
        <w:tabs>
          <w:tab w:leader="none" w:pos="1221" w:val="left"/>
        </w:tabs>
        <w:numPr>
          <w:ilvl w:val="1"/>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In any calendar year, the holders of each series of outstanding shares of Preferred Stock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dividends, when, as and if declared by the Board, out of any assets at the time legally available therefor, at the Dividend Rate specified for such shares of Preferred Stock payable in preference and priority to any declaration or payment of any Distribution on Class A Common Stock or Class B Common Stock of the Corporation in such calendar year. No Distributions shall be made with respect to the Class A Common Stock or Class B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proportion to the Dividend Rates for each series of Preferred Stock.</w:t>
      </w:r>
    </w:p>
    <w:p>
      <w:pPr>
        <w:spacing w:after="0" w:line="180" w:lineRule="exact"/>
        <w:rPr>
          <w:rFonts w:ascii="Arial" w:cs="Arial" w:eastAsia="Arial" w:hAnsi="Arial"/>
          <w:sz w:val="17"/>
          <w:szCs w:val="17"/>
          <w:color w:val="auto"/>
        </w:rPr>
      </w:pPr>
    </w:p>
    <w:p>
      <w:pPr>
        <w:ind w:left="-40" w:right="60" w:firstLine="877"/>
        <w:spacing w:after="0" w:line="255" w:lineRule="auto"/>
        <w:tabs>
          <w:tab w:leader="none" w:pos="1231" w:val="left"/>
        </w:tabs>
        <w:numPr>
          <w:ilvl w:val="1"/>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Participation Rights. </w:t>
      </w:r>
      <w:r>
        <w:rPr>
          <w:rFonts w:ascii="Arial" w:cs="Arial" w:eastAsia="Arial" w:hAnsi="Arial"/>
          <w:sz w:val="18"/>
          <w:szCs w:val="18"/>
          <w:color w:val="auto"/>
        </w:rPr>
        <w:t>If, after dividends in the full preferential amounts specified in Section 2(a) for the Preferred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or declared and set apart in any calendar year of the Corporation, the Board shall declare additional dividends out of funds legally available therefore in that calendar year, then such additional dividends shall be declared pro rata on the Class A Common Stock, Class B Common Stock and the Preferred Stock according to the number of shares of Class A Common Stock and Class B Common Stock held by such holders, with the shares of each series of Preferred Stock being treated for this purpose as if they had been converted to shares of Class B Common Stock at the then applicable Conversion Rate.</w:t>
      </w:r>
    </w:p>
    <w:p>
      <w:pPr>
        <w:spacing w:after="0" w:line="192" w:lineRule="exact"/>
        <w:rPr>
          <w:rFonts w:ascii="Arial" w:cs="Arial" w:eastAsia="Arial" w:hAnsi="Arial"/>
          <w:sz w:val="18"/>
          <w:szCs w:val="18"/>
          <w:color w:val="auto"/>
        </w:rPr>
      </w:pPr>
    </w:p>
    <w:p>
      <w:pPr>
        <w:ind w:left="-40" w:firstLine="877"/>
        <w:spacing w:after="0" w:line="263" w:lineRule="auto"/>
        <w:tabs>
          <w:tab w:leader="none" w:pos="1221" w:val="left"/>
        </w:tabs>
        <w:numPr>
          <w:ilvl w:val="1"/>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Non-Cash Distributions. </w:t>
      </w:r>
      <w:r>
        <w:rPr>
          <w:rFonts w:ascii="Arial" w:cs="Arial" w:eastAsia="Arial" w:hAnsi="Arial"/>
          <w:sz w:val="18"/>
          <w:szCs w:val="18"/>
          <w:color w:val="auto"/>
        </w:rPr>
        <w:t>Whenever a Distribution provided for in this Section 2 shall be payable in property other than cash,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Distribution shall be deemed to be the fair market value of such property as determined in good faith by the Board, including the approval of a majority of the Series B, C, D Directors (as defined below).</w:t>
      </w:r>
    </w:p>
    <w:p>
      <w:pPr>
        <w:spacing w:after="0" w:line="183" w:lineRule="exact"/>
        <w:rPr>
          <w:rFonts w:ascii="Arial" w:cs="Arial" w:eastAsia="Arial" w:hAnsi="Arial"/>
          <w:sz w:val="18"/>
          <w:szCs w:val="18"/>
          <w:color w:val="auto"/>
        </w:rPr>
      </w:pPr>
    </w:p>
    <w:p>
      <w:pPr>
        <w:ind w:left="-40" w:right="140" w:firstLine="877"/>
        <w:spacing w:after="0" w:line="289" w:lineRule="auto"/>
        <w:tabs>
          <w:tab w:leader="none" w:pos="1231" w:val="left"/>
        </w:tabs>
        <w:numPr>
          <w:ilvl w:val="1"/>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Certain Distributions. </w:t>
      </w:r>
      <w:r>
        <w:rPr>
          <w:rFonts w:ascii="Arial" w:cs="Arial" w:eastAsia="Arial" w:hAnsi="Arial"/>
          <w:sz w:val="16"/>
          <w:szCs w:val="16"/>
          <w:color w:val="auto"/>
        </w:rPr>
        <w:t>In accordance with Section 500 of the California Corporations Code, a distribution can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regard to any preferential dividends arrears amount (as defined in Section 500 of the California Corporations Code) or any preferential rights amount (as defined in Section 500 of the California Corporations Code) in connection with (i) repurchases of Class A Common Stock or Class B Common Stock issued to or held by employees, officers, directors or consultants of the Corporation or its subsidiaries upon termination of their employment or services pursuant to agreements providing for the right of said repurchase, (ii) repurchases of Class A Common Stock or Class B Common Stock issued to or held by employees, officers, directors or consultants of the Corporation or its subsidiaries pursuant to rights of first refusal contained in agreements providing for such right that are approved by the Board (including the approval of a majority of the Series B, C, D Directors), or (iii) repurchases of Class A Common Stock, Class B Common Stock or Preferred Stock in connection with the settlement of disputes with any stockholder that are approved by the Board (including the approval of a majority of the Series B, C, D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177" w:name="page178"/>
    <w:bookmarkEnd w:id="177"/>
    <w:p>
      <w:pPr>
        <w:ind w:right="200" w:firstLine="877"/>
        <w:spacing w:after="0" w:line="277" w:lineRule="auto"/>
        <w:tabs>
          <w:tab w:leader="none" w:pos="1261"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Waiver of Dividends. </w:t>
      </w:r>
      <w:r>
        <w:rPr>
          <w:rFonts w:ascii="Arial" w:cs="Arial" w:eastAsia="Arial" w:hAnsi="Arial"/>
          <w:sz w:val="18"/>
          <w:szCs w:val="18"/>
          <w:color w:val="auto"/>
        </w:rPr>
        <w:t>Any dividend preference of any series of Preferred Stock may be waived, in whole or in part, by the consent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the holders of the majority of the outstanding shares of such series.</w:t>
      </w:r>
    </w:p>
    <w:p>
      <w:pPr>
        <w:spacing w:after="0" w:line="274" w:lineRule="exact"/>
        <w:rPr>
          <w:rFonts w:ascii="Arial" w:cs="Arial" w:eastAsia="Arial" w:hAnsi="Arial"/>
          <w:sz w:val="18"/>
          <w:szCs w:val="18"/>
          <w:color w:val="auto"/>
        </w:rPr>
      </w:pPr>
    </w:p>
    <w:p>
      <w:pPr>
        <w:ind w:left="760" w:hanging="324"/>
        <w:spacing w:after="0"/>
        <w:tabs>
          <w:tab w:leader="none" w:pos="7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Liquidation Rights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60" w:hanging="383"/>
        <w:spacing w:after="0"/>
        <w:tabs>
          <w:tab w:leader="none" w:pos="1260" w:val="left"/>
        </w:tabs>
        <w:numPr>
          <w:ilvl w:val="1"/>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Preference.</w:t>
      </w:r>
    </w:p>
    <w:p>
      <w:pPr>
        <w:spacing w:after="0" w:line="117" w:lineRule="exact"/>
        <w:rPr>
          <w:rFonts w:ascii="Arial" w:cs="Arial" w:eastAsia="Arial" w:hAnsi="Arial"/>
          <w:sz w:val="18"/>
          <w:szCs w:val="18"/>
          <w:color w:val="auto"/>
        </w:rPr>
      </w:pPr>
    </w:p>
    <w:p>
      <w:pPr>
        <w:ind w:right="120" w:firstLine="1428"/>
        <w:spacing w:after="0" w:line="286" w:lineRule="auto"/>
        <w:tabs>
          <w:tab w:leader="none" w:pos="1782"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either voluntary or involuntary, including any Liquidation Event (as defined below), (i) the holders of shares of the Series B Preferred Stock, the holders of shares of the Series C Preferred Stock and the holders of shares of the Series D Preferred Stock shall be entitled to receive, prior and in preference to any Distribution of any of the assets of the Corporation to the holders of the Series A Preferred Stock or the holders of Class A Common Stock or Class B Common Stock, an amount for each share of the Preferred Stock held by them equal to the greater of (x) the Liquidation Preference for the shares of such series of Preferred Stock (as adjusted for any applicable Recapitalization) plus all declared but unpaid dividends (if any) on such share of Preferred Stock, or (y) such amount per share as would have been payable had all shares of such series of Preferred Stock been converted into Class B Common Stock pursuant to Section 4 immediately prior to such liquidation, dissolution or winding up; and (ii) in the event that the assets legally available for distribution are insufficient to pay the holders of shares of the Series B Preferred Stock, the holders of shares of the Series C Preferred Stock and the holders of shares of the Series D Preferred Stock the amount to which they shall be entitled under this Subsection 3(a)(i) in full, then the full amount legally available for distribution to the holders of shares of the Series B Preferred Stock, the holders of shares of the Series C Preferred Stock and the holders of shares of the Series D Preferred Stock shall be distributed among them on a pro rata basis according to the respective amounts which would otherwise be payable upon such distribution if all amounts payable with respect to such shares were paid in full.</w:t>
      </w:r>
    </w:p>
    <w:p>
      <w:pPr>
        <w:spacing w:after="0" w:line="173" w:lineRule="exact"/>
        <w:rPr>
          <w:rFonts w:ascii="Arial" w:cs="Arial" w:eastAsia="Arial" w:hAnsi="Arial"/>
          <w:sz w:val="16"/>
          <w:szCs w:val="16"/>
          <w:color w:val="auto"/>
        </w:rPr>
      </w:pPr>
    </w:p>
    <w:p>
      <w:pPr>
        <w:ind w:firstLine="1428"/>
        <w:spacing w:after="0" w:line="269" w:lineRule="auto"/>
        <w:tabs>
          <w:tab w:leader="none" w:pos="1832" w:val="left"/>
        </w:tabs>
        <w:numPr>
          <w:ilvl w:val="2"/>
          <w:numId w:val="115"/>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Corporation, either voluntary or involuntary, including any Liquidation Event (as defined below), (i) the holders of the Series A Preferred Stock shall be entitled to receive, out of the remaining assets of the Corporation legally available after the holders of the Series B Preferred Stock, the holders of the Series C Preferred Stock and the holders of the Series D Preferred Stock have been paid or set aside pursuant to Section 3(a)(i), an amount for each share of the Series A Preferred Stock held by them equal to the greater of (x) the Liquidation Preference for the shares of the Series A Preferred Stock (as adjusted for any applicable Recapitalization) plus all declared but unpaid dividends (if any) on such shares of the Series A Preferred Stock, or (y) such amount per share as would have been payable had all shares of the Series A Preferred Stock been converted into Class B Common Stock pursuant to Section 4 immediately prior to such liquidation, dissolution or winding up; and (ii) in the event that the assets legally available for distribution are insufficient to pay the holders of shares of the Series A Preferred Stock the amount to which they shall be entitled under this Subsection 3(a)(ii) in full in full, then the full amount legally available for distribution to the holders of the Series A Preferred Stock shall be distributed among them on a pro rata basis according to the numbers of shares of Series A Preferred Stock held by them.</w:t>
      </w:r>
    </w:p>
    <w:p>
      <w:pPr>
        <w:spacing w:after="0" w:line="181" w:lineRule="exact"/>
        <w:rPr>
          <w:rFonts w:ascii="Arial" w:cs="Arial" w:eastAsia="Arial" w:hAnsi="Arial"/>
          <w:sz w:val="17"/>
          <w:szCs w:val="17"/>
          <w:color w:val="auto"/>
        </w:rPr>
      </w:pPr>
    </w:p>
    <w:p>
      <w:pPr>
        <w:ind w:right="160" w:firstLine="877"/>
        <w:spacing w:after="0" w:line="275" w:lineRule="auto"/>
        <w:tabs>
          <w:tab w:leader="none" w:pos="1271" w:val="left"/>
        </w:tabs>
        <w:numPr>
          <w:ilvl w:val="1"/>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Remaining Assets. </w:t>
      </w:r>
      <w:r>
        <w:rPr>
          <w:rFonts w:ascii="Arial" w:cs="Arial" w:eastAsia="Arial" w:hAnsi="Arial"/>
          <w:sz w:val="17"/>
          <w:szCs w:val="17"/>
          <w:color w:val="auto"/>
        </w:rPr>
        <w:t>After the payment to the holders of Preferred Stock of the full preferential amounts specified above,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remaining assets of the Corporation legally available for distribution by the Corporation shall be distributed with equal priority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Preferred Stock, the holders of the Class A Common Stock and the holders of Class B Common Stock in proportion to the number of shares of Class A Common Stock or Class B Common Stock held by them, with the shares of each series of Preferred Stock being treated for this purpose as if they have been converted to shares of Class B Common Stock at the then applicable Conversion Rate.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78" w:name="page179"/>
    <w:bookmarkEnd w:id="178"/>
    <w:p>
      <w:pPr>
        <w:jc w:val="both"/>
        <w:ind w:firstLine="877"/>
        <w:spacing w:after="0" w:line="259"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not Treated as Preferred Stock, Class A Common Stock and Class B Common Stock in any Distribution. </w:t>
      </w:r>
      <w:r>
        <w:rPr>
          <w:rFonts w:ascii="Arial" w:cs="Arial" w:eastAsia="Arial" w:hAnsi="Arial"/>
          <w:sz w:val="18"/>
          <w:szCs w:val="18"/>
          <w:color w:val="auto"/>
        </w:rPr>
        <w:t>Shares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shall not be entitled to be converted into shares of Class A Common Stock or Class B Common Stock in order to participate in any Distribution, or series of Distributions, as shares of Class A Common Stock or Class B Common Stock, without first foregoing participation in the Distribution, or series of Distributions, as shares of Preferred Stock.</w:t>
      </w:r>
    </w:p>
    <w:p>
      <w:pPr>
        <w:spacing w:after="0" w:line="186" w:lineRule="exact"/>
        <w:rPr>
          <w:rFonts w:ascii="Arial" w:cs="Arial" w:eastAsia="Arial" w:hAnsi="Arial"/>
          <w:sz w:val="18"/>
          <w:szCs w:val="18"/>
          <w:color w:val="auto"/>
        </w:rPr>
      </w:pPr>
    </w:p>
    <w:p>
      <w:pPr>
        <w:ind w:right="40" w:firstLine="877"/>
        <w:spacing w:after="0" w:line="268" w:lineRule="auto"/>
        <w:tabs>
          <w:tab w:leader="none" w:pos="1271"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Reorganization. </w:t>
      </w:r>
      <w:r>
        <w:rPr>
          <w:rFonts w:ascii="Arial" w:cs="Arial" w:eastAsia="Arial" w:hAnsi="Arial"/>
          <w:sz w:val="17"/>
          <w:szCs w:val="17"/>
          <w:color w:val="auto"/>
        </w:rPr>
        <w:t>For purposes of this Section 3, a liquidation, dissolution or winding up of the Corporation shall be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occasioned by, or to include, (i) the acquisition of the Corporation by another entity by means of any transaction or series of related transactions to which the Corporation is party (including, without limitation, any stock acquisition, reorganization, merger or consolidation but excluding any sale of stock for capital raising purposes) other than a transaction or series of related transactions in which the holders of the voting securities of the Corporation outstanding immediately prior to such transaction or series of related transactions retain, immediately after such transaction or series of related transactions, as a result of shares in the Corporation held by such holders immediately prior to such transaction or series of related transactions, at least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exclusive license or other disposition of all or substantially all of the assets of the Corporation and its subsidiaries taken as a whole by means of any transaction or series of related transactions, except where such sale, lease, exclusive license or other disposition is to a wholly-owned subsidiary of the Corporation; or (iii) any liquidation, dissolution or winding up of the Corporation, whether voluntary or involuntary (any transaction or series of related transactions referenced in Sections 3(d)(i) or (ii), each 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Liquidation Event</w:t>
      </w:r>
      <w:r>
        <w:rPr>
          <w:rFonts w:ascii="Arial" w:cs="Arial" w:eastAsia="Arial" w:hAnsi="Arial"/>
          <w:sz w:val="17"/>
          <w:szCs w:val="17"/>
          <w:i w:val="1"/>
          <w:iCs w:val="1"/>
          <w:color w:val="auto"/>
        </w:rPr>
        <w:t>”).</w:t>
      </w:r>
      <w:r>
        <w:rPr>
          <w:rFonts w:ascii="Arial" w:cs="Arial" w:eastAsia="Arial" w:hAnsi="Arial"/>
          <w:sz w:val="17"/>
          <w:szCs w:val="17"/>
          <w:color w:val="auto"/>
        </w:rPr>
        <w:t xml:space="preserve"> The treatment of any transaction or series of related transactions as a Liquidation Event may be waived by the consent or vote of a majority of the outstanding shares of each series of Preferred Stock, each voting as a separate class.</w:t>
      </w:r>
    </w:p>
    <w:p>
      <w:pPr>
        <w:spacing w:after="0" w:line="184" w:lineRule="exact"/>
        <w:rPr>
          <w:rFonts w:ascii="Arial" w:cs="Arial" w:eastAsia="Arial" w:hAnsi="Arial"/>
          <w:sz w:val="17"/>
          <w:szCs w:val="17"/>
          <w:color w:val="auto"/>
        </w:rPr>
      </w:pPr>
    </w:p>
    <w:p>
      <w:pPr>
        <w:ind w:right="80" w:firstLine="877"/>
        <w:spacing w:after="0" w:line="259"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Non-Cash Consideration. </w:t>
      </w:r>
      <w:r>
        <w:rPr>
          <w:rFonts w:ascii="Arial" w:cs="Arial" w:eastAsia="Arial" w:hAnsi="Arial"/>
          <w:sz w:val="18"/>
          <w:szCs w:val="18"/>
          <w:color w:val="auto"/>
        </w:rPr>
        <w:t>If any assets of the Corporation distributed to stockholders in connection with any liquidation,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dissolution, or winding up of the Corporation are other than cash, then the value of such assets shall be their fair market value as determined in good faith by the Board,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any publicly-traded securities to be distributed to stockholders in a liquidation, dissolution, or winding up of the Corporation shall be valued as follows:</w:t>
      </w:r>
    </w:p>
    <w:p>
      <w:pPr>
        <w:spacing w:after="0" w:line="186" w:lineRule="exact"/>
        <w:rPr>
          <w:rFonts w:ascii="Arial" w:cs="Arial" w:eastAsia="Arial" w:hAnsi="Arial"/>
          <w:sz w:val="18"/>
          <w:szCs w:val="18"/>
          <w:color w:val="auto"/>
        </w:rPr>
      </w:pPr>
    </w:p>
    <w:p>
      <w:pPr>
        <w:ind w:right="460" w:firstLine="1428"/>
        <w:spacing w:after="0" w:line="263" w:lineRule="auto"/>
        <w:tabs>
          <w:tab w:leader="none" w:pos="178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w:t>
      </w:r>
    </w:p>
    <w:p>
      <w:pPr>
        <w:spacing w:after="0" w:line="183" w:lineRule="exact"/>
        <w:rPr>
          <w:rFonts w:ascii="Arial" w:cs="Arial" w:eastAsia="Arial" w:hAnsi="Arial"/>
          <w:sz w:val="18"/>
          <w:szCs w:val="18"/>
          <w:color w:val="auto"/>
        </w:rPr>
      </w:pPr>
    </w:p>
    <w:p>
      <w:pPr>
        <w:ind w:right="280" w:firstLine="1428"/>
        <w:spacing w:after="0" w:line="308" w:lineRule="auto"/>
        <w:tabs>
          <w:tab w:leader="none" w:pos="183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46"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In the event of a merger or other acquisition of the Corporation by another entity, the Distribution date shall be deemed to be the date such transaction closes.</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For the purposes of this Subsection 3(e),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any day which the exchange or system on which the securities to be distributed are traded is open and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closing prices</w:t>
      </w:r>
      <w:r>
        <w:rPr>
          <w:rFonts w:ascii="Arial" w:cs="Arial" w:eastAsia="Arial" w:hAnsi="Arial"/>
          <w:sz w:val="17"/>
          <w:szCs w:val="17"/>
          <w:i w:val="1"/>
          <w:iCs w:val="1"/>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closing bid prices</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be: (i) for securities traded primarily on the New York Stock Exchange, the American Stock Exchange or a Nasdaq market,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79" w:name="page180"/>
    <w:bookmarkEnd w:id="179"/>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the foregoing methods for valuing non-cash consideration to be distributed in connection with a Liquidation Event shall, with the appropriate approval of the definitive agreements governing such transaction or series of related transactions by the stockholders under the General Corporation Law and Section 7 below, be superseded by the determination of such value set forth in the definitive agreements governing such transaction or series of related transactions.</w:t>
      </w:r>
    </w:p>
    <w:p>
      <w:pPr>
        <w:spacing w:after="0" w:line="183" w:lineRule="exact"/>
        <w:rPr>
          <w:sz w:val="20"/>
          <w:szCs w:val="20"/>
          <w:color w:val="auto"/>
        </w:rPr>
      </w:pPr>
    </w:p>
    <w:p>
      <w:pPr>
        <w:ind w:left="760" w:hanging="324"/>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The holders of the Preferred Stock and Class B Common Stock shall have conversion rights as follows:</w:t>
      </w:r>
    </w:p>
    <w:p>
      <w:pPr>
        <w:spacing w:after="0" w:line="229" w:lineRule="exact"/>
        <w:rPr>
          <w:rFonts w:ascii="Arial" w:cs="Arial" w:eastAsia="Arial" w:hAnsi="Arial"/>
          <w:sz w:val="18"/>
          <w:szCs w:val="18"/>
          <w:color w:val="auto"/>
        </w:rPr>
      </w:pPr>
    </w:p>
    <w:p>
      <w:pPr>
        <w:ind w:right="80" w:firstLine="877"/>
        <w:spacing w:after="0" w:line="271" w:lineRule="auto"/>
        <w:tabs>
          <w:tab w:leader="none" w:pos="1261" w:val="left"/>
        </w:tabs>
        <w:numPr>
          <w:ilvl w:val="1"/>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to Convert. </w:t>
      </w:r>
      <w:r>
        <w:rPr>
          <w:rFonts w:ascii="Arial" w:cs="Arial" w:eastAsia="Arial" w:hAnsi="Arial"/>
          <w:sz w:val="17"/>
          <w:szCs w:val="17"/>
          <w:color w:val="auto"/>
        </w:rPr>
        <w:t>Each share of Preferred Stock shall be convertible, at the option of the holder thereof, at any time after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issuance of such share at the office of the Corporation or any transfer agent for the Preferred Stock, into that number of fully-paid, nonassessable shares of Class B Common Stock (or Class A Common Stock, from and after any automatic conversion of all outstanding shares of Class B Common Stock into Class A Common Stock pursuant to Section 4(m) below) determined by dividing the applicable Original Issue Price for the relevant series by the applicable Conversion Price for such series. (The number of shares of Class B Common Stock (or Class A Common Stock, as applicable) into which each share of Preferred Stock of a series may be converted is hereinafter referred to as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Conversion Rate</w:t>
      </w:r>
      <w:r>
        <w:rPr>
          <w:rFonts w:ascii="Arial" w:cs="Arial" w:eastAsia="Arial" w:hAnsi="Arial"/>
          <w:sz w:val="17"/>
          <w:szCs w:val="17"/>
          <w:i w:val="1"/>
          <w:iCs w:val="1"/>
          <w:color w:val="auto"/>
        </w:rPr>
        <w:t>”</w:t>
      </w:r>
      <w:r>
        <w:rPr>
          <w:rFonts w:ascii="Arial" w:cs="Arial" w:eastAsia="Arial" w:hAnsi="Arial"/>
          <w:sz w:val="17"/>
          <w:szCs w:val="17"/>
          <w:color w:val="auto"/>
        </w:rPr>
        <w:t xml:space="preserve"> for each such series.) Upon any decrease or increase in the Conversion Price for any series of Preferred Stock, as described in this Section 4, the Conversion Rate for such series shall be appropriately increased or decreased.</w:t>
      </w:r>
    </w:p>
    <w:p>
      <w:pPr>
        <w:spacing w:after="0" w:line="178" w:lineRule="exact"/>
        <w:rPr>
          <w:rFonts w:ascii="Arial" w:cs="Arial" w:eastAsia="Arial" w:hAnsi="Arial"/>
          <w:sz w:val="17"/>
          <w:szCs w:val="17"/>
          <w:color w:val="auto"/>
        </w:rPr>
      </w:pPr>
    </w:p>
    <w:p>
      <w:pPr>
        <w:ind w:firstLine="877"/>
        <w:spacing w:after="0" w:line="272" w:lineRule="auto"/>
        <w:tabs>
          <w:tab w:leader="none" w:pos="1271" w:val="left"/>
        </w:tabs>
        <w:numPr>
          <w:ilvl w:val="1"/>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Automatic Conversion. </w:t>
      </w:r>
      <w:r>
        <w:rPr>
          <w:rFonts w:ascii="Arial" w:cs="Arial" w:eastAsia="Arial" w:hAnsi="Arial"/>
          <w:sz w:val="17"/>
          <w:szCs w:val="17"/>
          <w:color w:val="auto"/>
        </w:rPr>
        <w:t>Each share of Preferred Stock shall automatically be converted into fully-paid, non-assessable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B Common Stock (or Class A Common Stock, from and after any automatic conversion of all outstanding shares of Class B Common Stock into Class A Common Stock pursuant to Section 4(m) below) at the then effective Conversion Rate for such share (i) immediately prior to the closing of a Qualified IPO; or (ii) upon the receipt by the Corporation of a written request for such conversion from the holders of each of (a) a majority of the Series A Preferred Stock then outstanding, (b) a majority of the Series B Preferred Stock then outstanding, (c) a majority of the Series C Preferred Stock then outstanding, and (d) a majority of the Series D Preferred Stock then outstanding or, if later, the effective date for conversion specified in such request (each of the events referred to in (i) and (ii) are referred to herein as 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Automatic Conversion Event</w:t>
      </w:r>
      <w:r>
        <w:rPr>
          <w:rFonts w:ascii="Arial" w:cs="Arial" w:eastAsia="Arial" w:hAnsi="Arial"/>
          <w:sz w:val="17"/>
          <w:szCs w:val="17"/>
          <w:i w:val="1"/>
          <w:iCs w:val="1"/>
          <w:color w:val="auto"/>
        </w:rPr>
        <w:t>”).</w:t>
      </w:r>
    </w:p>
    <w:p>
      <w:pPr>
        <w:spacing w:after="0" w:line="177" w:lineRule="exact"/>
        <w:rPr>
          <w:rFonts w:ascii="Arial" w:cs="Arial" w:eastAsia="Arial" w:hAnsi="Arial"/>
          <w:sz w:val="17"/>
          <w:szCs w:val="17"/>
          <w:color w:val="auto"/>
        </w:rPr>
      </w:pPr>
    </w:p>
    <w:p>
      <w:pPr>
        <w:ind w:right="140" w:firstLine="877"/>
        <w:spacing w:after="0" w:line="269" w:lineRule="auto"/>
        <w:tabs>
          <w:tab w:leader="none" w:pos="1261" w:val="left"/>
        </w:tabs>
        <w:numPr>
          <w:ilvl w:val="1"/>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Mechanics of Conversion. </w:t>
      </w:r>
      <w:r>
        <w:rPr>
          <w:rFonts w:ascii="Arial" w:cs="Arial" w:eastAsia="Arial" w:hAnsi="Arial"/>
          <w:sz w:val="17"/>
          <w:szCs w:val="17"/>
          <w:color w:val="auto"/>
        </w:rPr>
        <w:t>No fractional shares of Class B Common Stock (or Class A Common Stock, as applicable) shall be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upon conversion of Preferred Stock. In lieu of any fractional shares to which the holder would otherwise be entitled, the Corporation shall pay cash equal to such fraction multiplied by the then fair market value of a share of Class B Common Stock (or Class A Common Stock, as applicable) as determined by the Board. For such purpose, all shares of Preferred Stock held by each holder of Preferred Stock shall be aggregated, and any resulting fractional share of Class B Common Stock (or Class A Common Stock, as applicable) shall be paid in cash. Before any holder of Preferred Stock shall be entitled to convert the same into full shares of Class B Common Stock (or Class A Common Stock, as applicable), and, in the case of shares represented by a certificate, to receive certificates therefor, the holder shall either (A) surrender the certificate or certificates therefor (if such shares are certificated), duly endorsed, at the office of the Corporation or of any transfer agent for the Preferred Stock or (B) notify the Corporation or its transfer agent that such certificates (if such shares are certificated)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on the date of an Automatic Conversion Event, the outstanding shares of Preferred Stock shall be converted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0" w:name="page181"/>
    <w:bookmarkEnd w:id="18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automatically without any further action by the holders of such shares and whether or not the certificates representing such shares (if such shares are certificated) are surrendered to the Corporation or its transfer agent;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however, that the Corporation shall not be obligated to issue certificates evidencing the shares of Class B Common Stock (or Class A Common Stock, as applicable) issuable upon such Automatic Conversion Event in the case of uncertificated shares or, in the case of certificated shares,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Class B Common Stock (or Class A Common Stock, as applicable) issuable upon such conversion, notwithstanding that the certificates representing such shares of Preferred Stock (if such shares are certificated) shall not have been surrendered at the office of the Corporation, that notice from the Corporation shall not have been received by any holder of record of shares of Preferred Stock, or that the certificates evidencing such shares of Class B Common Stock (or Class A Common Stock, as applicable) (if such shares are certificated) shall not then be actually delivered to such holder.</w:t>
      </w:r>
    </w:p>
    <w:p>
      <w:pPr>
        <w:spacing w:after="0" w:line="179"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The Corporation shall, as soon as practicable after such delivery, or after such agreement and indemnification, in the case of certificated shares, issue and deliver at such office to such holder of Preferred Stock, a certificate or certificates for the number of shares of Class B Common Stock (or Class A Common Stock, as applicable) to which the holder shall be entitled as aforesaid and a check payable to the holder in the amount of any cash amounts payable as the result of a conversion into fractional shares of Class B Common Stock (or Class A Common Stock, as applicable), plus any declared and unpaid dividends on the converted Preferred Stock. The Corporation shall, as soon as practicable after such delivery, or after such agreement and indemnification, in the case of uncertificated shares, register in book entry form the number of shares of Class B Common Stock (or Class A Common Stock, as applicable) to which the holder shall be entitled as aforesaid and a check payable to the holder in the amount of any cash amounts payable as the result of a conversion into fractional shares of Class B Common Stock (or Class A Common Stock, as applicable),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Class B Common Stock (or Class A Common Stock, as applicable) issuable upon such conversion shall be treated for all purposes as the record holder or holders of such shares of Class B Common Stock (or Class A Common Stock, as applicable)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Class B Common Stock (or Class A Common Stock, as applicable) issuable upon such conversion of the Preferred Stock shall not be deemed to have converted such Preferred Stock until immediately prior to the closing of such transaction or the occurrence of such event.</w:t>
      </w:r>
    </w:p>
    <w:p>
      <w:pPr>
        <w:spacing w:after="0" w:line="174" w:lineRule="exact"/>
        <w:rPr>
          <w:sz w:val="20"/>
          <w:szCs w:val="20"/>
          <w:color w:val="auto"/>
        </w:rPr>
      </w:pPr>
    </w:p>
    <w:p>
      <w:pPr>
        <w:ind w:left="1260" w:hanging="383"/>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Conversion Price for Diluting Issues.</w:t>
      </w:r>
    </w:p>
    <w:p>
      <w:pPr>
        <w:spacing w:after="0" w:line="117" w:lineRule="exact"/>
        <w:rPr>
          <w:rFonts w:ascii="Arial" w:cs="Arial" w:eastAsia="Arial" w:hAnsi="Arial"/>
          <w:sz w:val="18"/>
          <w:szCs w:val="18"/>
          <w:color w:val="auto"/>
        </w:rPr>
      </w:pPr>
    </w:p>
    <w:p>
      <w:pPr>
        <w:ind w:right="200" w:firstLine="1428"/>
        <w:spacing w:after="0" w:line="263" w:lineRule="auto"/>
        <w:tabs>
          <w:tab w:leader="none" w:pos="1782" w:val="left"/>
        </w:tabs>
        <w:numPr>
          <w:ilvl w:val="1"/>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Definition. </w:t>
      </w:r>
      <w:r>
        <w:rPr>
          <w:rFonts w:ascii="Arial" w:cs="Arial" w:eastAsia="Arial" w:hAnsi="Arial"/>
          <w:sz w:val="18"/>
          <w:szCs w:val="18"/>
          <w:color w:val="auto"/>
        </w:rPr>
        <w:t>For purposes of this paragraph 4(d),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Additional Shares of Common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mean all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Class B Common Stock issued (or, pursuant to paragraph 4(d)(iii), deemed to be issued) by the Corporation after the Original Issue Date, other than issuances or deemed issuances of:</w:t>
      </w:r>
    </w:p>
    <w:p>
      <w:pPr>
        <w:spacing w:after="0" w:line="183" w:lineRule="exact"/>
        <w:rPr>
          <w:rFonts w:ascii="Arial" w:cs="Arial" w:eastAsia="Arial" w:hAnsi="Arial"/>
          <w:sz w:val="18"/>
          <w:szCs w:val="18"/>
          <w:color w:val="auto"/>
        </w:rPr>
      </w:pPr>
    </w:p>
    <w:p>
      <w:pPr>
        <w:ind w:right="40" w:firstLine="1869"/>
        <w:spacing w:after="0" w:line="277" w:lineRule="auto"/>
        <w:tabs>
          <w:tab w:leader="none" w:pos="2262" w:val="left"/>
        </w:tabs>
        <w:numPr>
          <w:ilvl w:val="2"/>
          <w:numId w:val="118"/>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upon the conversion of the Series A Preferred Stock, Series B Preferred Stock, Series C Preferred Stock, or Series D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1" w:name="page182"/>
    <w:bookmarkEnd w:id="181"/>
    <w:p>
      <w:pPr>
        <w:ind w:firstLine="1869"/>
        <w:spacing w:after="0" w:line="259" w:lineRule="auto"/>
        <w:tabs>
          <w:tab w:leader="none" w:pos="22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Class A Common Stock or Class B Common Stock and Options, or other rights to purchase Class A Common Stock or Class B Common Stock issued or issuable to employees, officers or directors of or consultants or advisors to the Corporation or any subsidiary pursuant to stock grants, restricted stock purchase agreements, option plans, purchase plans, incentive programs or similar arrangements approved by the Board, including the approval of a majority of the Series B, C, D Directors;</w:t>
      </w:r>
    </w:p>
    <w:p>
      <w:pPr>
        <w:spacing w:after="0" w:line="186" w:lineRule="exact"/>
        <w:rPr>
          <w:rFonts w:ascii="Arial" w:cs="Arial" w:eastAsia="Arial" w:hAnsi="Arial"/>
          <w:sz w:val="18"/>
          <w:szCs w:val="18"/>
          <w:color w:val="auto"/>
        </w:rPr>
      </w:pPr>
    </w:p>
    <w:p>
      <w:pPr>
        <w:ind w:right="140" w:firstLine="1869"/>
        <w:spacing w:after="0" w:line="277" w:lineRule="auto"/>
        <w:tabs>
          <w:tab w:leader="none" w:pos="22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upon the exercise or conversion of Options or Convertible Securities outstanding as of the Original Issue Date;</w:t>
      </w:r>
    </w:p>
    <w:p>
      <w:pPr>
        <w:spacing w:after="0" w:line="170" w:lineRule="exact"/>
        <w:rPr>
          <w:rFonts w:ascii="Arial" w:cs="Arial" w:eastAsia="Arial" w:hAnsi="Arial"/>
          <w:sz w:val="18"/>
          <w:szCs w:val="18"/>
          <w:color w:val="auto"/>
        </w:rPr>
      </w:pPr>
    </w:p>
    <w:p>
      <w:pPr>
        <w:ind w:right="40" w:firstLine="1869"/>
        <w:spacing w:after="0" w:line="277" w:lineRule="auto"/>
        <w:tabs>
          <w:tab w:leader="none" w:pos="22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issuable or issued as a dividend or distribution on Preferred Stock or pursuant to any event for which adjustment is made pursuant to paragraph 4(e), 4(f) or 4(g) hereof;</w:t>
      </w:r>
    </w:p>
    <w:p>
      <w:pPr>
        <w:spacing w:after="0" w:line="170" w:lineRule="exact"/>
        <w:rPr>
          <w:rFonts w:ascii="Arial" w:cs="Arial" w:eastAsia="Arial" w:hAnsi="Arial"/>
          <w:sz w:val="18"/>
          <w:szCs w:val="18"/>
          <w:color w:val="auto"/>
        </w:rPr>
      </w:pPr>
    </w:p>
    <w:p>
      <w:pPr>
        <w:ind w:right="140" w:firstLine="1869"/>
        <w:spacing w:after="0" w:line="308" w:lineRule="auto"/>
        <w:tabs>
          <w:tab w:leader="none" w:pos="226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in a registered public offering under the Securities Act pursuant to which all shares of Preferred Stock have converted into Class A Common Stock or Class B Common Stock;</w:t>
      </w:r>
    </w:p>
    <w:p>
      <w:pPr>
        <w:spacing w:after="0" w:line="146" w:lineRule="exact"/>
        <w:rPr>
          <w:rFonts w:ascii="Arial" w:cs="Arial" w:eastAsia="Arial" w:hAnsi="Arial"/>
          <w:sz w:val="17"/>
          <w:szCs w:val="17"/>
          <w:color w:val="auto"/>
        </w:rPr>
      </w:pPr>
    </w:p>
    <w:p>
      <w:pPr>
        <w:ind w:right="260" w:firstLine="1869"/>
        <w:spacing w:after="0" w:line="286" w:lineRule="auto"/>
        <w:tabs>
          <w:tab w:leader="none" w:pos="226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shares of Class A Common Stock or Class B Common Stock issuable or issued pursuant to the acquisition of another corporation by the Corporation by merger, purchase of substantially all of the assets or other reorganization or to a joint venture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issuances are approved by the Board, including the approval of a majority of the Series B, C, D Directors;</w:t>
      </w:r>
    </w:p>
    <w:p>
      <w:pPr>
        <w:spacing w:after="0" w:line="165" w:lineRule="exact"/>
        <w:rPr>
          <w:rFonts w:ascii="Arial" w:cs="Arial" w:eastAsia="Arial" w:hAnsi="Arial"/>
          <w:sz w:val="17"/>
          <w:szCs w:val="17"/>
          <w:color w:val="auto"/>
        </w:rPr>
      </w:pPr>
    </w:p>
    <w:p>
      <w:pPr>
        <w:ind w:firstLine="1869"/>
        <w:spacing w:after="0" w:line="286" w:lineRule="auto"/>
        <w:tabs>
          <w:tab w:leader="none" w:pos="226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to banks, equipment lessors, real property lessors, financial institutions or other persons engaged in the business of making loans pursuant to a debt financing, commercial leasing or real property leasing transaction approved by the Board, including the approval of a majority of the Series B, C, D Directors;</w:t>
      </w:r>
    </w:p>
    <w:p>
      <w:pPr>
        <w:spacing w:after="0" w:line="165" w:lineRule="exact"/>
        <w:rPr>
          <w:rFonts w:ascii="Arial" w:cs="Arial" w:eastAsia="Arial" w:hAnsi="Arial"/>
          <w:sz w:val="17"/>
          <w:szCs w:val="17"/>
          <w:color w:val="auto"/>
        </w:rPr>
      </w:pPr>
    </w:p>
    <w:p>
      <w:pPr>
        <w:ind w:right="80" w:firstLine="1869"/>
        <w:spacing w:after="0" w:line="308" w:lineRule="auto"/>
        <w:tabs>
          <w:tab w:leader="none" w:pos="226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in connection with any settlement of any action, suit, proceeding or litigation approved by the Board, including the approval of a majority of the Series B, C, D Directors;</w:t>
      </w:r>
    </w:p>
    <w:p>
      <w:pPr>
        <w:spacing w:after="0" w:line="146" w:lineRule="exact"/>
        <w:rPr>
          <w:rFonts w:ascii="Arial" w:cs="Arial" w:eastAsia="Arial" w:hAnsi="Arial"/>
          <w:sz w:val="17"/>
          <w:szCs w:val="17"/>
          <w:color w:val="auto"/>
        </w:rPr>
      </w:pPr>
    </w:p>
    <w:p>
      <w:pPr>
        <w:ind w:right="40" w:firstLine="1869"/>
        <w:spacing w:after="0" w:line="263" w:lineRule="auto"/>
        <w:tabs>
          <w:tab w:leader="none" w:pos="22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issuable or issued in connection with sponsored research, collaboration, technology license, development, OEM, marketing or other similar agreements or strategic partnerships approved by the Board, including the approval of a majority of the Series B, C, D Directors; and</w:t>
      </w:r>
    </w:p>
    <w:p>
      <w:pPr>
        <w:spacing w:after="0" w:line="183" w:lineRule="exact"/>
        <w:rPr>
          <w:rFonts w:ascii="Arial" w:cs="Arial" w:eastAsia="Arial" w:hAnsi="Arial"/>
          <w:sz w:val="18"/>
          <w:szCs w:val="18"/>
          <w:color w:val="auto"/>
        </w:rPr>
      </w:pPr>
    </w:p>
    <w:p>
      <w:pPr>
        <w:ind w:right="120" w:firstLine="1869"/>
        <w:spacing w:after="0" w:line="277" w:lineRule="auto"/>
        <w:tabs>
          <w:tab w:leader="none" w:pos="23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or Preferred Stock issuable or issued with the affirmative vote from the holders of a majority of each series of Preferred Stock, each voting as a separate class.</w:t>
      </w:r>
    </w:p>
    <w:p>
      <w:pPr>
        <w:spacing w:after="0" w:line="170" w:lineRule="exact"/>
        <w:rPr>
          <w:sz w:val="20"/>
          <w:szCs w:val="20"/>
          <w:color w:val="auto"/>
        </w:rPr>
      </w:pPr>
    </w:p>
    <w:p>
      <w:pPr>
        <w:ind w:right="40" w:firstLine="1428"/>
        <w:spacing w:after="0" w:line="259" w:lineRule="auto"/>
        <w:tabs>
          <w:tab w:leader="none" w:pos="1832"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Adjustment of Conversion Price. </w:t>
      </w:r>
      <w:r>
        <w:rPr>
          <w:rFonts w:ascii="Arial" w:cs="Arial" w:eastAsia="Arial" w:hAnsi="Arial"/>
          <w:sz w:val="18"/>
          <w:szCs w:val="18"/>
          <w:color w:val="auto"/>
        </w:rPr>
        <w:t>No adjustment in the Conversion Price of a particular series of Preferred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in respect of the issuance of Additional Shares of Common unless the consideration per share (as determined pursuant to paragraph 4(d)(v)) for an Additional Share of Common issued or deemed to be issued by the Corporation is less than the Conversion Price in effect on the date of and immediately prior to such issue, for such series of Preferred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2" w:name="page183"/>
    <w:bookmarkEnd w:id="182"/>
    <w:p>
      <w:pPr>
        <w:ind w:right="80" w:firstLine="1428"/>
        <w:spacing w:after="0" w:line="271" w:lineRule="auto"/>
        <w:tabs>
          <w:tab w:leader="none" w:pos="1882"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Deemed Issue of Additional Shares of Common. </w:t>
      </w:r>
      <w:r>
        <w:rPr>
          <w:rFonts w:ascii="Arial" w:cs="Arial" w:eastAsia="Arial" w:hAnsi="Arial"/>
          <w:sz w:val="17"/>
          <w:szCs w:val="17"/>
          <w:color w:val="auto"/>
        </w:rPr>
        <w:t>In the event the Corporation at any time or from time to time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Original Issue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Class A Common Stock or Class B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any such case in which shares are deemed to be issued:</w:t>
      </w:r>
    </w:p>
    <w:p>
      <w:pPr>
        <w:spacing w:after="0" w:line="178" w:lineRule="exact"/>
        <w:rPr>
          <w:rFonts w:ascii="Arial" w:cs="Arial" w:eastAsia="Arial" w:hAnsi="Arial"/>
          <w:sz w:val="17"/>
          <w:szCs w:val="17"/>
          <w:color w:val="auto"/>
        </w:rPr>
      </w:pPr>
    </w:p>
    <w:p>
      <w:pPr>
        <w:ind w:right="80" w:firstLine="1869"/>
        <w:spacing w:after="0" w:line="263" w:lineRule="auto"/>
        <w:tabs>
          <w:tab w:leader="none" w:pos="226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further adjustment in the Conversion Price of any series of Preferred Stock shall be made upon the subsequent issue of Convertible Securities or shares of Class A Common Stock or Class B Common Stock in connection with the exercise of such Options or conversion or exchange of such Convertible Securities;</w:t>
      </w:r>
    </w:p>
    <w:p>
      <w:pPr>
        <w:spacing w:after="0" w:line="183" w:lineRule="exact"/>
        <w:rPr>
          <w:rFonts w:ascii="Arial" w:cs="Arial" w:eastAsia="Arial" w:hAnsi="Arial"/>
          <w:sz w:val="18"/>
          <w:szCs w:val="18"/>
          <w:color w:val="auto"/>
        </w:rPr>
      </w:pPr>
    </w:p>
    <w:p>
      <w:pPr>
        <w:ind w:right="40" w:firstLine="1869"/>
        <w:spacing w:after="0" w:line="293" w:lineRule="auto"/>
        <w:tabs>
          <w:tab w:leader="none" w:pos="226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if such Options or Convertible Securities by their terms provide, with the passage of time or otherwise, for any change in the consideration payable to the Corporation or in the number of shares of Class A Common Stock or Class B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64" w:lineRule="exact"/>
        <w:rPr>
          <w:rFonts w:ascii="Arial" w:cs="Arial" w:eastAsia="Arial" w:hAnsi="Arial"/>
          <w:sz w:val="16"/>
          <w:szCs w:val="16"/>
          <w:color w:val="auto"/>
        </w:rPr>
      </w:pPr>
    </w:p>
    <w:p>
      <w:pPr>
        <w:ind w:right="160" w:firstLine="1869"/>
        <w:spacing w:after="0" w:line="263" w:lineRule="auto"/>
        <w:tabs>
          <w:tab w:leader="none" w:pos="226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83" w:lineRule="exact"/>
        <w:rPr>
          <w:rFonts w:ascii="Arial" w:cs="Arial" w:eastAsia="Arial" w:hAnsi="Arial"/>
          <w:sz w:val="18"/>
          <w:szCs w:val="18"/>
          <w:color w:val="auto"/>
        </w:rPr>
      </w:pPr>
    </w:p>
    <w:p>
      <w:pPr>
        <w:jc w:val="both"/>
        <w:ind w:right="480" w:firstLine="1869"/>
        <w:spacing w:after="0" w:line="311" w:lineRule="auto"/>
        <w:tabs>
          <w:tab w:leader="none" w:pos="226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48" w:lineRule="exact"/>
        <w:rPr>
          <w:rFonts w:ascii="Arial" w:cs="Arial" w:eastAsia="Arial" w:hAnsi="Arial"/>
          <w:sz w:val="16"/>
          <w:szCs w:val="16"/>
          <w:color w:val="auto"/>
        </w:rPr>
      </w:pPr>
    </w:p>
    <w:p>
      <w:pPr>
        <w:ind w:firstLine="2309"/>
        <w:spacing w:after="0" w:line="255" w:lineRule="auto"/>
        <w:tabs>
          <w:tab w:leader="none" w:pos="2743" w:val="left"/>
        </w:tabs>
        <w:numPr>
          <w:ilvl w:val="2"/>
          <w:numId w:val="121"/>
        </w:numPr>
        <w:rPr>
          <w:rFonts w:ascii="Arial" w:cs="Arial" w:eastAsia="Arial" w:hAnsi="Arial"/>
          <w:sz w:val="18"/>
          <w:szCs w:val="18"/>
          <w:color w:val="auto"/>
        </w:rPr>
      </w:pPr>
      <w:r>
        <w:rPr>
          <w:rFonts w:ascii="Arial" w:cs="Arial" w:eastAsia="Arial" w:hAnsi="Arial"/>
          <w:sz w:val="18"/>
          <w:szCs w:val="18"/>
          <w:color w:val="auto"/>
        </w:rPr>
        <w:t>in the case of Convertible Securities or Options for Class A Common Stock or Class B Common Stock, the only Additional Shares of Common issued were the shares of Class A Common Stock or Class B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92" w:lineRule="exact"/>
        <w:rPr>
          <w:rFonts w:ascii="Arial" w:cs="Arial" w:eastAsia="Arial" w:hAnsi="Arial"/>
          <w:sz w:val="18"/>
          <w:szCs w:val="18"/>
          <w:color w:val="auto"/>
        </w:rPr>
      </w:pPr>
    </w:p>
    <w:p>
      <w:pPr>
        <w:ind w:right="160" w:firstLine="2309"/>
        <w:spacing w:after="0" w:line="286" w:lineRule="auto"/>
        <w:tabs>
          <w:tab w:leader="none" w:pos="2733" w:val="left"/>
        </w:tabs>
        <w:numPr>
          <w:ilvl w:val="2"/>
          <w:numId w:val="121"/>
        </w:numPr>
        <w:rPr>
          <w:rFonts w:ascii="Arial" w:cs="Arial" w:eastAsia="Arial" w:hAnsi="Arial"/>
          <w:sz w:val="17"/>
          <w:szCs w:val="17"/>
          <w:color w:val="auto"/>
        </w:rPr>
      </w:pPr>
      <w:r>
        <w:rPr>
          <w:rFonts w:ascii="Arial" w:cs="Arial" w:eastAsia="Arial" w:hAnsi="Arial"/>
          <w:sz w:val="17"/>
          <w:szCs w:val="17"/>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83" w:name="page184"/>
    <w:bookmarkEnd w:id="183"/>
    <w:p>
      <w:pPr>
        <w:ind w:left="4"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exercised Options, plus the consideration deemed to have been received by the Corporation (determined pursuant to Section 4(d)(v)) upon the issue of the Convertible Securities with respect to which such Options were actually exercised; and</w:t>
      </w:r>
    </w:p>
    <w:p>
      <w:pPr>
        <w:spacing w:after="0" w:line="170" w:lineRule="exact"/>
        <w:rPr>
          <w:sz w:val="20"/>
          <w:szCs w:val="20"/>
          <w:color w:val="auto"/>
        </w:rPr>
      </w:pPr>
    </w:p>
    <w:p>
      <w:pPr>
        <w:ind w:left="4" w:right="400" w:firstLine="1869"/>
        <w:spacing w:after="0" w:line="259" w:lineRule="auto"/>
        <w:tabs>
          <w:tab w:leader="none" w:pos="2266"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86" w:lineRule="exact"/>
        <w:rPr>
          <w:rFonts w:ascii="Arial" w:cs="Arial" w:eastAsia="Arial" w:hAnsi="Arial"/>
          <w:sz w:val="18"/>
          <w:szCs w:val="18"/>
          <w:color w:val="auto"/>
        </w:rPr>
      </w:pPr>
    </w:p>
    <w:p>
      <w:pPr>
        <w:ind w:left="4" w:firstLine="1428"/>
        <w:spacing w:after="0" w:line="286" w:lineRule="auto"/>
        <w:tabs>
          <w:tab w:leader="none" w:pos="1876" w:val="left"/>
        </w:tabs>
        <w:numPr>
          <w:ilvl w:val="1"/>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 of Conversion Price Upon Issuance of Additional Shares of Common. </w:t>
      </w:r>
      <w:r>
        <w:rPr>
          <w:rFonts w:ascii="Arial" w:cs="Arial" w:eastAsia="Arial" w:hAnsi="Arial"/>
          <w:sz w:val="16"/>
          <w:szCs w:val="16"/>
          <w:color w:val="auto"/>
        </w:rPr>
        <w:t>In the event the Corporation shall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Class A Common Stock or Class B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Class A Common Stock or Class B Common Stock outstanding immediately prior to such issue plus the number of such Additional Shares of Common so issued. Notwithstanding the foregoing, the Conversion Price shall not be reduced at such time if the amount of such reduction would be less than $0.001, but any such amount shall be carried forward, and a reduction will be made with respect to such amount at the time of, and together with, any subsequent reduction which, together with such amount and any other amounts so carried forward, equal $0.001 or more in the aggregate. For the purposes of this Subsection 4(d)(iv), all shares of Class A Common Stock or Class B Common Stock issuable upon conversion of all outstanding shares of Preferred Stock and the exercise and/or conversion of any other outstanding Convertible Securities and all outstanding Options shall be deemed to be outstanding.</w:t>
      </w:r>
    </w:p>
    <w:p>
      <w:pPr>
        <w:spacing w:after="0" w:line="170" w:lineRule="exact"/>
        <w:rPr>
          <w:rFonts w:ascii="Arial" w:cs="Arial" w:eastAsia="Arial" w:hAnsi="Arial"/>
          <w:sz w:val="16"/>
          <w:szCs w:val="16"/>
          <w:color w:val="auto"/>
        </w:rPr>
      </w:pPr>
    </w:p>
    <w:p>
      <w:pPr>
        <w:ind w:left="4" w:right="180" w:firstLine="1428"/>
        <w:spacing w:after="0" w:line="277" w:lineRule="auto"/>
        <w:tabs>
          <w:tab w:leader="none" w:pos="1826" w:val="left"/>
        </w:tabs>
        <w:numPr>
          <w:ilvl w:val="1"/>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Determination of Consideration. </w:t>
      </w:r>
      <w:r>
        <w:rPr>
          <w:rFonts w:ascii="Arial" w:cs="Arial" w:eastAsia="Arial" w:hAnsi="Arial"/>
          <w:sz w:val="18"/>
          <w:szCs w:val="18"/>
          <w:color w:val="auto"/>
        </w:rPr>
        <w:t>For purposes of this Subsection 4(d), the consideration received by the Corporation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(or deemed issue) of any Additional Shares of Common shall be computed as follows:</w:t>
      </w:r>
    </w:p>
    <w:p>
      <w:pPr>
        <w:spacing w:after="0" w:line="170" w:lineRule="exact"/>
        <w:rPr>
          <w:rFonts w:ascii="Arial" w:cs="Arial" w:eastAsia="Arial" w:hAnsi="Arial"/>
          <w:sz w:val="18"/>
          <w:szCs w:val="18"/>
          <w:color w:val="auto"/>
        </w:rPr>
      </w:pPr>
    </w:p>
    <w:p>
      <w:pPr>
        <w:ind w:left="2264" w:hanging="391"/>
        <w:spacing w:after="0"/>
        <w:tabs>
          <w:tab w:leader="none" w:pos="2264" w:val="left"/>
        </w:tabs>
        <w:numPr>
          <w:ilvl w:val="2"/>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and Property. </w:t>
      </w:r>
      <w:r>
        <w:rPr>
          <w:rFonts w:ascii="Arial" w:cs="Arial" w:eastAsia="Arial" w:hAnsi="Arial"/>
          <w:sz w:val="18"/>
          <w:szCs w:val="18"/>
          <w:color w:val="auto"/>
        </w:rPr>
        <w:t>Such consideration shall:</w:t>
      </w:r>
    </w:p>
    <w:p>
      <w:pPr>
        <w:spacing w:after="0" w:line="225" w:lineRule="exact"/>
        <w:rPr>
          <w:rFonts w:ascii="Arial" w:cs="Arial" w:eastAsia="Arial" w:hAnsi="Arial"/>
          <w:sz w:val="18"/>
          <w:szCs w:val="18"/>
          <w:color w:val="auto"/>
        </w:rPr>
      </w:pPr>
    </w:p>
    <w:p>
      <w:pPr>
        <w:ind w:left="4" w:right="180" w:firstLine="2309"/>
        <w:spacing w:after="0" w:line="263" w:lineRule="auto"/>
        <w:tabs>
          <w:tab w:leader="none" w:pos="2747" w:val="left"/>
        </w:tabs>
        <w:numPr>
          <w:ilvl w:val="3"/>
          <w:numId w:val="123"/>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83" w:lineRule="exact"/>
        <w:rPr>
          <w:rFonts w:ascii="Arial" w:cs="Arial" w:eastAsia="Arial" w:hAnsi="Arial"/>
          <w:sz w:val="18"/>
          <w:szCs w:val="18"/>
          <w:color w:val="auto"/>
        </w:rPr>
      </w:pPr>
    </w:p>
    <w:p>
      <w:pPr>
        <w:ind w:left="4" w:right="160" w:firstLine="2309"/>
        <w:spacing w:after="0" w:line="277" w:lineRule="auto"/>
        <w:tabs>
          <w:tab w:leader="none" w:pos="2737" w:val="left"/>
        </w:tabs>
        <w:numPr>
          <w:ilvl w:val="3"/>
          <w:numId w:val="123"/>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including a majority of the Preferred Directors; and</w:t>
      </w:r>
    </w:p>
    <w:p>
      <w:pPr>
        <w:spacing w:after="0" w:line="170" w:lineRule="exact"/>
        <w:rPr>
          <w:rFonts w:ascii="Arial" w:cs="Arial" w:eastAsia="Arial" w:hAnsi="Arial"/>
          <w:sz w:val="18"/>
          <w:szCs w:val="18"/>
          <w:color w:val="auto"/>
        </w:rPr>
      </w:pPr>
    </w:p>
    <w:p>
      <w:pPr>
        <w:ind w:left="4" w:right="40" w:firstLine="2309"/>
        <w:spacing w:after="0" w:line="291" w:lineRule="auto"/>
        <w:tabs>
          <w:tab w:leader="none" w:pos="2737" w:val="left"/>
        </w:tabs>
        <w:numPr>
          <w:ilvl w:val="3"/>
          <w:numId w:val="123"/>
        </w:numPr>
        <w:rPr>
          <w:rFonts w:ascii="Arial" w:cs="Arial" w:eastAsia="Arial" w:hAnsi="Arial"/>
          <w:sz w:val="16"/>
          <w:szCs w:val="16"/>
          <w:color w:val="auto"/>
        </w:rPr>
      </w:pPr>
      <w:r>
        <w:rPr>
          <w:rFonts w:ascii="Arial" w:cs="Arial" w:eastAsia="Arial" w:hAnsi="Arial"/>
          <w:sz w:val="16"/>
          <w:szCs w:val="16"/>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4" w:hanging="264"/>
        <w:spacing w:after="0"/>
        <w:tabs>
          <w:tab w:leader="none" w:pos="2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above, as reasonably determined in good faith by the Board.</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84" w:name="page185"/>
    <w:bookmarkEnd w:id="184"/>
    <w:p>
      <w:pPr>
        <w:ind w:right="220" w:firstLine="1869"/>
        <w:spacing w:after="0" w:line="277" w:lineRule="auto"/>
        <w:tabs>
          <w:tab w:leader="none" w:pos="2262" w:val="left"/>
        </w:tabs>
        <w:numPr>
          <w:ilvl w:val="1"/>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Options and Convertible Securities. </w:t>
      </w:r>
      <w:r>
        <w:rPr>
          <w:rFonts w:ascii="Arial" w:cs="Arial" w:eastAsia="Arial" w:hAnsi="Arial"/>
          <w:sz w:val="18"/>
          <w:szCs w:val="18"/>
          <w:color w:val="auto"/>
        </w:rPr>
        <w:t>The consideration per share received by the Corporation for Additional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deemed to have been issued pursuant to paragraph 4(d)(iii) shall be determined by dividing:</w:t>
      </w:r>
    </w:p>
    <w:p>
      <w:pPr>
        <w:spacing w:after="0" w:line="170" w:lineRule="exact"/>
        <w:rPr>
          <w:rFonts w:ascii="Arial" w:cs="Arial" w:eastAsia="Arial" w:hAnsi="Arial"/>
          <w:sz w:val="18"/>
          <w:szCs w:val="18"/>
          <w:color w:val="auto"/>
        </w:rPr>
      </w:pPr>
    </w:p>
    <w:p>
      <w:pPr>
        <w:ind w:firstLine="2309"/>
        <w:spacing w:after="0" w:line="257" w:lineRule="auto"/>
        <w:tabs>
          <w:tab w:leader="none" w:pos="2703"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7" w:lineRule="exact"/>
        <w:rPr>
          <w:rFonts w:ascii="Arial" w:cs="Arial" w:eastAsia="Arial" w:hAnsi="Arial"/>
          <w:sz w:val="18"/>
          <w:szCs w:val="18"/>
          <w:color w:val="auto"/>
        </w:rPr>
      </w:pPr>
    </w:p>
    <w:p>
      <w:pPr>
        <w:ind w:right="160" w:firstLine="2309"/>
        <w:spacing w:after="0" w:line="263" w:lineRule="auto"/>
        <w:tabs>
          <w:tab w:leader="none" w:pos="2703"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maximum number of shares of Class A Common Stock or Class B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3" w:lineRule="exact"/>
        <w:rPr>
          <w:rFonts w:ascii="Arial" w:cs="Arial" w:eastAsia="Arial" w:hAnsi="Arial"/>
          <w:sz w:val="18"/>
          <w:szCs w:val="18"/>
          <w:color w:val="auto"/>
        </w:rPr>
      </w:pPr>
    </w:p>
    <w:p>
      <w:pPr>
        <w:ind w:right="100" w:firstLine="877"/>
        <w:spacing w:after="0" w:line="272" w:lineRule="auto"/>
        <w:tabs>
          <w:tab w:leader="none" w:pos="1261"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Class A Common Stock or Class B Common Stock. </w:t>
      </w:r>
      <w:r>
        <w:rPr>
          <w:rFonts w:ascii="Arial" w:cs="Arial" w:eastAsia="Arial" w:hAnsi="Arial"/>
          <w:sz w:val="17"/>
          <w:szCs w:val="17"/>
          <w:color w:val="auto"/>
        </w:rPr>
        <w:t>In the event the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Class A Common Stock or Class B Common Stock shall be subdivided (by stock split, by payment of a stock dividend or otherwise), into a greater number of shares of Class A Common Stock or Class B Common Stock, the Conversion Price of each series of Preferred Stock in effect immediately prior to such subdivision shall, concurrently with the effectiveness of such subdivision, be proportionately decreased. In the event the outstanding shares of Class A Common Stock or Class B Common Stock shall be combined (by reclassification or otherwise) into a lesser number of shares of Class A Common Stock or Class B Common Stock, the Conversion Prices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right="80" w:firstLine="877"/>
        <w:spacing w:after="0" w:line="272" w:lineRule="auto"/>
        <w:tabs>
          <w:tab w:leader="none" w:pos="1241"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Preferred Stock. </w:t>
      </w:r>
      <w:r>
        <w:rPr>
          <w:rFonts w:ascii="Arial" w:cs="Arial" w:eastAsia="Arial" w:hAnsi="Arial"/>
          <w:sz w:val="17"/>
          <w:szCs w:val="17"/>
          <w:color w:val="auto"/>
        </w:rPr>
        <w:t>In the event the outstanding shares of Preferred Stock or a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firstLine="877"/>
        <w:spacing w:after="0" w:line="254" w:lineRule="auto"/>
        <w:tabs>
          <w:tab w:leader="none" w:pos="1271"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for Reclassification, Exchange and Substitution. </w:t>
      </w:r>
      <w:r>
        <w:rPr>
          <w:rFonts w:ascii="Arial" w:cs="Arial" w:eastAsia="Arial" w:hAnsi="Arial"/>
          <w:sz w:val="18"/>
          <w:szCs w:val="18"/>
          <w:color w:val="auto"/>
        </w:rPr>
        <w:t>Subject to Section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Class B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Class B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5" w:name="page186"/>
    <w:bookmarkEnd w:id="185"/>
    <w:p>
      <w:pPr>
        <w:ind w:right="60" w:firstLine="877"/>
        <w:spacing w:after="0" w:line="293" w:lineRule="auto"/>
        <w:tabs>
          <w:tab w:leader="none" w:pos="1271"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as to Adjustments. </w:t>
      </w:r>
      <w:r>
        <w:rPr>
          <w:rFonts w:ascii="Arial" w:cs="Arial" w:eastAsia="Arial" w:hAnsi="Arial"/>
          <w:sz w:val="16"/>
          <w:szCs w:val="16"/>
          <w:color w:val="auto"/>
        </w:rPr>
        <w:t>Upon the occurrence of each adjustment or readjustment of the Conversion Price pursuant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Class B Common Stock and the amount, if any, of other property which at the time would be received upon the conversion of Preferred Stock.</w:t>
      </w:r>
    </w:p>
    <w:p>
      <w:pPr>
        <w:spacing w:after="0" w:line="164" w:lineRule="exact"/>
        <w:rPr>
          <w:rFonts w:ascii="Arial" w:cs="Arial" w:eastAsia="Arial" w:hAnsi="Arial"/>
          <w:sz w:val="16"/>
          <w:szCs w:val="16"/>
          <w:color w:val="auto"/>
        </w:rPr>
      </w:pPr>
    </w:p>
    <w:p>
      <w:pPr>
        <w:ind w:firstLine="877"/>
        <w:spacing w:after="0" w:line="311" w:lineRule="auto"/>
        <w:tabs>
          <w:tab w:leader="none" w:pos="1231"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Adjustment of Conversion Price. </w:t>
      </w:r>
      <w:r>
        <w:rPr>
          <w:rFonts w:ascii="Arial" w:cs="Arial" w:eastAsia="Arial" w:hAnsi="Arial"/>
          <w:sz w:val="16"/>
          <w:szCs w:val="16"/>
          <w:color w:val="auto"/>
        </w:rPr>
        <w:t>Notwithstanding anything herein to the contrary, any downward adjustment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Price of any series of Preferred Stock may be waived by the consent or vote of the holders of the majority of the outstanding shares of such series either before or after the issuance causing the adjustment. Any such waiver shall bind all future holders of shares of such series of Preferred Stock.</w:t>
      </w:r>
    </w:p>
    <w:p>
      <w:pPr>
        <w:spacing w:after="0" w:line="148" w:lineRule="exact"/>
        <w:rPr>
          <w:rFonts w:ascii="Arial" w:cs="Arial" w:eastAsia="Arial" w:hAnsi="Arial"/>
          <w:sz w:val="16"/>
          <w:szCs w:val="16"/>
          <w:color w:val="auto"/>
        </w:rPr>
      </w:pPr>
    </w:p>
    <w:p>
      <w:pPr>
        <w:ind w:left="1220" w:hanging="343"/>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of Record Date. </w:t>
      </w:r>
      <w:r>
        <w:rPr>
          <w:rFonts w:ascii="Arial" w:cs="Arial" w:eastAsia="Arial" w:hAnsi="Arial"/>
          <w:sz w:val="18"/>
          <w:szCs w:val="18"/>
          <w:color w:val="auto"/>
        </w:rPr>
        <w:t>In the event that the Corporation shall propose at any time:</w:t>
      </w:r>
    </w:p>
    <w:p>
      <w:pPr>
        <w:spacing w:after="0" w:line="225" w:lineRule="exact"/>
        <w:rPr>
          <w:rFonts w:ascii="Arial" w:cs="Arial" w:eastAsia="Arial" w:hAnsi="Arial"/>
          <w:sz w:val="18"/>
          <w:szCs w:val="18"/>
          <w:color w:val="auto"/>
        </w:rPr>
      </w:pPr>
    </w:p>
    <w:p>
      <w:pPr>
        <w:ind w:right="380" w:firstLine="1428"/>
        <w:spacing w:after="0" w:line="277" w:lineRule="auto"/>
        <w:tabs>
          <w:tab w:leader="none" w:pos="178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declare any Distribution upon its Class A Common Stock or Class B Common Stock, whether in cash, property, stock or other securities, whether or not a regular cash dividend and whether or not out of earnings or earned surplus;</w:t>
      </w:r>
    </w:p>
    <w:p>
      <w:pPr>
        <w:spacing w:after="0" w:line="170" w:lineRule="exact"/>
        <w:rPr>
          <w:rFonts w:ascii="Arial" w:cs="Arial" w:eastAsia="Arial" w:hAnsi="Arial"/>
          <w:sz w:val="18"/>
          <w:szCs w:val="18"/>
          <w:color w:val="auto"/>
        </w:rPr>
      </w:pPr>
    </w:p>
    <w:p>
      <w:pPr>
        <w:ind w:right="40" w:firstLine="1428"/>
        <w:spacing w:after="0" w:line="277" w:lineRule="auto"/>
        <w:tabs>
          <w:tab w:leader="none" w:pos="18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effect any reclassification or recapitalization of its Class A Common Stock or Class B Common Stock outstanding involving a change in the Class A Common Stock or Class B Common Stock; or</w:t>
      </w:r>
    </w:p>
    <w:p>
      <w:pPr>
        <w:spacing w:after="0" w:line="170" w:lineRule="exact"/>
        <w:rPr>
          <w:rFonts w:ascii="Arial" w:cs="Arial" w:eastAsia="Arial" w:hAnsi="Arial"/>
          <w:sz w:val="18"/>
          <w:szCs w:val="18"/>
          <w:color w:val="auto"/>
        </w:rPr>
      </w:pPr>
    </w:p>
    <w:p>
      <w:pPr>
        <w:ind w:right="40" w:firstLine="1428"/>
        <w:spacing w:after="0" w:line="277" w:lineRule="auto"/>
        <w:tabs>
          <w:tab w:leader="none" w:pos="188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voluntarily liquidate or dissolve or to enter into any transaction deemed to be a liquidation, dissolution or winding up of the corporation pursuant to Section 3(d);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connection with each such event, the Corporation shall send to the holders of the Preferred Stock at least 10 days’ prior written notice of the date on which a record shall be taken for such Distribution (and specifying the date on which the holders of Class A Common Stock or Class B Common Stock shall be entitled thereto and, if applicable, the amount and character of such Distribution) or for determining rights to vote in respect of the matters referred to in (ii) and (iii) above.</w:t>
      </w:r>
    </w:p>
    <w:p>
      <w:pPr>
        <w:spacing w:after="0" w:line="18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notice provisions set forth in this section may be shortened or waived prospectively or retrospectively by the consent or vote of the holders of a majority of the Preferred Stock, voting as a single class and on an as-converted basis.</w:t>
      </w:r>
    </w:p>
    <w:p>
      <w:pPr>
        <w:spacing w:after="0" w:line="170" w:lineRule="exact"/>
        <w:rPr>
          <w:sz w:val="20"/>
          <w:szCs w:val="20"/>
          <w:color w:val="auto"/>
        </w:rPr>
      </w:pPr>
    </w:p>
    <w:p>
      <w:pPr>
        <w:ind w:right="240" w:firstLine="877"/>
        <w:spacing w:after="0" w:line="296" w:lineRule="auto"/>
        <w:tabs>
          <w:tab w:leader="none" w:pos="1271"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Reservation of Stock Issuable Upon Conversion. </w:t>
      </w:r>
      <w:r>
        <w:rPr>
          <w:rFonts w:ascii="Arial" w:cs="Arial" w:eastAsia="Arial" w:hAnsi="Arial"/>
          <w:sz w:val="16"/>
          <w:szCs w:val="16"/>
          <w:color w:val="auto"/>
        </w:rPr>
        <w:t>The Corporation shall at all times reserve and keep available out of its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but unissued shares of Class A Common Stock or Class B Common Stock solely for the purpose of effecting the conversion of the shares of the Preferred Stock, such number of its shares of Class A Common Stock or Class B Common Stock as shall from time to time be sufficient to effect the conversion of all then outstanding shares of the Preferred Stock; and if at any time the number of authorized but unissued shares of Class A Common Stock or Class B Common Stock shall not be sufficient to effect the conversion of all then outstanding shares of the Preferred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6" w:name="page187"/>
    <w:bookmarkEnd w:id="186"/>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will take such corporate action as may, in the opinion of its counsel, be necessary to increase its authorized but unissued shares of Class A Common Stock or Class B Common Stock to such number of shares as shall be sufficient for such purpose.</w:t>
      </w:r>
    </w:p>
    <w:p>
      <w:pPr>
        <w:spacing w:after="0" w:line="146" w:lineRule="exact"/>
        <w:rPr>
          <w:sz w:val="20"/>
          <w:szCs w:val="20"/>
          <w:color w:val="auto"/>
        </w:rPr>
      </w:pPr>
    </w:p>
    <w:p>
      <w:pPr>
        <w:ind w:firstLine="877"/>
        <w:spacing w:after="0" w:line="289" w:lineRule="auto"/>
        <w:tabs>
          <w:tab w:leader="none" w:pos="1231"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 as to Adjustments. </w:t>
      </w:r>
      <w:r>
        <w:rPr>
          <w:rFonts w:ascii="Arial" w:cs="Arial" w:eastAsia="Arial" w:hAnsi="Arial"/>
          <w:sz w:val="16"/>
          <w:szCs w:val="16"/>
          <w:color w:val="auto"/>
        </w:rPr>
        <w:t>Upon the occurrence of each adjustment or readjustment of the Conversion Price of any series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pursuant to this Section 4, the Corporation at its expense shall, as promptly as reasonably practicable but in any event not later than thirty (30) days thereafter, compute such adjustment or readjustment in accordance with the terms hereof and furnish to each holder of the affected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thirty (30) days thereafter), furnish or cause to be furnished to such holder a certificate setting forth (i) the applicable Conversion Price for the affected series then in effect, and (ii) the number of shares of Class A Common Stock or Class B Common Stock and the amount, if any, of other securities, cash or property which then would be received upon the conversion of the applicable series of Preferred Stock.</w:t>
      </w:r>
    </w:p>
    <w:p>
      <w:pPr>
        <w:spacing w:after="0" w:line="274" w:lineRule="exact"/>
        <w:rPr>
          <w:rFonts w:ascii="Arial" w:cs="Arial" w:eastAsia="Arial" w:hAnsi="Arial"/>
          <w:sz w:val="16"/>
          <w:szCs w:val="16"/>
          <w:color w:val="auto"/>
        </w:rPr>
      </w:pPr>
    </w:p>
    <w:p>
      <w:pPr>
        <w:ind w:left="1320" w:hanging="443"/>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 of Class B Common Stock into Class A Common Stock.</w:t>
      </w:r>
    </w:p>
    <w:p>
      <w:pPr>
        <w:spacing w:after="0" w:line="117" w:lineRule="exact"/>
        <w:rPr>
          <w:rFonts w:ascii="Arial" w:cs="Arial" w:eastAsia="Arial" w:hAnsi="Arial"/>
          <w:sz w:val="18"/>
          <w:szCs w:val="18"/>
          <w:color w:val="auto"/>
        </w:rPr>
      </w:pPr>
    </w:p>
    <w:p>
      <w:pPr>
        <w:ind w:firstLine="1428"/>
        <w:spacing w:after="0" w:line="267" w:lineRule="auto"/>
        <w:tabs>
          <w:tab w:leader="none" w:pos="1782" w:val="left"/>
        </w:tabs>
        <w:numPr>
          <w:ilvl w:val="1"/>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Voluntary Conversion. </w:t>
      </w:r>
      <w:r>
        <w:rPr>
          <w:rFonts w:ascii="Arial" w:cs="Arial" w:eastAsia="Arial" w:hAnsi="Arial"/>
          <w:sz w:val="17"/>
          <w:szCs w:val="17"/>
          <w:color w:val="auto"/>
        </w:rPr>
        <w:t>Each share of Class B Common Stock shall be convertible, at the option of the holder thereof, at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after the date of issuance of such share, at the office of the Corporation or any transfer agent for such stock, into one (1) fully paid and nonassessable share of Class A Common Stock. Before any holder of Class B Common Stock shall be entitled to voluntarily convert the same into shares of Class A Common Stock, the holder shall surrender the certificate or certificates therefor (if such shares are certificated), duly endorsed, at the office of the Corporation or of any transfer agent for the Class B Common Stock, and shall give written notice to the Corporation at its principal corporate office, of the election to convert the same and shall state therein the name or names (i) in which the certificate or certificates for shares of Class A Common Stock are to be issued if such shares are certificated or (ii) in which such shares are to be registered in book entry form if such shares are uncertificated. The Corporation shall, as soon as practicable thereafter, if such shares are uncertificated, register such shares in book entry form, or, in the case of certificated shares, issue and deliver at such office to such holder of Class B Common Stock, a certificate or certificates for the number of shares of Class A Common Stock to which the holder shall be entitled as aforesaid. Such conversion shall be deemed to have been made immediately prior to the close of business on the date of such surrender of the shares of Class B Common Stock to be converted following or contemporaneously with the written notice of such holder’s election to convert required by this Subsection 3(m)(i), and the person or persons entitled to receive the shares of Class A Common Stock issuable upon such conversion shall be treated for all purposes as the record holder or holders of such shares of Class A Common Stock as of such date. If the conversion is in connection with an underwritten offering of securities registered pursuant to the Securities Act, the conversion may, at the option of any holder tendering Class B Common Stock for conversion, be conditioned upon the closing with the underwriters of the sale of securities pursuant to such offering, in which event the persons entitled to receive the Class A Common Stock upon conversion of the Class B Common Stock shall not be deemed to have converted such Class B Common Stock until immediately prior to the closing of such sale of securities. Each share of Class B Common Stock that is converted pursuant to this Subsection 3(m)(i) shall be retired by the Corporation and shall not be available for reissuance.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87" w:name="page188"/>
    <w:bookmarkEnd w:id="187"/>
    <w:p>
      <w:pPr>
        <w:ind w:left="1824" w:hanging="392"/>
        <w:spacing w:after="0"/>
        <w:tabs>
          <w:tab w:leader="none" w:pos="1824" w:val="left"/>
        </w:tabs>
        <w:numPr>
          <w:ilvl w:val="1"/>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Conversion.</w:t>
      </w:r>
    </w:p>
    <w:p>
      <w:pPr>
        <w:spacing w:after="0" w:line="117" w:lineRule="exact"/>
        <w:rPr>
          <w:rFonts w:ascii="Arial" w:cs="Arial" w:eastAsia="Arial" w:hAnsi="Arial"/>
          <w:sz w:val="18"/>
          <w:szCs w:val="18"/>
          <w:color w:val="auto"/>
        </w:rPr>
      </w:pPr>
    </w:p>
    <w:p>
      <w:pPr>
        <w:ind w:left="4" w:right="360" w:firstLine="1869"/>
        <w:spacing w:after="0" w:line="342" w:lineRule="auto"/>
        <w:tabs>
          <w:tab w:leader="none" w:pos="2266" w:val="left"/>
        </w:tabs>
        <w:numPr>
          <w:ilvl w:val="2"/>
          <w:numId w:val="130"/>
        </w:numPr>
        <w:rPr>
          <w:rFonts w:ascii="Arial" w:cs="Arial" w:eastAsia="Arial" w:hAnsi="Arial"/>
          <w:sz w:val="16"/>
          <w:szCs w:val="16"/>
          <w:color w:val="auto"/>
        </w:rPr>
      </w:pPr>
      <w:r>
        <w:rPr>
          <w:rFonts w:ascii="Arial" w:cs="Arial" w:eastAsia="Arial" w:hAnsi="Arial"/>
          <w:sz w:val="16"/>
          <w:szCs w:val="16"/>
          <w:color w:val="auto"/>
        </w:rPr>
        <w:t>Upon the occurrence of a Transfer, other than a Permitted Transfer, of a share of Class B Common Stock, such share shall automatically, without further action, be converted into one (1) fully paid and nonassessable share of Class A Common Stock.</w:t>
      </w:r>
    </w:p>
    <w:p>
      <w:pPr>
        <w:spacing w:after="0" w:line="123" w:lineRule="exact"/>
        <w:rPr>
          <w:rFonts w:ascii="Arial" w:cs="Arial" w:eastAsia="Arial" w:hAnsi="Arial"/>
          <w:sz w:val="16"/>
          <w:szCs w:val="16"/>
          <w:color w:val="auto"/>
        </w:rPr>
      </w:pPr>
    </w:p>
    <w:p>
      <w:pPr>
        <w:ind w:left="4" w:right="80" w:firstLine="1869"/>
        <w:spacing w:after="0" w:line="291" w:lineRule="auto"/>
        <w:tabs>
          <w:tab w:leader="none" w:pos="2266" w:val="left"/>
        </w:tabs>
        <w:numPr>
          <w:ilvl w:val="2"/>
          <w:numId w:val="130"/>
        </w:numPr>
        <w:rPr>
          <w:rFonts w:ascii="Arial" w:cs="Arial" w:eastAsia="Arial" w:hAnsi="Arial"/>
          <w:sz w:val="16"/>
          <w:szCs w:val="16"/>
          <w:color w:val="auto"/>
        </w:rPr>
      </w:pPr>
      <w:r>
        <w:rPr>
          <w:rFonts w:ascii="Arial" w:cs="Arial" w:eastAsia="Arial" w:hAnsi="Arial"/>
          <w:sz w:val="16"/>
          <w:szCs w:val="16"/>
          <w:color w:val="auto"/>
        </w:rPr>
        <w:t>Upon the death of a holder of Class B Common Stock, who is a natural person (other than Founder), each share of Class B Common Stock held by such holder or by such holder’s Permitted Transferees shall automatically, without further action, be converted into one</w:t>
      </w:r>
    </w:p>
    <w:p>
      <w:pPr>
        <w:ind w:left="264" w:hanging="264"/>
        <w:spacing w:after="0"/>
        <w:tabs>
          <w:tab w:leader="none" w:pos="2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fully paid and nonassessable share of Class A Common Stock.</w:t>
      </w:r>
    </w:p>
    <w:p>
      <w:pPr>
        <w:spacing w:after="0" w:line="210" w:lineRule="exact"/>
        <w:rPr>
          <w:rFonts w:ascii="Arial" w:cs="Arial" w:eastAsia="Arial" w:hAnsi="Arial"/>
          <w:sz w:val="18"/>
          <w:szCs w:val="18"/>
          <w:color w:val="auto"/>
        </w:rPr>
      </w:pPr>
    </w:p>
    <w:p>
      <w:pPr>
        <w:ind w:left="4" w:firstLine="1428"/>
        <w:spacing w:after="0" w:line="308" w:lineRule="auto"/>
        <w:tabs>
          <w:tab w:leader="none" w:pos="1886"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Automatic Conversion of all Outstanding Class B Common Stock. </w:t>
      </w:r>
      <w:r>
        <w:rPr>
          <w:rFonts w:ascii="Arial" w:cs="Arial" w:eastAsia="Arial" w:hAnsi="Arial"/>
          <w:sz w:val="17"/>
          <w:szCs w:val="17"/>
          <w:color w:val="auto"/>
        </w:rPr>
        <w:t>Each share of Class B Common Stock shall automatically,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further action, be converted into one (1) fully paid and nonassessable share of Class A Common Stock upon the earliest of:</w:t>
      </w:r>
    </w:p>
    <w:p>
      <w:pPr>
        <w:spacing w:after="0" w:line="146" w:lineRule="exact"/>
        <w:rPr>
          <w:rFonts w:ascii="Arial" w:cs="Arial" w:eastAsia="Arial" w:hAnsi="Arial"/>
          <w:sz w:val="17"/>
          <w:szCs w:val="17"/>
          <w:color w:val="auto"/>
        </w:rPr>
      </w:pPr>
    </w:p>
    <w:p>
      <w:pPr>
        <w:ind w:left="2264" w:hanging="391"/>
        <w:spacing w:after="0"/>
        <w:tabs>
          <w:tab w:leader="none" w:pos="2264"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date that is six months following the death or Incapacity of the Founder;</w:t>
      </w:r>
    </w:p>
    <w:p>
      <w:pPr>
        <w:spacing w:after="0" w:line="225" w:lineRule="exact"/>
        <w:rPr>
          <w:rFonts w:ascii="Arial" w:cs="Arial" w:eastAsia="Arial" w:hAnsi="Arial"/>
          <w:sz w:val="18"/>
          <w:szCs w:val="18"/>
          <w:color w:val="auto"/>
        </w:rPr>
      </w:pPr>
    </w:p>
    <w:p>
      <w:pPr>
        <w:ind w:left="4" w:right="60" w:firstLine="1869"/>
        <w:spacing w:after="0" w:line="277" w:lineRule="auto"/>
        <w:tabs>
          <w:tab w:leader="none" w:pos="226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date that Founder is no longer providing services to the Corporation as an officer, employee, director or consultant or his employment with the Corporation is terminated for Cause;</w:t>
      </w:r>
    </w:p>
    <w:p>
      <w:pPr>
        <w:spacing w:after="0" w:line="170" w:lineRule="exact"/>
        <w:rPr>
          <w:rFonts w:ascii="Arial" w:cs="Arial" w:eastAsia="Arial" w:hAnsi="Arial"/>
          <w:sz w:val="18"/>
          <w:szCs w:val="18"/>
          <w:color w:val="auto"/>
        </w:rPr>
      </w:pPr>
    </w:p>
    <w:p>
      <w:pPr>
        <w:ind w:left="4" w:right="40" w:firstLine="1869"/>
        <w:spacing w:after="0" w:line="342" w:lineRule="auto"/>
        <w:tabs>
          <w:tab w:leader="none" w:pos="2266" w:val="left"/>
        </w:tabs>
        <w:numPr>
          <w:ilvl w:val="2"/>
          <w:numId w:val="131"/>
        </w:numPr>
        <w:rPr>
          <w:rFonts w:ascii="Arial" w:cs="Arial" w:eastAsia="Arial" w:hAnsi="Arial"/>
          <w:sz w:val="16"/>
          <w:szCs w:val="16"/>
          <w:color w:val="auto"/>
        </w:rPr>
      </w:pPr>
      <w:r>
        <w:rPr>
          <w:rFonts w:ascii="Arial" w:cs="Arial" w:eastAsia="Arial" w:hAnsi="Arial"/>
          <w:sz w:val="16"/>
          <w:szCs w:val="16"/>
          <w:color w:val="auto"/>
        </w:rPr>
        <w:t>the date specified by (i) the holders of a majority of the then outstanding shares of Preferred Stock, voting together on an as-converted basis, and (ii) the holders of a majority of the then outstanding shares of Class B Common Stock, voting as a separate class; and</w:t>
      </w:r>
    </w:p>
    <w:p>
      <w:pPr>
        <w:spacing w:after="0" w:line="123" w:lineRule="exact"/>
        <w:rPr>
          <w:rFonts w:ascii="Arial" w:cs="Arial" w:eastAsia="Arial" w:hAnsi="Arial"/>
          <w:sz w:val="16"/>
          <w:szCs w:val="16"/>
          <w:color w:val="auto"/>
        </w:rPr>
      </w:pPr>
    </w:p>
    <w:p>
      <w:pPr>
        <w:jc w:val="both"/>
        <w:ind w:left="4" w:firstLine="1869"/>
        <w:spacing w:after="0" w:line="259" w:lineRule="auto"/>
        <w:tabs>
          <w:tab w:leader="none" w:pos="226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date that is the fifteen (15) year anniversary of the closing of the Corporation’s first firm commitment underwritten public offering pursuant to an effective registration statement under the Securities Act (or a registration statement under similar securities laws of any foreign jurisdiction, to the extent applicable) in connection with an offering of securities on the New York Stock Exchange, NASDAQ Global Market, or other nationally or internationally-recognized securities exchange as approved by the Board.</w:t>
      </w:r>
    </w:p>
    <w:p>
      <w:pPr>
        <w:spacing w:after="0" w:line="187"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Each outstanding stock certificate or uncertificated share registered in book-entry form, as applicable, that, immediately prior to such automatic conversion pursuant to Subsections 3(m)(ii)-(iii) represented one or more shares of Class B Common Stock subject to such automatic conversion shall, upon and after such automatic conversion, be deemed to represent an equal number of shares of Class A Common Stock, without the need for surrender or exchange thereof. The Corporation shall, upon the request of each such holder of certificated shares subject to such automatic conversion, upon receipt of such holder’s outstanding certificate, issue and deliver to such holder new certificates representing such holder’s shares of Class A Common Stock. If the conversion is in connection with the automatic conversion provisions of these Subsections, such conversion shall be deemed to have been made on the date of the occurrence of events or actions pursuant to Subsections 3(m)(ii)-(iii) above that results in such conversion, and the persons entitled to receive shares of Class A Common Stock issuable upon such conversion shall be treated for all purposes as the record holders of such shares of Class A Common Stock as of such date. Each share of Class B Common Stock that is converted pursuant to Subsections 3(m)(ii)-(iii) shall be retired by the Corporation and shall not be available for reissuance. In the event that all of the Corporation’s outstanding shares of Class B Common Stock are converted pursuant to Subsection 3(m)(iii), no shares of Class B Common Stock shall be issued by the Corporation thereafter.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88" w:name="page189"/>
    <w:bookmarkEnd w:id="188"/>
    <w:p>
      <w:pPr>
        <w:ind w:left="4" w:firstLine="1428"/>
        <w:spacing w:after="0" w:line="268" w:lineRule="auto"/>
        <w:tabs>
          <w:tab w:leader="none" w:pos="1873" w:val="left"/>
        </w:tabs>
        <w:numPr>
          <w:ilvl w:val="3"/>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from time to time, establish such policies and procedures, not in violation of applicable law or the other provisions of this Sixth Amended and Restated Certificate, relating to the conversion of the Class B Common Stock into Class A Common Stock and the dual class common stock structure contemplated by this Sixth Amended and Restated Certificate of Incorporation, including without limitation the issuance of stock certificates in connection with any such conversion, as it may deem necessary or advisable. If the Corporation has reason to believe that a Transfer giving rise to a conversion of shares of Class B Common Stock into Class A Common Stock has occurred but has not theretofore been reflected on the books of the Corporation, the Corporation may request that the holder of such shares furnish affidavits or other evidence to the Corporation as it reasonably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In connection with any action of stockholders taken at a meeting or by written consent, the stock ledger of the Corporation shall be presumptive evidence as to who are the stockholders entitled to vote in person or by proxy at any meeting of stockholders or in connection with any written consent and the classes of shares held by each such stockholder and the number of shares of each class held by such stockholder.</w:t>
      </w:r>
    </w:p>
    <w:p>
      <w:pPr>
        <w:spacing w:after="0" w:line="288" w:lineRule="exact"/>
        <w:rPr>
          <w:rFonts w:ascii="Arial" w:cs="Arial" w:eastAsia="Arial" w:hAnsi="Arial"/>
          <w:sz w:val="17"/>
          <w:szCs w:val="17"/>
          <w:color w:val="auto"/>
        </w:rPr>
      </w:pPr>
    </w:p>
    <w:p>
      <w:pPr>
        <w:ind w:left="764" w:hanging="324"/>
        <w:spacing w:after="0"/>
        <w:tabs>
          <w:tab w:leader="none" w:pos="764"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color w:val="auto"/>
        </w:rPr>
      </w:pPr>
    </w:p>
    <w:p>
      <w:pPr>
        <w:ind w:left="4" w:right="240" w:firstLine="877"/>
        <w:spacing w:after="0" w:line="308" w:lineRule="auto"/>
        <w:tabs>
          <w:tab w:leader="none" w:pos="1265" w:val="left"/>
        </w:tabs>
        <w:numPr>
          <w:ilvl w:val="2"/>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Class Voting. </w:t>
      </w:r>
      <w:r>
        <w:rPr>
          <w:rFonts w:ascii="Arial" w:cs="Arial" w:eastAsia="Arial" w:hAnsi="Arial"/>
          <w:sz w:val="17"/>
          <w:szCs w:val="17"/>
          <w:color w:val="auto"/>
        </w:rPr>
        <w:t>Except as otherwise expressly provided herein or as required by law, the holders of Preferred Stock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and Class B Common Stock shall vote together and not as separate classes.</w:t>
      </w:r>
    </w:p>
    <w:p>
      <w:pPr>
        <w:spacing w:after="0" w:line="146" w:lineRule="exact"/>
        <w:rPr>
          <w:rFonts w:ascii="Arial" w:cs="Arial" w:eastAsia="Arial" w:hAnsi="Arial"/>
          <w:sz w:val="17"/>
          <w:szCs w:val="17"/>
          <w:color w:val="auto"/>
        </w:rPr>
      </w:pPr>
    </w:p>
    <w:p>
      <w:pPr>
        <w:ind w:left="1264" w:hanging="383"/>
        <w:spacing w:after="0"/>
        <w:tabs>
          <w:tab w:leader="none" w:pos="1264"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Series Voting. </w:t>
      </w:r>
      <w:r>
        <w:rPr>
          <w:rFonts w:ascii="Arial" w:cs="Arial" w:eastAsia="Arial" w:hAnsi="Arial"/>
          <w:sz w:val="18"/>
          <w:szCs w:val="18"/>
          <w:color w:val="auto"/>
        </w:rPr>
        <w:t>Other than as provided herein or required by law, there shall be no series voting.</w:t>
      </w:r>
    </w:p>
    <w:p>
      <w:pPr>
        <w:spacing w:after="0" w:line="225" w:lineRule="exact"/>
        <w:rPr>
          <w:rFonts w:ascii="Arial" w:cs="Arial" w:eastAsia="Arial" w:hAnsi="Arial"/>
          <w:sz w:val="18"/>
          <w:szCs w:val="18"/>
          <w:color w:val="auto"/>
        </w:rPr>
      </w:pPr>
    </w:p>
    <w:p>
      <w:pPr>
        <w:jc w:val="both"/>
        <w:ind w:left="4" w:right="140" w:firstLine="877"/>
        <w:spacing w:after="0" w:line="287" w:lineRule="auto"/>
        <w:tabs>
          <w:tab w:leader="none" w:pos="1265" w:val="left"/>
        </w:tabs>
        <w:numPr>
          <w:ilvl w:val="2"/>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Each holder of a share of Preferred Stock shall be entitled to cast a number of votes equal to the votes entitled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cast by the number of whole shares of Class B Common Stock into which the shares of Preferred Stock are convertible as of the record date (e.g., as of the Effective Time, a holder of two (2) shares of Series D Preferred Stock as of the Effective Time would have the right to an aggregate of twenty</w:t>
      </w:r>
    </w:p>
    <w:p>
      <w:pPr>
        <w:spacing w:after="0" w:line="2" w:lineRule="exact"/>
        <w:rPr>
          <w:rFonts w:ascii="Arial" w:cs="Arial" w:eastAsia="Arial" w:hAnsi="Arial"/>
          <w:sz w:val="16"/>
          <w:szCs w:val="16"/>
          <w:color w:val="auto"/>
        </w:rPr>
      </w:pPr>
    </w:p>
    <w:p>
      <w:pPr>
        <w:ind w:left="4" w:right="80" w:hanging="4"/>
        <w:spacing w:after="0" w:line="295" w:lineRule="auto"/>
        <w:tabs>
          <w:tab w:leader="none" w:pos="34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votes for the two (2) shares of Series D Preferred Stock held by such holder). The holders of shares of the Preferred Stock shall be entitled to vote on all matters on which the Class B Common Stock shall be entitled to vote. Holders of Preferred Stock shall be entitled to notice of any stockholders’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269" w:lineRule="exact"/>
        <w:rPr>
          <w:rFonts w:ascii="Arial" w:cs="Arial" w:eastAsia="Arial" w:hAnsi="Arial"/>
          <w:sz w:val="16"/>
          <w:szCs w:val="16"/>
          <w:color w:val="auto"/>
        </w:rPr>
      </w:pPr>
    </w:p>
    <w:p>
      <w:pPr>
        <w:ind w:left="1264" w:hanging="383"/>
        <w:spacing w:after="0"/>
        <w:tabs>
          <w:tab w:leader="none" w:pos="1264" w:val="left"/>
        </w:tabs>
        <w:numPr>
          <w:ilvl w:val="2"/>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Election of Directors.</w:t>
      </w:r>
    </w:p>
    <w:p>
      <w:pPr>
        <w:spacing w:after="0" w:line="117" w:lineRule="exact"/>
        <w:rPr>
          <w:rFonts w:ascii="Arial" w:cs="Arial" w:eastAsia="Arial" w:hAnsi="Arial"/>
          <w:sz w:val="18"/>
          <w:szCs w:val="18"/>
          <w:color w:val="auto"/>
        </w:rPr>
      </w:pPr>
    </w:p>
    <w:p>
      <w:pPr>
        <w:ind w:left="4" w:right="160" w:firstLine="1428"/>
        <w:spacing w:after="0" w:line="259" w:lineRule="auto"/>
        <w:tabs>
          <w:tab w:leader="none" w:pos="1786" w:val="left"/>
        </w:tabs>
        <w:numPr>
          <w:ilvl w:val="3"/>
          <w:numId w:val="134"/>
        </w:numPr>
        <w:rPr>
          <w:rFonts w:ascii="Arial" w:cs="Arial" w:eastAsia="Arial" w:hAnsi="Arial"/>
          <w:sz w:val="18"/>
          <w:szCs w:val="18"/>
          <w:color w:val="auto"/>
        </w:rPr>
      </w:pPr>
      <w:r>
        <w:rPr>
          <w:rFonts w:ascii="Arial" w:cs="Arial" w:eastAsia="Arial" w:hAnsi="Arial"/>
          <w:sz w:val="18"/>
          <w:szCs w:val="18"/>
          <w:color w:val="auto"/>
        </w:rPr>
        <w:t xml:space="preserve">So long as at least 33,535,616 shares (as adjusted for any applicable Recapitalizations) of the Series A Preferred Stock remain outstanding, the holders of a majority of the Series A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w:t>
      </w:r>
    </w:p>
    <w:p>
      <w:pPr>
        <w:spacing w:after="0" w:line="186" w:lineRule="exact"/>
        <w:rPr>
          <w:rFonts w:ascii="Arial" w:cs="Arial" w:eastAsia="Arial" w:hAnsi="Arial"/>
          <w:sz w:val="18"/>
          <w:szCs w:val="18"/>
          <w:color w:val="auto"/>
        </w:rPr>
      </w:pPr>
    </w:p>
    <w:p>
      <w:pPr>
        <w:ind w:left="4" w:right="200" w:firstLine="1428"/>
        <w:spacing w:after="0" w:line="277" w:lineRule="auto"/>
        <w:tabs>
          <w:tab w:leader="none" w:pos="1836" w:val="left"/>
        </w:tabs>
        <w:numPr>
          <w:ilvl w:val="3"/>
          <w:numId w:val="134"/>
        </w:numPr>
        <w:rPr>
          <w:rFonts w:ascii="Arial" w:cs="Arial" w:eastAsia="Arial" w:hAnsi="Arial"/>
          <w:sz w:val="18"/>
          <w:szCs w:val="18"/>
          <w:color w:val="auto"/>
        </w:rPr>
      </w:pPr>
      <w:r>
        <w:rPr>
          <w:rFonts w:ascii="Arial" w:cs="Arial" w:eastAsia="Arial" w:hAnsi="Arial"/>
          <w:sz w:val="18"/>
          <w:szCs w:val="18"/>
          <w:color w:val="auto"/>
        </w:rPr>
        <w:t>So long as at least 9,945,444 shares (as adjusted for any applicable Recapitalizations) of the Series B Preferred Stock remain outstanding, the holders of a majority of the Series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89" w:name="page190"/>
    <w:bookmarkEnd w:id="189"/>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B Director</w:t>
      </w:r>
      <w:r>
        <w:rPr>
          <w:rFonts w:ascii="Arial" w:cs="Arial" w:eastAsia="Arial" w:hAnsi="Arial"/>
          <w:sz w:val="18"/>
          <w:szCs w:val="18"/>
          <w:i w:val="1"/>
          <w:iCs w:val="1"/>
          <w:color w:val="auto"/>
        </w:rPr>
        <w:t>”).</w:t>
      </w:r>
    </w:p>
    <w:p>
      <w:pPr>
        <w:spacing w:after="0" w:line="170" w:lineRule="exact"/>
        <w:rPr>
          <w:sz w:val="20"/>
          <w:szCs w:val="20"/>
          <w:color w:val="auto"/>
        </w:rPr>
      </w:pPr>
    </w:p>
    <w:p>
      <w:pPr>
        <w:ind w:left="4" w:right="60" w:firstLine="1428"/>
        <w:spacing w:after="0" w:line="259" w:lineRule="auto"/>
        <w:tabs>
          <w:tab w:leader="none" w:pos="188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So long as at least 13,760,000 shares (as adjusted for any applicable Recapitalizations) of the Series C Preferred Stock remain outstanding, the holders of a majority of the Series C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w:t>
      </w:r>
    </w:p>
    <w:p>
      <w:pPr>
        <w:spacing w:after="0" w:line="186" w:lineRule="exact"/>
        <w:rPr>
          <w:rFonts w:ascii="Arial" w:cs="Arial" w:eastAsia="Arial" w:hAnsi="Arial"/>
          <w:sz w:val="18"/>
          <w:szCs w:val="18"/>
          <w:color w:val="auto"/>
        </w:rPr>
      </w:pPr>
    </w:p>
    <w:p>
      <w:pPr>
        <w:ind w:left="4" w:right="40" w:firstLine="1428"/>
        <w:spacing w:after="0" w:line="275" w:lineRule="auto"/>
        <w:tabs>
          <w:tab w:leader="none" w:pos="187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So long as at least 10,702,256 shares (as adjusted for any applicable Recapitalizations) of the Series D Preferred Stock remain outstanding, the holders of a majority of the Series D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D Director</w:t>
      </w:r>
      <w:r>
        <w:rPr>
          <w:rFonts w:ascii="Arial" w:cs="Arial" w:eastAsia="Arial" w:hAnsi="Arial"/>
          <w:sz w:val="17"/>
          <w:szCs w:val="17"/>
          <w:i w:val="1"/>
          <w:iCs w:val="1"/>
          <w:color w:val="auto"/>
        </w:rPr>
        <w:t>”</w:t>
      </w:r>
      <w:r>
        <w:rPr>
          <w:rFonts w:ascii="Arial" w:cs="Arial" w:eastAsia="Arial" w:hAnsi="Arial"/>
          <w:sz w:val="17"/>
          <w:szCs w:val="17"/>
          <w:color w:val="auto"/>
        </w:rPr>
        <w:t xml:space="preserve"> and together with the Series A Director, Series B Director, and Series C Director,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Directors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Series B Director, the Series C Director and the Series D Director are collectively referred to herein as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C, D Directors</w:t>
      </w:r>
      <w:r>
        <w:rPr>
          <w:rFonts w:ascii="Arial" w:cs="Arial" w:eastAsia="Arial" w:hAnsi="Arial"/>
          <w:sz w:val="17"/>
          <w:szCs w:val="17"/>
          <w:i w:val="1"/>
          <w:iCs w:val="1"/>
          <w:color w:val="auto"/>
        </w:rPr>
        <w:t>”.</w:t>
      </w:r>
    </w:p>
    <w:p>
      <w:pPr>
        <w:spacing w:after="0" w:line="176" w:lineRule="exact"/>
        <w:rPr>
          <w:rFonts w:ascii="Arial" w:cs="Arial" w:eastAsia="Arial" w:hAnsi="Arial"/>
          <w:sz w:val="17"/>
          <w:szCs w:val="17"/>
          <w:color w:val="auto"/>
        </w:rPr>
      </w:pPr>
    </w:p>
    <w:p>
      <w:pPr>
        <w:ind w:left="4" w:right="940" w:firstLine="1428"/>
        <w:spacing w:after="0" w:line="308" w:lineRule="auto"/>
        <w:tabs>
          <w:tab w:leader="none" w:pos="182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holders of Class B Common Stock, voting as a separate class, shall be entitled to elect two (2) members of the Corporation’s Board at each meeting or pursuant to each consent of the Corporation’s stockholders for the election of directors.</w:t>
      </w:r>
    </w:p>
    <w:p>
      <w:pPr>
        <w:spacing w:after="0" w:line="146" w:lineRule="exact"/>
        <w:rPr>
          <w:rFonts w:ascii="Arial" w:cs="Arial" w:eastAsia="Arial" w:hAnsi="Arial"/>
          <w:sz w:val="17"/>
          <w:szCs w:val="17"/>
          <w:color w:val="auto"/>
        </w:rPr>
      </w:pPr>
    </w:p>
    <w:p>
      <w:pPr>
        <w:ind w:left="1864" w:hanging="432"/>
        <w:spacing w:after="0"/>
        <w:tabs>
          <w:tab w:leader="none" w:pos="186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other members of the Board shall be elected by the holders of Preferred Stock and Class B Common Stock, voting together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on an as-converted basis.</w:t>
      </w:r>
    </w:p>
    <w:p>
      <w:pPr>
        <w:spacing w:after="0" w:line="318" w:lineRule="exact"/>
        <w:rPr>
          <w:rFonts w:ascii="Arial" w:cs="Arial" w:eastAsia="Arial" w:hAnsi="Arial"/>
          <w:sz w:val="16"/>
          <w:szCs w:val="16"/>
          <w:color w:val="auto"/>
        </w:rPr>
      </w:pPr>
    </w:p>
    <w:p>
      <w:pPr>
        <w:ind w:left="1924" w:hanging="492"/>
        <w:spacing w:after="0"/>
        <w:tabs>
          <w:tab w:leader="none" w:pos="1924"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Quorum; Required Vote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1869"/>
        <w:spacing w:after="0" w:line="291" w:lineRule="auto"/>
        <w:tabs>
          <w:tab w:leader="none" w:pos="2266" w:val="left"/>
        </w:tabs>
        <w:numPr>
          <w:ilvl w:val="2"/>
          <w:numId w:val="135"/>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At any meeting held for the purpose of electing directors, the presence in person or by proxy of the holders of a majority of the shares of the (a) Series A Preferred Stock, (b) Series B Preferred Stock, (c) Series C Preferred Stock, (d) Series D Preferred Stock,</w:t>
      </w:r>
    </w:p>
    <w:p>
      <w:pPr>
        <w:ind w:left="4" w:right="40" w:hanging="4"/>
        <w:spacing w:after="0" w:line="292" w:lineRule="auto"/>
        <w:tabs>
          <w:tab w:leader="none" w:pos="24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Class B Common Stock, or (f) the Class B Common Stock and Preferred Stock (voting together as a single class and on an as-converted to basis), respectively, shall constitute a quorum of the Series A Preferred Stock, Series B Preferred Stock, Series C Preferred Stock, Series D Preferred Stock and Class B Common Stock, or the Class B Common Stock and Preferred Stock, voting together, as the case may be, for the election of directors to be elected solely by the holders of the Series A Preferred Stock, Series B Preferred Stock, Series C Preferred Stock, Series D Preferred Stock, and Class B Common Stock, or Class B Common Stock and Preferred Stock, voting together as a single class and on an as-converted basis, respectively.</w:t>
      </w:r>
    </w:p>
    <w:p>
      <w:pPr>
        <w:spacing w:after="0" w:line="162" w:lineRule="exact"/>
        <w:rPr>
          <w:rFonts w:ascii="Arial" w:cs="Arial" w:eastAsia="Arial" w:hAnsi="Arial"/>
          <w:sz w:val="16"/>
          <w:szCs w:val="16"/>
          <w:color w:val="auto"/>
        </w:rPr>
      </w:pPr>
    </w:p>
    <w:p>
      <w:pPr>
        <w:ind w:left="4" w:right="40" w:firstLine="1869"/>
        <w:spacing w:after="0" w:line="293" w:lineRule="auto"/>
        <w:tabs>
          <w:tab w:leader="none" w:pos="2266"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Required Vote</w:t>
      </w:r>
      <w:r>
        <w:rPr>
          <w:rFonts w:ascii="Arial" w:cs="Arial" w:eastAsia="Arial" w:hAnsi="Arial"/>
          <w:sz w:val="16"/>
          <w:szCs w:val="16"/>
          <w:color w:val="auto"/>
        </w:rPr>
        <w:t xml:space="preserve">. With respect to the election of any director or directors by the holders of the outstanding shares of the specified series, class or classes of stock given the right to elect such director or directors pursuant to Sections 5(d)(i)-(vi) above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candidate or those candidates (as applicable) shall be elected who either: (a) in the case of any such vote conducted at a meeting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such Specified Stock, receive the highest number of affirmative votes of the outstanding shares of such Specified Stock, up to the number of directors to be elected by such Specified Stock; or (b) in the case of any such vote taken by written consent without a meeting, are elected by the written consent of the holders of a majority of outstanding shares of such Specified Stock (calculated on an as converted basis).</w:t>
      </w:r>
    </w:p>
    <w:p>
      <w:pPr>
        <w:spacing w:after="0" w:line="164" w:lineRule="exact"/>
        <w:rPr>
          <w:rFonts w:ascii="Arial" w:cs="Arial" w:eastAsia="Arial" w:hAnsi="Arial"/>
          <w:sz w:val="16"/>
          <w:szCs w:val="16"/>
          <w:color w:val="auto"/>
        </w:rPr>
      </w:pPr>
    </w:p>
    <w:p>
      <w:pPr>
        <w:ind w:left="4" w:right="40" w:firstLine="1428"/>
        <w:spacing w:after="0" w:line="259" w:lineRule="auto"/>
        <w:tabs>
          <w:tab w:leader="none" w:pos="1976"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Vacancy</w:t>
      </w:r>
      <w:r>
        <w:rPr>
          <w:rFonts w:ascii="Arial" w:cs="Arial" w:eastAsia="Arial" w:hAnsi="Arial"/>
          <w:sz w:val="18"/>
          <w:szCs w:val="18"/>
          <w:color w:val="auto"/>
        </w:rPr>
        <w:t>. If there shall be any vacancy in the office of a director elected by the holders of any Specified Stock pursuant to Section 5(d), then a successor to hold office for the unexpired term of such director may be elected by the required vote of holders of the shares of such Specified Stock specified in Section 5(d)(vii)(2) above that are entitled to elect such director under Section 5(d), or as otherwise permitted by applicable law.</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190" w:name="page191"/>
    <w:bookmarkEnd w:id="190"/>
    <w:p>
      <w:pPr>
        <w:ind w:firstLine="1428"/>
        <w:spacing w:after="0" w:line="273" w:lineRule="auto"/>
        <w:tabs>
          <w:tab w:leader="none" w:pos="1872"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w:t>
      </w:r>
      <w:r>
        <w:rPr>
          <w:rFonts w:ascii="Arial" w:cs="Arial" w:eastAsia="Arial" w:hAnsi="Arial"/>
          <w:sz w:val="17"/>
          <w:szCs w:val="17"/>
          <w:color w:val="auto"/>
        </w:rPr>
        <w:t>. Subject to Section 141(k) of the Delaware General Corporation Law, any director who shall have been elected to the Board by the holders of any Specified Stock pursuant to Section 5(d), or as otherwise provided in Section 5(d)(vi), may be removed during his or her term of office, either with or without cause, by, and only by, the affirmative vote of shares representing a majority of the voting power of all the outstanding shares of such Specified Stock entitled to vote to elect such director under Section 5(d)(vii)(2), given either at a meeting of such stockholders duly called for that purpose or pursuant to a written consent of stockholders without a meeting, or as otherwise permitted by applicable law, and any vacancy created by such removal may be filled only in the manner provided in Section 5(d)(vii)(2).</w:t>
      </w:r>
    </w:p>
    <w:p>
      <w:pPr>
        <w:spacing w:after="0" w:line="177" w:lineRule="exact"/>
        <w:rPr>
          <w:rFonts w:ascii="Arial" w:cs="Arial" w:eastAsia="Arial" w:hAnsi="Arial"/>
          <w:sz w:val="17"/>
          <w:szCs w:val="17"/>
          <w:color w:val="auto"/>
        </w:rPr>
      </w:pPr>
    </w:p>
    <w:p>
      <w:pPr>
        <w:ind w:right="100" w:firstLine="1428"/>
        <w:spacing w:after="0" w:line="257" w:lineRule="auto"/>
        <w:tabs>
          <w:tab w:leader="none" w:pos="182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Any meeting of the holders of any Specified Stock, and any action taken by the holders of any Specified Stock by written consent without a meeting, in order to elect or remove a director under this Section 5(d), shall be held in accordance with the procedures and provisions of the Corporation’s Bylaws, the Delaware General Corporation Law and applicable law regarding stockholder meetings and stockholder actions by written consent, as such are then in effect (including but not limited to procedures and provisions for determining the record date for shares entitled to vote).</w:t>
      </w:r>
    </w:p>
    <w:p>
      <w:pPr>
        <w:spacing w:after="0" w:line="187" w:lineRule="exact"/>
        <w:rPr>
          <w:rFonts w:ascii="Arial" w:cs="Arial" w:eastAsia="Arial" w:hAnsi="Arial"/>
          <w:sz w:val="18"/>
          <w:szCs w:val="18"/>
          <w:color w:val="auto"/>
        </w:rPr>
      </w:pPr>
    </w:p>
    <w:p>
      <w:pPr>
        <w:ind w:right="20" w:firstLine="877"/>
        <w:spacing w:after="0" w:line="257" w:lineRule="auto"/>
        <w:tabs>
          <w:tab w:leader="none" w:pos="1261" w:val="left"/>
        </w:tabs>
        <w:numPr>
          <w:ilvl w:val="0"/>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in Authorized Class A Common Stock and Class B Common Stock. </w:t>
      </w:r>
      <w:r>
        <w:rPr>
          <w:rFonts w:ascii="Arial" w:cs="Arial" w:eastAsia="Arial" w:hAnsi="Arial"/>
          <w:sz w:val="18"/>
          <w:szCs w:val="18"/>
          <w:color w:val="auto"/>
        </w:rPr>
        <w:t>The number of authorized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Class B Common Stock may be increased or decreased (but not below the number of shares of Class A Common Stock and Class B Common Stock then outstanding) by (in addition to any vote of the holders of one or more series of Preferred Stock that may be required by the terms of the Certificate of Incorporation) an affirmative vote of the holders of a majority of the stock of the Corporation, irrespective of the provisions of Section 242(b)(2) of the General Corporation Law.</w:t>
      </w:r>
    </w:p>
    <w:p>
      <w:pPr>
        <w:spacing w:after="0" w:line="187" w:lineRule="exact"/>
        <w:rPr>
          <w:rFonts w:ascii="Arial" w:cs="Arial" w:eastAsia="Arial" w:hAnsi="Arial"/>
          <w:sz w:val="18"/>
          <w:szCs w:val="18"/>
          <w:color w:val="auto"/>
        </w:rPr>
      </w:pPr>
    </w:p>
    <w:p>
      <w:pPr>
        <w:ind w:right="380" w:firstLine="877"/>
        <w:spacing w:after="0" w:line="259" w:lineRule="auto"/>
        <w:tabs>
          <w:tab w:leader="none" w:pos="1241" w:val="left"/>
        </w:tabs>
        <w:numPr>
          <w:ilvl w:val="0"/>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Future Issuances of Class B Common Stock. </w:t>
      </w:r>
      <w:r>
        <w:rPr>
          <w:rFonts w:ascii="Arial" w:cs="Arial" w:eastAsia="Arial" w:hAnsi="Arial"/>
          <w:sz w:val="18"/>
          <w:szCs w:val="18"/>
          <w:color w:val="auto"/>
        </w:rPr>
        <w:t>Except for the issuance of Class B Common Stock issuable upon exercise of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at the Effective Time or the conversion of Preferred Stock into Class B Common Stock, the Corporation shall not at any time after the Effective Time issue any additional shares of Class B Common Stock unless such issuance is approved by the affirmative vote of the holders of a majority of the outstanding shares of Class B Common Stock.</w:t>
      </w:r>
    </w:p>
    <w:p>
      <w:pPr>
        <w:spacing w:after="0" w:line="186" w:lineRule="exact"/>
        <w:rPr>
          <w:rFonts w:ascii="Arial" w:cs="Arial" w:eastAsia="Arial" w:hAnsi="Arial"/>
          <w:sz w:val="18"/>
          <w:szCs w:val="18"/>
          <w:color w:val="auto"/>
        </w:rPr>
      </w:pPr>
    </w:p>
    <w:p>
      <w:pPr>
        <w:ind w:right="40" w:firstLine="877"/>
        <w:spacing w:after="0" w:line="288" w:lineRule="auto"/>
        <w:tabs>
          <w:tab w:leader="none" w:pos="1271" w:val="left"/>
        </w:tabs>
        <w:numPr>
          <w:ilvl w:val="0"/>
          <w:numId w:val="1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Equal Treatment in a Liquidation Event or any Merger Transaction. </w:t>
      </w:r>
      <w:r>
        <w:rPr>
          <w:rFonts w:ascii="Arial" w:cs="Arial" w:eastAsia="Arial" w:hAnsi="Arial"/>
          <w:sz w:val="16"/>
          <w:szCs w:val="16"/>
          <w:color w:val="auto"/>
        </w:rPr>
        <w:t>In connection with any Liquidation Event,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Liquidation Event,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1" w:name="page192"/>
    <w:bookmarkEnd w:id="191"/>
    <w:p>
      <w:pPr>
        <w:ind w:left="880"/>
        <w:spacing w:after="0"/>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w:t>
      </w:r>
      <w:r>
        <w:rPr>
          <w:sz w:val="20"/>
          <w:szCs w:val="20"/>
          <w:color w:val="auto"/>
        </w:rPr>
        <w:tab/>
      </w: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Each holder of shares of Class B Common Stock shall be entitled to ten (10) votes for each share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211" w:lineRule="exact"/>
        <w:rPr>
          <w:sz w:val="20"/>
          <w:szCs w:val="20"/>
          <w:color w:val="auto"/>
        </w:rPr>
      </w:pPr>
    </w:p>
    <w:p>
      <w:pPr>
        <w:ind w:left="1220" w:hanging="343"/>
        <w:spacing w:after="0"/>
        <w:tabs>
          <w:tab w:leader="none" w:pos="1220" w:val="left"/>
        </w:tabs>
        <w:numPr>
          <w:ilvl w:val="1"/>
          <w:numId w:val="1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Each holder of shares of Class A Common Stock shall be entitled to one (1) vote for each share thereof held.</w:t>
      </w:r>
    </w:p>
    <w:p>
      <w:pPr>
        <w:spacing w:after="0" w:line="244" w:lineRule="exact"/>
        <w:rPr>
          <w:rFonts w:ascii="Arial" w:cs="Arial" w:eastAsia="Arial" w:hAnsi="Arial"/>
          <w:sz w:val="16"/>
          <w:szCs w:val="16"/>
          <w:color w:val="auto"/>
        </w:rPr>
      </w:pPr>
    </w:p>
    <w:p>
      <w:pPr>
        <w:ind w:right="20" w:firstLine="436"/>
        <w:spacing w:after="0" w:line="312" w:lineRule="auto"/>
        <w:tabs>
          <w:tab w:leader="none" w:pos="755"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 xml:space="preserve">Identical Rights. </w:t>
      </w:r>
      <w:r>
        <w:rPr>
          <w:rFonts w:ascii="Arial" w:cs="Arial" w:eastAsia="Arial" w:hAnsi="Arial"/>
          <w:sz w:val="17"/>
          <w:szCs w:val="17"/>
          <w:color w:val="auto"/>
        </w:rPr>
        <w:t>Except as otherwise expressly provided herein or required by applicable law, shares of Class A Common Stock and Class B</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shall have the same rights and privileges and rank equally, share ratably and be identical in all respects as to all matters.</w:t>
      </w:r>
    </w:p>
    <w:p>
      <w:pPr>
        <w:spacing w:after="0" w:line="247" w:lineRule="exact"/>
        <w:rPr>
          <w:rFonts w:ascii="Arial" w:cs="Arial" w:eastAsia="Arial" w:hAnsi="Arial"/>
          <w:sz w:val="17"/>
          <w:szCs w:val="17"/>
          <w:color w:val="auto"/>
        </w:rPr>
      </w:pPr>
    </w:p>
    <w:p>
      <w:pPr>
        <w:ind w:left="760" w:hanging="324"/>
        <w:spacing w:after="0"/>
        <w:tabs>
          <w:tab w:leader="none" w:pos="7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Amendments and Changes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20" w:firstLine="877"/>
        <w:spacing w:after="0" w:line="311" w:lineRule="auto"/>
        <w:tabs>
          <w:tab w:leader="none" w:pos="125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As long as at least 63,800,000 shares of the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Preferred Stock (voting together on an as-converted basis):</w:t>
      </w:r>
    </w:p>
    <w:p>
      <w:pPr>
        <w:spacing w:after="0" w:line="148" w:lineRule="exact"/>
        <w:rPr>
          <w:rFonts w:ascii="Arial" w:cs="Arial" w:eastAsia="Arial" w:hAnsi="Arial"/>
          <w:sz w:val="16"/>
          <w:szCs w:val="16"/>
          <w:color w:val="auto"/>
        </w:rPr>
      </w:pPr>
    </w:p>
    <w:p>
      <w:pPr>
        <w:ind w:right="240" w:firstLine="1428"/>
        <w:spacing w:after="0" w:line="263" w:lineRule="auto"/>
        <w:tabs>
          <w:tab w:leader="none" w:pos="178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of the Corporation (including pursuant to a merger) if such action would adversely alter the rights, preferences, privileges or powers of, or restrictions provided for the benefit of the Preferred Stock or any series thereof;</w:t>
      </w:r>
    </w:p>
    <w:p>
      <w:pPr>
        <w:spacing w:after="0" w:line="183" w:lineRule="exact"/>
        <w:rPr>
          <w:rFonts w:ascii="Arial" w:cs="Arial" w:eastAsia="Arial" w:hAnsi="Arial"/>
          <w:sz w:val="18"/>
          <w:szCs w:val="18"/>
          <w:color w:val="auto"/>
        </w:rPr>
      </w:pPr>
    </w:p>
    <w:p>
      <w:pPr>
        <w:ind w:right="440" w:firstLine="1428"/>
        <w:spacing w:after="0" w:line="277" w:lineRule="auto"/>
        <w:tabs>
          <w:tab w:leader="none" w:pos="183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Preferred Stock or any series thereof;</w:t>
      </w:r>
    </w:p>
    <w:p>
      <w:pPr>
        <w:spacing w:after="0" w:line="170" w:lineRule="exact"/>
        <w:rPr>
          <w:rFonts w:ascii="Arial" w:cs="Arial" w:eastAsia="Arial" w:hAnsi="Arial"/>
          <w:sz w:val="18"/>
          <w:szCs w:val="18"/>
          <w:color w:val="auto"/>
        </w:rPr>
      </w:pPr>
    </w:p>
    <w:p>
      <w:pPr>
        <w:ind w:firstLine="1428"/>
        <w:spacing w:after="0" w:line="311" w:lineRule="auto"/>
        <w:tabs>
          <w:tab w:leader="none" w:pos="188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authorize or create (by reclassification, merger or otherwise) any class or series of equity security (including any security convertible into or exercisable for any such equity security) having rights, preferences or privileges with respect to dividends, conversion, redemption or payments upon liquidation senior to any series of Preferred Stock or having voting rights other than those granted to the Preferred Stock generally;</w:t>
      </w:r>
    </w:p>
    <w:p>
      <w:pPr>
        <w:spacing w:after="0" w:line="148" w:lineRule="exact"/>
        <w:rPr>
          <w:rFonts w:ascii="Arial" w:cs="Arial" w:eastAsia="Arial" w:hAnsi="Arial"/>
          <w:sz w:val="16"/>
          <w:szCs w:val="16"/>
          <w:color w:val="auto"/>
        </w:rPr>
      </w:pPr>
    </w:p>
    <w:p>
      <w:pPr>
        <w:ind w:left="1860" w:hanging="432"/>
        <w:spacing w:after="0"/>
        <w:tabs>
          <w:tab w:leader="none" w:pos="186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from nine (9);</w:t>
      </w:r>
    </w:p>
    <w:p>
      <w:pPr>
        <w:spacing w:after="0" w:line="225" w:lineRule="exact"/>
        <w:rPr>
          <w:rFonts w:ascii="Arial" w:cs="Arial" w:eastAsia="Arial" w:hAnsi="Arial"/>
          <w:sz w:val="18"/>
          <w:szCs w:val="18"/>
          <w:color w:val="auto"/>
        </w:rPr>
      </w:pPr>
    </w:p>
    <w:p>
      <w:pPr>
        <w:ind w:right="360" w:firstLine="1428"/>
        <w:spacing w:after="0" w:line="277" w:lineRule="auto"/>
        <w:tabs>
          <w:tab w:leader="none" w:pos="182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effect any liquidation, dissolution or winding up of the Corporation pursuant to Section 3(d) unless the aggregate proceeds from such transaction to be distributed to all stockholders is equal to at least $1,000,000,000;</w:t>
      </w:r>
    </w:p>
    <w:p>
      <w:pPr>
        <w:spacing w:after="0" w:line="170" w:lineRule="exact"/>
        <w:rPr>
          <w:rFonts w:ascii="Arial" w:cs="Arial" w:eastAsia="Arial" w:hAnsi="Arial"/>
          <w:sz w:val="18"/>
          <w:szCs w:val="18"/>
          <w:color w:val="auto"/>
        </w:rPr>
      </w:pPr>
    </w:p>
    <w:p>
      <w:pPr>
        <w:ind w:right="480" w:firstLine="1428"/>
        <w:spacing w:after="0" w:line="277" w:lineRule="auto"/>
        <w:tabs>
          <w:tab w:leader="none" w:pos="187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effect an initial public offering of shares of the Corporation’s capital stock pursuant to a registration statement under the Securities Act (or comparable securities laws of other foreign jurisdictions) that is not a Qualified IPO;</w:t>
      </w:r>
    </w:p>
    <w:p>
      <w:pPr>
        <w:spacing w:after="0" w:line="170" w:lineRule="exact"/>
        <w:rPr>
          <w:rFonts w:ascii="Arial" w:cs="Arial" w:eastAsia="Arial" w:hAnsi="Arial"/>
          <w:sz w:val="18"/>
          <w:szCs w:val="18"/>
          <w:color w:val="auto"/>
        </w:rPr>
      </w:pPr>
    </w:p>
    <w:p>
      <w:pPr>
        <w:ind w:right="180" w:firstLine="1428"/>
        <w:spacing w:after="0" w:line="277" w:lineRule="auto"/>
        <w:tabs>
          <w:tab w:leader="none" w:pos="192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enter into (or permit any of its subsidiaries to enter into) any agreement with Eric Yuan unless it is otherwise approved by a majority of the Preferred Directors;</w:t>
      </w:r>
    </w:p>
    <w:p>
      <w:pPr>
        <w:spacing w:after="0" w:line="170" w:lineRule="exact"/>
        <w:rPr>
          <w:rFonts w:ascii="Arial" w:cs="Arial" w:eastAsia="Arial" w:hAnsi="Arial"/>
          <w:sz w:val="18"/>
          <w:szCs w:val="18"/>
          <w:color w:val="auto"/>
        </w:rPr>
      </w:pPr>
    </w:p>
    <w:p>
      <w:pPr>
        <w:ind w:left="1960" w:hanging="532"/>
        <w:spacing w:after="0"/>
        <w:tabs>
          <w:tab w:leader="none" w:pos="196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authorize, declare, make or pay any Distribution;</w:t>
      </w:r>
    </w:p>
    <w:p>
      <w:pPr>
        <w:spacing w:after="0" w:line="225" w:lineRule="exact"/>
        <w:rPr>
          <w:rFonts w:ascii="Arial" w:cs="Arial" w:eastAsia="Arial" w:hAnsi="Arial"/>
          <w:sz w:val="18"/>
          <w:szCs w:val="18"/>
          <w:color w:val="auto"/>
        </w:rPr>
      </w:pPr>
    </w:p>
    <w:p>
      <w:pPr>
        <w:ind w:right="140" w:firstLine="1428"/>
        <w:spacing w:after="0" w:line="308" w:lineRule="auto"/>
        <w:tabs>
          <w:tab w:leader="none" w:pos="1872" w:val="left"/>
        </w:tabs>
        <w:numPr>
          <w:ilvl w:val="2"/>
          <w:numId w:val="140"/>
        </w:numPr>
        <w:rPr>
          <w:rFonts w:ascii="Arial" w:cs="Arial" w:eastAsia="Arial" w:hAnsi="Arial"/>
          <w:sz w:val="17"/>
          <w:szCs w:val="17"/>
          <w:color w:val="auto"/>
        </w:rPr>
      </w:pPr>
      <w:r>
        <w:rPr>
          <w:rFonts w:ascii="Arial" w:cs="Arial" w:eastAsia="Arial" w:hAnsi="Arial"/>
          <w:sz w:val="17"/>
          <w:szCs w:val="17"/>
          <w:color w:val="auto"/>
        </w:rPr>
        <w:t>increase the number of shares of Class A Common Stock, Class B Common Stock or other securities authorized for issuance to employees, consultants or directors pursuant to the Corporation’s equity incentive plan, or create any new equity incentive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92" w:name="page193"/>
    <w:bookmarkEnd w:id="192"/>
    <w:p>
      <w:pPr>
        <w:ind w:left="1820" w:hanging="392"/>
        <w:spacing w:after="0"/>
        <w:tabs>
          <w:tab w:leader="none" w:pos="18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the fundamental nature of the Corporation’s business;</w:t>
      </w:r>
    </w:p>
    <w:p>
      <w:pPr>
        <w:spacing w:after="0" w:line="225" w:lineRule="exact"/>
        <w:rPr>
          <w:rFonts w:ascii="Arial" w:cs="Arial" w:eastAsia="Arial" w:hAnsi="Arial"/>
          <w:sz w:val="18"/>
          <w:szCs w:val="18"/>
          <w:color w:val="auto"/>
        </w:rPr>
      </w:pPr>
    </w:p>
    <w:p>
      <w:pPr>
        <w:ind w:left="1860" w:hanging="432"/>
        <w:spacing w:after="0"/>
        <w:tabs>
          <w:tab w:leader="none" w:pos="1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create, or hold capital stock in, any entity that is not wholly owned (either directly or through one or more other subsidiaries)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Corporation; or</w:t>
      </w:r>
    </w:p>
    <w:p>
      <w:pPr>
        <w:spacing w:after="0" w:line="210" w:lineRule="exact"/>
        <w:rPr>
          <w:rFonts w:ascii="Arial" w:cs="Arial" w:eastAsia="Arial" w:hAnsi="Arial"/>
          <w:sz w:val="16"/>
          <w:szCs w:val="16"/>
          <w:color w:val="auto"/>
        </w:rPr>
      </w:pPr>
    </w:p>
    <w:p>
      <w:pPr>
        <w:ind w:left="1920" w:hanging="492"/>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amend, change or repeal this Section 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 (i) to (xii) listed above shall apply with respect to actions of any subsidiaries of the Corporation.</w:t>
      </w:r>
    </w:p>
    <w:p>
      <w:pPr>
        <w:spacing w:after="0" w:line="225" w:lineRule="exact"/>
        <w:rPr>
          <w:sz w:val="20"/>
          <w:szCs w:val="20"/>
          <w:color w:val="auto"/>
        </w:rPr>
      </w:pPr>
    </w:p>
    <w:p>
      <w:pPr>
        <w:jc w:val="both"/>
        <w:ind w:right="300" w:firstLine="877"/>
        <w:spacing w:after="0" w:line="311" w:lineRule="auto"/>
        <w:tabs>
          <w:tab w:leader="none" w:pos="126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As long 9,945,444 shares of the Series B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B Preferred Stock, voting as a separate class:</w:t>
      </w:r>
    </w:p>
    <w:p>
      <w:pPr>
        <w:spacing w:after="0" w:line="148" w:lineRule="exact"/>
        <w:rPr>
          <w:rFonts w:ascii="Arial" w:cs="Arial" w:eastAsia="Arial" w:hAnsi="Arial"/>
          <w:sz w:val="16"/>
          <w:szCs w:val="16"/>
          <w:color w:val="auto"/>
        </w:rPr>
      </w:pPr>
    </w:p>
    <w:p>
      <w:pPr>
        <w:ind w:right="20" w:firstLine="1428"/>
        <w:spacing w:after="0" w:line="254" w:lineRule="auto"/>
        <w:tabs>
          <w:tab w:leader="none" w:pos="178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amend, alter or repeal any provision of the Sixth Amended and Restated Certificate of Incorporation or bylaws of the Corporation (including pursuant to a merger) if such action would alter or change the powers, preferences, or special rights of the Series B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 senior to or pari passu with the Series B Preferred Stock) shall not be deemed to be an action which would alter or change the powers, preferences, or special rights of the Series B Preferred Stock so as to affect them adversely;</w:t>
      </w:r>
    </w:p>
    <w:p>
      <w:pPr>
        <w:spacing w:after="0" w:line="191" w:lineRule="exact"/>
        <w:rPr>
          <w:rFonts w:ascii="Arial" w:cs="Arial" w:eastAsia="Arial" w:hAnsi="Arial"/>
          <w:sz w:val="18"/>
          <w:szCs w:val="18"/>
          <w:color w:val="auto"/>
        </w:rPr>
      </w:pPr>
    </w:p>
    <w:p>
      <w:pPr>
        <w:ind w:firstLine="1428"/>
        <w:spacing w:after="0" w:line="277" w:lineRule="auto"/>
        <w:tabs>
          <w:tab w:leader="none" w:pos="183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B Preferred Stock (other than decreases effected by virtue of the conversion into Class B Common Stock or repurchase of such shares of Series B Preferred Stock); or</w:t>
      </w:r>
    </w:p>
    <w:p>
      <w:pPr>
        <w:spacing w:after="0" w:line="170" w:lineRule="exact"/>
        <w:rPr>
          <w:rFonts w:ascii="Arial" w:cs="Arial" w:eastAsia="Arial" w:hAnsi="Arial"/>
          <w:sz w:val="18"/>
          <w:szCs w:val="18"/>
          <w:color w:val="auto"/>
        </w:rPr>
      </w:pPr>
    </w:p>
    <w:p>
      <w:pPr>
        <w:ind w:left="1880" w:hanging="452"/>
        <w:spacing w:after="0"/>
        <w:tabs>
          <w:tab w:leader="none" w:pos="18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amend, change or repeal this Section 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 (i) to (iii) listed above shall apply with respect to actions of any subsidiaries of the Corporation.</w:t>
      </w:r>
    </w:p>
    <w:p>
      <w:pPr>
        <w:spacing w:after="0" w:line="225" w:lineRule="exact"/>
        <w:rPr>
          <w:sz w:val="20"/>
          <w:szCs w:val="20"/>
          <w:color w:val="auto"/>
        </w:rPr>
      </w:pPr>
    </w:p>
    <w:p>
      <w:pPr>
        <w:jc w:val="both"/>
        <w:ind w:right="20" w:firstLine="877"/>
        <w:spacing w:after="0" w:line="311" w:lineRule="auto"/>
        <w:tabs>
          <w:tab w:leader="none" w:pos="125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As long at least 6,880,000 shares of the Series C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C Preferred Stock, voting as a separate class:</w:t>
      </w:r>
    </w:p>
    <w:p>
      <w:pPr>
        <w:spacing w:after="0" w:line="148" w:lineRule="exact"/>
        <w:rPr>
          <w:rFonts w:ascii="Arial" w:cs="Arial" w:eastAsia="Arial" w:hAnsi="Arial"/>
          <w:sz w:val="16"/>
          <w:szCs w:val="16"/>
          <w:color w:val="auto"/>
        </w:rPr>
      </w:pPr>
    </w:p>
    <w:p>
      <w:pPr>
        <w:ind w:right="140" w:firstLine="1428"/>
        <w:spacing w:after="0" w:line="273" w:lineRule="auto"/>
        <w:tabs>
          <w:tab w:leader="none" w:pos="1782"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amend, alter or repeal any provision of the Sixth Amended and Restated Certificate of Incorporation or bylaws of the Corporation (including pursuant to a merger) if such action would alter or change the powers, preferences, or special rights of the Series C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93" w:name="page194"/>
    <w:bookmarkEnd w:id="19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to or pari passu with the Series C Preferred Stock) shall not alone be deemed to be an action which would alter or change the powers, preferences, or special rights of the Series C Preferred Stock so as to affect them adversely;</w:t>
      </w:r>
    </w:p>
    <w:p>
      <w:pPr>
        <w:spacing w:after="0" w:line="170" w:lineRule="exact"/>
        <w:rPr>
          <w:sz w:val="20"/>
          <w:szCs w:val="20"/>
          <w:color w:val="auto"/>
        </w:rPr>
      </w:pPr>
    </w:p>
    <w:p>
      <w:pPr>
        <w:ind w:right="20" w:firstLine="1428"/>
        <w:spacing w:after="0" w:line="263" w:lineRule="auto"/>
        <w:tabs>
          <w:tab w:leader="none" w:pos="18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C Preferred Stock (other than decreases effected by virtue of the conversion into Class B Common Stock or repurchase of such shares of Series C Preferred Stock that is approved by the Board, including the approval of the Series C Director); or</w:t>
      </w:r>
    </w:p>
    <w:p>
      <w:pPr>
        <w:spacing w:after="0" w:line="183" w:lineRule="exact"/>
        <w:rPr>
          <w:rFonts w:ascii="Arial" w:cs="Arial" w:eastAsia="Arial" w:hAnsi="Arial"/>
          <w:sz w:val="18"/>
          <w:szCs w:val="18"/>
          <w:color w:val="auto"/>
        </w:rPr>
      </w:pPr>
    </w:p>
    <w:p>
      <w:pPr>
        <w:ind w:left="1880" w:hanging="452"/>
        <w:spacing w:after="0"/>
        <w:tabs>
          <w:tab w:leader="none" w:pos="1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 change or repeal this Section 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Sub-paragraphs (i) to (iii) listed above shall apply with respect to actions of any subsidiaries of the Corporation.</w:t>
      </w:r>
    </w:p>
    <w:p>
      <w:pPr>
        <w:spacing w:after="0" w:line="225" w:lineRule="exact"/>
        <w:rPr>
          <w:sz w:val="20"/>
          <w:szCs w:val="20"/>
          <w:color w:val="auto"/>
        </w:rPr>
      </w:pPr>
    </w:p>
    <w:p>
      <w:pPr>
        <w:ind w:right="20" w:firstLine="877"/>
        <w:spacing w:after="0" w:line="311" w:lineRule="auto"/>
        <w:tabs>
          <w:tab w:leader="none" w:pos="126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As long at least 5,351,128 shares of the Series D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D Preferred Stock, voting as a separate class:</w:t>
      </w:r>
    </w:p>
    <w:p>
      <w:pPr>
        <w:spacing w:after="0" w:line="148" w:lineRule="exact"/>
        <w:rPr>
          <w:rFonts w:ascii="Arial" w:cs="Arial" w:eastAsia="Arial" w:hAnsi="Arial"/>
          <w:sz w:val="16"/>
          <w:szCs w:val="16"/>
          <w:color w:val="auto"/>
        </w:rPr>
      </w:pPr>
    </w:p>
    <w:p>
      <w:pPr>
        <w:ind w:right="40" w:firstLine="1428"/>
        <w:spacing w:after="0" w:line="291" w:lineRule="auto"/>
        <w:tabs>
          <w:tab w:leader="none" w:pos="178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amend, alter or repeal any provision of the Certificate of Incorporation or bylaws of the Corporation (including pursuant to a merger) if such action would alter or change the powers, preferences, or special rights of the Series D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 senior to or pari passu with the Series D Preferred Stock) shall not alone be deemed to be an action which would alter or change the powers, preferences, or special rights of the Series D Preferred Stock so as to affect them adversely;</w:t>
      </w:r>
    </w:p>
    <w:p>
      <w:pPr>
        <w:spacing w:after="0" w:line="166" w:lineRule="exact"/>
        <w:rPr>
          <w:rFonts w:ascii="Arial" w:cs="Arial" w:eastAsia="Arial" w:hAnsi="Arial"/>
          <w:sz w:val="16"/>
          <w:szCs w:val="16"/>
          <w:color w:val="auto"/>
        </w:rPr>
      </w:pPr>
    </w:p>
    <w:p>
      <w:pPr>
        <w:ind w:right="20" w:firstLine="1428"/>
        <w:spacing w:after="0" w:line="263" w:lineRule="auto"/>
        <w:tabs>
          <w:tab w:leader="none" w:pos="183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D Preferred Stock (other than decreases effected by virtue of the conversion into Class B Common Stock or repurchase of such shares of Series D Preferred Stock that is approved by the Board, including the approval of the Series D Director); or</w:t>
      </w:r>
    </w:p>
    <w:p>
      <w:pPr>
        <w:spacing w:after="0" w:line="183" w:lineRule="exact"/>
        <w:rPr>
          <w:rFonts w:ascii="Arial" w:cs="Arial" w:eastAsia="Arial" w:hAnsi="Arial"/>
          <w:sz w:val="18"/>
          <w:szCs w:val="18"/>
          <w:color w:val="auto"/>
        </w:rPr>
      </w:pPr>
    </w:p>
    <w:p>
      <w:pPr>
        <w:ind w:left="1880" w:hanging="452"/>
        <w:spacing w:after="0"/>
        <w:tabs>
          <w:tab w:leader="none" w:pos="18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 change or repeal this Section 7(d).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Sub-paragraphs (i) to (iii) listed above shall apply with respect to actions of any subsidiaries of the Corporation.</w:t>
      </w:r>
    </w:p>
    <w:p>
      <w:pPr>
        <w:spacing w:after="0" w:line="221" w:lineRule="exact"/>
        <w:rPr>
          <w:sz w:val="20"/>
          <w:szCs w:val="20"/>
          <w:color w:val="auto"/>
        </w:rPr>
      </w:pPr>
    </w:p>
    <w:p>
      <w:pPr>
        <w:ind w:right="380" w:firstLine="436"/>
        <w:spacing w:after="0" w:line="266" w:lineRule="auto"/>
        <w:tabs>
          <w:tab w:leader="none" w:pos="755"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by the provisions of this ARTICLE V to be given to the holders of Preferred Stock shall be deemed given if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in the United States mail, postage prepaid, and addressed to each holder of record at such holder’s address appearing on the books of the Corporation.</w:t>
      </w:r>
    </w:p>
    <w:p>
      <w:pPr>
        <w:spacing w:after="0" w:line="175" w:lineRule="exact"/>
        <w:rPr>
          <w:rFonts w:ascii="Arial" w:cs="Arial" w:eastAsia="Arial" w:hAnsi="Arial"/>
          <w:sz w:val="18"/>
          <w:szCs w:val="18"/>
          <w:color w:val="auto"/>
        </w:rPr>
      </w:pPr>
    </w:p>
    <w:p>
      <w:pPr>
        <w:ind w:firstLine="436"/>
        <w:spacing w:after="0" w:line="314" w:lineRule="auto"/>
        <w:tabs>
          <w:tab w:leader="none" w:pos="755"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Redeemed or Otherwise Acquired Shares</w:t>
      </w:r>
      <w:r>
        <w:rPr>
          <w:rFonts w:ascii="Arial" w:cs="Arial" w:eastAsia="Arial" w:hAnsi="Arial"/>
          <w:sz w:val="16"/>
          <w:szCs w:val="16"/>
          <w:color w:val="auto"/>
        </w:rPr>
        <w:t>. Any shares of Preferred Stock that are redeemed or otherwise acquired by the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Unless otherwise set forth herein, the number of directors that constitute the Board shall be fixed by, or in the manner provided in,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furtherance and not in limitation of the powers conferred by statute, subject to the provisions included herein, the Board is expressly authorized to adopt, amend or repeal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60" w:firstLine="436"/>
        <w:spacing w:after="0" w:line="291" w:lineRule="auto"/>
        <w:tabs>
          <w:tab w:leader="none" w:pos="75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 Neither any amendment nor repeal of this Section 1, nor the adoption of any provision of the Corporation’s Certificate of Incorporation inconsistent with this Section 1, shall eliminate or reduce the effect of this Section 1, in respect of any matter occurring, or any action or proceeding accruing or arising or that, but for this Section 1, would accrue or arise, prior to such amendment, repeal or adoption of an inconsistent provision.</w:t>
      </w:r>
    </w:p>
    <w:p>
      <w:pPr>
        <w:spacing w:after="0" w:line="166" w:lineRule="exact"/>
        <w:rPr>
          <w:rFonts w:ascii="Arial" w:cs="Arial" w:eastAsia="Arial" w:hAnsi="Arial"/>
          <w:sz w:val="16"/>
          <w:szCs w:val="16"/>
          <w:color w:val="auto"/>
        </w:rPr>
      </w:pPr>
    </w:p>
    <w:p>
      <w:pPr>
        <w:ind w:firstLine="436"/>
        <w:spacing w:after="0" w:line="269" w:lineRule="auto"/>
        <w:tabs>
          <w:tab w:leader="none" w:pos="75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Corporation shall have the power to indemnify, to the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 right to indemnification or to advancement of expenses arising under a provision of this Certificate of Incorporation or a bylaw of the Corporation shall not be eliminated or impaired by an amendment to this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195" w:name="page196"/>
    <w:bookmarkEnd w:id="19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9"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Corporation’s Bylaws may provide. The books of the Corporation may be kept (subject to any provision contained in the statutes) outside of the State of Delaware at such place or places as may be designated from time to time by the Board or in the Bylaws of the Corporation.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The Corporation renounces, to the fullest extent permitted by law, any interest or expectancy of the Corporation in, or in being offered an opportunity to participate in, an Excluded Opportunity. 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Excluded Opportunity</w:t>
      </w:r>
      <w:r>
        <w:rPr>
          <w:rFonts w:ascii="Arial" w:cs="Arial" w:eastAsia="Arial" w:hAnsi="Arial"/>
          <w:sz w:val="17"/>
          <w:szCs w:val="17"/>
          <w:i w:val="1"/>
          <w:iCs w:val="1"/>
          <w:color w:val="auto"/>
        </w:rPr>
        <w:t>”</w:t>
      </w:r>
      <w:r>
        <w:rPr>
          <w:rFonts w:ascii="Arial" w:cs="Arial" w:eastAsia="Arial" w:hAnsi="Arial"/>
          <w:sz w:val="17"/>
          <w:szCs w:val="17"/>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Covered Persons</w:t>
      </w:r>
      <w:r>
        <w:rPr>
          <w:rFonts w:ascii="Arial" w:cs="Arial" w:eastAsia="Arial" w:hAnsi="Arial"/>
          <w:sz w:val="17"/>
          <w:szCs w:val="17"/>
          <w:i w:val="1"/>
          <w:iCs w:val="1"/>
          <w:color w:val="auto"/>
        </w:rPr>
        <w:t>”),</w:t>
      </w:r>
      <w:r>
        <w:rPr>
          <w:rFonts w:ascii="Arial" w:cs="Arial" w:eastAsia="Arial" w:hAnsi="Arial"/>
          <w:sz w:val="17"/>
          <w:szCs w:val="17"/>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0"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BYLAWS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Adopted April 21, 2011</w:t>
      </w:r>
    </w:p>
    <w:p>
      <w:pPr>
        <w:sectPr>
          <w:pgSz w:w="11900" w:h="16838" w:orient="portrait"/>
          <w:cols w:equalWidth="0" w:num="1">
            <w:col w:w="11140"/>
          </w:cols>
          <w:pgMar w:left="320" w:top="122"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66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0"/>
                <w:szCs w:val="20"/>
                <w:color w:val="auto"/>
              </w:rPr>
            </w:pPr>
          </w:p>
        </w:tc>
      </w:tr>
      <w:tr>
        <w:trPr>
          <w:trHeight w:val="377"/>
        </w:trPr>
        <w:tc>
          <w:tcPr>
            <w:tcW w:w="8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66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766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766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7660" w:type="dxa"/>
            <w:vAlign w:val="bottom"/>
          </w:tcPr>
          <w:p>
            <w:pPr>
              <w:ind w:left="200"/>
              <w:spacing w:after="0"/>
              <w:rPr>
                <w:sz w:val="20"/>
                <w:szCs w:val="20"/>
                <w:color w:val="auto"/>
              </w:rPr>
            </w:pPr>
            <w:r>
              <w:rPr>
                <w:rFonts w:ascii="Arial" w:cs="Arial" w:eastAsia="Arial" w:hAnsi="Arial"/>
                <w:sz w:val="18"/>
                <w:szCs w:val="18"/>
                <w:color w:val="auto"/>
              </w:rPr>
              <w:t>Notice of Stockholders’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1.5</w:t>
            </w:r>
          </w:p>
        </w:tc>
        <w:tc>
          <w:tcPr>
            <w:tcW w:w="7660" w:type="dxa"/>
            <w:vAlign w:val="bottom"/>
          </w:tcPr>
          <w:p>
            <w:pPr>
              <w:ind w:left="200"/>
              <w:spacing w:after="0"/>
              <w:rPr>
                <w:sz w:val="20"/>
                <w:szCs w:val="20"/>
                <w:color w:val="auto"/>
              </w:rPr>
            </w:pPr>
            <w:r>
              <w:rPr>
                <w:rFonts w:ascii="Arial" w:cs="Arial" w:eastAsia="Arial" w:hAnsi="Arial"/>
                <w:sz w:val="18"/>
                <w:szCs w:val="18"/>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w:t>
            </w:r>
          </w:p>
        </w:tc>
        <w:tc>
          <w:tcPr>
            <w:tcW w:w="7660" w:type="dxa"/>
            <w:vAlign w:val="bottom"/>
          </w:tcPr>
          <w:p>
            <w:pPr>
              <w:ind w:left="200"/>
              <w:spacing w:after="0"/>
              <w:rPr>
                <w:sz w:val="20"/>
                <w:szCs w:val="20"/>
                <w:color w:val="auto"/>
              </w:rPr>
            </w:pPr>
            <w:r>
              <w:rPr>
                <w:rFonts w:ascii="Arial" w:cs="Arial" w:eastAsia="Arial" w:hAnsi="Arial"/>
                <w:sz w:val="18"/>
                <w:szCs w:val="18"/>
                <w:color w:val="auto"/>
              </w:rPr>
              <w:t>Adjourned Meeting;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1.7</w:t>
            </w:r>
          </w:p>
        </w:tc>
        <w:tc>
          <w:tcPr>
            <w:tcW w:w="766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w:t>
            </w:r>
          </w:p>
        </w:tc>
        <w:tc>
          <w:tcPr>
            <w:tcW w:w="7660" w:type="dxa"/>
            <w:vAlign w:val="bottom"/>
          </w:tcPr>
          <w:p>
            <w:pPr>
              <w:ind w:left="200"/>
              <w:spacing w:after="0"/>
              <w:rPr>
                <w:sz w:val="20"/>
                <w:szCs w:val="20"/>
                <w:color w:val="auto"/>
              </w:rPr>
            </w:pPr>
            <w:r>
              <w:rPr>
                <w:rFonts w:ascii="Arial" w:cs="Arial" w:eastAsia="Arial" w:hAnsi="Arial"/>
                <w:sz w:val="18"/>
                <w:szCs w:val="18"/>
                <w:color w:val="auto"/>
              </w:rPr>
              <w:t>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1.9</w:t>
            </w:r>
          </w:p>
        </w:tc>
        <w:tc>
          <w:tcPr>
            <w:tcW w:w="7660" w:type="dxa"/>
            <w:vAlign w:val="bottom"/>
          </w:tcPr>
          <w:p>
            <w:pPr>
              <w:ind w:left="200"/>
              <w:spacing w:after="0"/>
              <w:rPr>
                <w:sz w:val="20"/>
                <w:szCs w:val="20"/>
                <w:color w:val="auto"/>
              </w:rPr>
            </w:pPr>
            <w:r>
              <w:rPr>
                <w:rFonts w:ascii="Arial" w:cs="Arial" w:eastAsia="Arial" w:hAnsi="Arial"/>
                <w:sz w:val="18"/>
                <w:szCs w:val="18"/>
                <w:color w:val="auto"/>
              </w:rPr>
              <w:t>Stockholder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1.10</w:t>
            </w:r>
          </w:p>
        </w:tc>
        <w:tc>
          <w:tcPr>
            <w:tcW w:w="7660" w:type="dxa"/>
            <w:vAlign w:val="bottom"/>
          </w:tcPr>
          <w:p>
            <w:pPr>
              <w:ind w:left="200"/>
              <w:spacing w:after="0"/>
              <w:rPr>
                <w:sz w:val="20"/>
                <w:szCs w:val="20"/>
                <w:color w:val="auto"/>
              </w:rPr>
            </w:pPr>
            <w:r>
              <w:rPr>
                <w:rFonts w:ascii="Arial" w:cs="Arial" w:eastAsia="Arial" w:hAnsi="Arial"/>
                <w:sz w:val="18"/>
                <w:szCs w:val="18"/>
                <w:color w:val="auto"/>
              </w:rPr>
              <w:t>Record Dates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1.11</w:t>
            </w:r>
          </w:p>
        </w:tc>
        <w:tc>
          <w:tcPr>
            <w:tcW w:w="7660" w:type="dxa"/>
            <w:vAlign w:val="bottom"/>
          </w:tcPr>
          <w:p>
            <w:pPr>
              <w:ind w:left="200"/>
              <w:spacing w:after="0"/>
              <w:rPr>
                <w:sz w:val="20"/>
                <w:szCs w:val="20"/>
                <w:color w:val="auto"/>
              </w:rPr>
            </w:pPr>
            <w:r>
              <w:rPr>
                <w:rFonts w:ascii="Arial" w:cs="Arial" w:eastAsia="Arial" w:hAnsi="Arial"/>
                <w:sz w:val="18"/>
                <w:szCs w:val="18"/>
                <w:color w:val="auto"/>
              </w:rPr>
              <w:t>Proxies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1.12</w:t>
            </w:r>
          </w:p>
        </w:tc>
        <w:tc>
          <w:tcPr>
            <w:tcW w:w="766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660" w:type="dxa"/>
            <w:vAlign w:val="bottom"/>
          </w:tcPr>
          <w:p>
            <w:pPr>
              <w:ind w:left="200"/>
              <w:spacing w:after="0"/>
              <w:rPr>
                <w:sz w:val="20"/>
                <w:szCs w:val="20"/>
                <w:color w:val="auto"/>
              </w:rPr>
            </w:pPr>
            <w:r>
              <w:rPr>
                <w:rFonts w:ascii="Arial" w:cs="Arial" w:eastAsia="Arial" w:hAnsi="Arial"/>
                <w:sz w:val="18"/>
                <w:szCs w:val="18"/>
                <w:color w:val="auto"/>
              </w:rPr>
              <w:t>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660" w:type="dxa"/>
            <w:vAlign w:val="bottom"/>
          </w:tcPr>
          <w:p>
            <w:pPr>
              <w:ind w:left="200"/>
              <w:spacing w:after="0"/>
              <w:rPr>
                <w:sz w:val="20"/>
                <w:szCs w:val="20"/>
                <w:color w:val="auto"/>
              </w:rPr>
            </w:pPr>
            <w:r>
              <w:rPr>
                <w:rFonts w:ascii="Arial" w:cs="Arial" w:eastAsia="Arial" w:hAnsi="Arial"/>
                <w:sz w:val="18"/>
                <w:szCs w:val="18"/>
                <w:color w:val="auto"/>
              </w:rPr>
              <w:t>Number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660" w:type="dxa"/>
            <w:vAlign w:val="bottom"/>
          </w:tcPr>
          <w:p>
            <w:pPr>
              <w:ind w:left="200"/>
              <w:spacing w:after="0"/>
              <w:rPr>
                <w:sz w:val="20"/>
                <w:szCs w:val="20"/>
                <w:color w:val="auto"/>
              </w:rPr>
            </w:pPr>
            <w:r>
              <w:rPr>
                <w:rFonts w:ascii="Arial" w:cs="Arial" w:eastAsia="Arial" w:hAnsi="Arial"/>
                <w:sz w:val="18"/>
                <w:szCs w:val="18"/>
                <w:color w:val="auto"/>
              </w:rPr>
              <w:t>Election, Qualification and Term of Office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660" w:type="dxa"/>
            <w:vAlign w:val="bottom"/>
          </w:tcPr>
          <w:p>
            <w:pPr>
              <w:ind w:left="200"/>
              <w:spacing w:after="0"/>
              <w:rPr>
                <w:sz w:val="20"/>
                <w:szCs w:val="20"/>
                <w:color w:val="auto"/>
              </w:rPr>
            </w:pPr>
            <w:r>
              <w:rPr>
                <w:rFonts w:ascii="Arial" w:cs="Arial" w:eastAsia="Arial" w:hAnsi="Arial"/>
                <w:sz w:val="18"/>
                <w:szCs w:val="18"/>
                <w:color w:val="auto"/>
              </w:rPr>
              <w:t>Resignation and Vacancies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660" w:type="dxa"/>
            <w:vAlign w:val="bottom"/>
          </w:tcPr>
          <w:p>
            <w:pPr>
              <w:ind w:left="200"/>
              <w:spacing w:after="0"/>
              <w:rPr>
                <w:sz w:val="20"/>
                <w:szCs w:val="20"/>
                <w:color w:val="auto"/>
              </w:rPr>
            </w:pPr>
            <w:r>
              <w:rPr>
                <w:rFonts w:ascii="Arial" w:cs="Arial" w:eastAsia="Arial" w:hAnsi="Arial"/>
                <w:sz w:val="18"/>
                <w:szCs w:val="18"/>
                <w:color w:val="auto"/>
              </w:rPr>
              <w:t>Place of Meetings; Meetings by Telephone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66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660" w:type="dxa"/>
            <w:vAlign w:val="bottom"/>
          </w:tcPr>
          <w:p>
            <w:pPr>
              <w:ind w:left="200"/>
              <w:spacing w:after="0"/>
              <w:rPr>
                <w:sz w:val="20"/>
                <w:szCs w:val="20"/>
                <w:color w:val="auto"/>
              </w:rPr>
            </w:pPr>
            <w:r>
              <w:rPr>
                <w:rFonts w:ascii="Arial" w:cs="Arial" w:eastAsia="Arial" w:hAnsi="Arial"/>
                <w:sz w:val="18"/>
                <w:szCs w:val="18"/>
                <w:color w:val="auto"/>
              </w:rPr>
              <w:t>Regular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660" w:type="dxa"/>
            <w:vAlign w:val="bottom"/>
          </w:tcPr>
          <w:p>
            <w:pPr>
              <w:ind w:left="200"/>
              <w:spacing w:after="0"/>
              <w:rPr>
                <w:sz w:val="20"/>
                <w:szCs w:val="20"/>
                <w:color w:val="auto"/>
              </w:rPr>
            </w:pPr>
            <w:r>
              <w:rPr>
                <w:rFonts w:ascii="Arial" w:cs="Arial" w:eastAsia="Arial" w:hAnsi="Arial"/>
                <w:sz w:val="18"/>
                <w:szCs w:val="18"/>
                <w:color w:val="auto"/>
              </w:rPr>
              <w:t>Special Meetings;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660" w:type="dxa"/>
            <w:vAlign w:val="bottom"/>
          </w:tcPr>
          <w:p>
            <w:pPr>
              <w:ind w:left="200"/>
              <w:spacing w:after="0"/>
              <w:rPr>
                <w:sz w:val="20"/>
                <w:szCs w:val="20"/>
                <w:color w:val="auto"/>
              </w:rPr>
            </w:pPr>
            <w:r>
              <w:rPr>
                <w:rFonts w:ascii="Arial" w:cs="Arial" w:eastAsia="Arial" w:hAnsi="Arial"/>
                <w:sz w:val="18"/>
                <w:szCs w:val="18"/>
                <w:color w:val="auto"/>
              </w:rPr>
              <w:t>Quorum; 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660" w:type="dxa"/>
            <w:vAlign w:val="bottom"/>
          </w:tcPr>
          <w:p>
            <w:pPr>
              <w:ind w:left="200"/>
              <w:spacing w:after="0"/>
              <w:rPr>
                <w:sz w:val="20"/>
                <w:szCs w:val="20"/>
                <w:color w:val="auto"/>
              </w:rPr>
            </w:pPr>
            <w:r>
              <w:rPr>
                <w:rFonts w:ascii="Arial" w:cs="Arial" w:eastAsia="Arial" w:hAnsi="Arial"/>
                <w:sz w:val="18"/>
                <w:szCs w:val="18"/>
                <w:color w:val="auto"/>
              </w:rPr>
              <w:t>Board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660" w:type="dxa"/>
            <w:vAlign w:val="bottom"/>
          </w:tcPr>
          <w:p>
            <w:pPr>
              <w:ind w:left="200"/>
              <w:spacing w:after="0"/>
              <w:rPr>
                <w:sz w:val="20"/>
                <w:szCs w:val="20"/>
                <w:color w:val="auto"/>
              </w:rPr>
            </w:pPr>
            <w:r>
              <w:rPr>
                <w:rFonts w:ascii="Arial" w:cs="Arial" w:eastAsia="Arial" w:hAnsi="Arial"/>
                <w:sz w:val="18"/>
                <w:szCs w:val="18"/>
                <w:color w:val="auto"/>
              </w:rPr>
              <w:t>Fees and Compensation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660" w:type="dxa"/>
            <w:vAlign w:val="bottom"/>
          </w:tcPr>
          <w:p>
            <w:pPr>
              <w:ind w:left="200"/>
              <w:spacing w:after="0"/>
              <w:rPr>
                <w:sz w:val="20"/>
                <w:szCs w:val="20"/>
                <w:color w:val="auto"/>
              </w:rPr>
            </w:pPr>
            <w:r>
              <w:rPr>
                <w:rFonts w:ascii="Arial" w:cs="Arial" w:eastAsia="Arial" w:hAnsi="Arial"/>
                <w:sz w:val="18"/>
                <w:szCs w:val="18"/>
                <w:color w:val="auto"/>
              </w:rPr>
              <w:t>Removal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66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660" w:type="dxa"/>
            <w:vAlign w:val="bottom"/>
          </w:tcPr>
          <w:p>
            <w:pPr>
              <w:ind w:left="200"/>
              <w:spacing w:after="0"/>
              <w:rPr>
                <w:sz w:val="20"/>
                <w:szCs w:val="20"/>
                <w:color w:val="auto"/>
              </w:rPr>
            </w:pPr>
            <w:r>
              <w:rPr>
                <w:rFonts w:ascii="Arial" w:cs="Arial" w:eastAsia="Arial" w:hAnsi="Arial"/>
                <w:sz w:val="18"/>
                <w:szCs w:val="18"/>
                <w:color w:val="auto"/>
              </w:rPr>
              <w:t>Committee Minutes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660" w:type="dxa"/>
            <w:vAlign w:val="bottom"/>
          </w:tcPr>
          <w:p>
            <w:pPr>
              <w:ind w:left="200"/>
              <w:spacing w:after="0"/>
              <w:rPr>
                <w:sz w:val="20"/>
                <w:szCs w:val="20"/>
                <w:color w:val="auto"/>
              </w:rPr>
            </w:pPr>
            <w:r>
              <w:rPr>
                <w:rFonts w:ascii="Arial" w:cs="Arial" w:eastAsia="Arial" w:hAnsi="Arial"/>
                <w:sz w:val="18"/>
                <w:szCs w:val="18"/>
                <w:color w:val="auto"/>
              </w:rPr>
              <w:t>Meetings and Actions of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660" w:type="dxa"/>
            <w:vAlign w:val="bottom"/>
          </w:tcPr>
          <w:p>
            <w:pPr>
              <w:ind w:left="200"/>
              <w:spacing w:after="0"/>
              <w:rPr>
                <w:sz w:val="20"/>
                <w:szCs w:val="20"/>
                <w:color w:val="auto"/>
              </w:rPr>
            </w:pPr>
            <w:r>
              <w:rPr>
                <w:rFonts w:ascii="Arial" w:cs="Arial" w:eastAsia="Arial" w:hAnsi="Arial"/>
                <w:sz w:val="18"/>
                <w:szCs w:val="18"/>
                <w:color w:val="auto"/>
              </w:rPr>
              <w:t>Subcommittees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6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766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766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766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766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7660" w:type="dxa"/>
            <w:vAlign w:val="bottom"/>
          </w:tcPr>
          <w:p>
            <w:pPr>
              <w:ind w:left="200"/>
              <w:spacing w:after="0"/>
              <w:rPr>
                <w:sz w:val="20"/>
                <w:szCs w:val="20"/>
                <w:color w:val="auto"/>
              </w:rPr>
            </w:pPr>
            <w:r>
              <w:rPr>
                <w:rFonts w:ascii="Arial" w:cs="Arial" w:eastAsia="Arial" w:hAnsi="Arial"/>
                <w:sz w:val="18"/>
                <w:szCs w:val="18"/>
                <w:color w:val="auto"/>
              </w:rPr>
              <w:t>Representation of Shares of Other Corporations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766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309"/>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8140" w:type="dxa"/>
            <w:vAlign w:val="bottom"/>
          </w:tcPr>
          <w:p>
            <w:pPr>
              <w:ind w:left="20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8140" w:type="dxa"/>
            <w:vAlign w:val="bottom"/>
          </w:tcPr>
          <w:p>
            <w:pPr>
              <w:ind w:left="20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8140" w:type="dxa"/>
            <w:vAlign w:val="bottom"/>
          </w:tcPr>
          <w:p>
            <w:pPr>
              <w:ind w:left="200"/>
              <w:spacing w:after="0"/>
              <w:rPr>
                <w:sz w:val="20"/>
                <w:szCs w:val="20"/>
                <w:color w:val="auto"/>
              </w:rPr>
            </w:pPr>
            <w:r>
              <w:rPr>
                <w:rFonts w:ascii="Arial" w:cs="Arial" w:eastAsia="Arial" w:hAnsi="Arial"/>
                <w:sz w:val="18"/>
                <w:szCs w:val="18"/>
                <w:color w:val="auto"/>
              </w:rPr>
              <w:t>Successful Defense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8140" w:type="dxa"/>
            <w:vAlign w:val="bottom"/>
          </w:tcPr>
          <w:p>
            <w:pPr>
              <w:ind w:left="200"/>
              <w:spacing w:after="0"/>
              <w:rPr>
                <w:sz w:val="20"/>
                <w:szCs w:val="20"/>
                <w:color w:val="auto"/>
              </w:rPr>
            </w:pPr>
            <w:r>
              <w:rPr>
                <w:rFonts w:ascii="Arial" w:cs="Arial" w:eastAsia="Arial" w:hAnsi="Arial"/>
                <w:sz w:val="18"/>
                <w:szCs w:val="18"/>
                <w:color w:val="auto"/>
              </w:rPr>
              <w:t>Indemnification of Others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8140" w:type="dxa"/>
            <w:vAlign w:val="bottom"/>
          </w:tcPr>
          <w:p>
            <w:pPr>
              <w:ind w:left="200"/>
              <w:spacing w:after="0"/>
              <w:rPr>
                <w:sz w:val="20"/>
                <w:szCs w:val="20"/>
                <w:color w:val="auto"/>
              </w:rPr>
            </w:pPr>
            <w:r>
              <w:rPr>
                <w:rFonts w:ascii="Arial" w:cs="Arial" w:eastAsia="Arial" w:hAnsi="Arial"/>
                <w:sz w:val="18"/>
                <w:szCs w:val="18"/>
                <w:color w:val="auto"/>
              </w:rPr>
              <w:t>Advanced Payment of 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8140" w:type="dxa"/>
            <w:vAlign w:val="bottom"/>
          </w:tcPr>
          <w:p>
            <w:pPr>
              <w:ind w:left="200"/>
              <w:spacing w:after="0"/>
              <w:rPr>
                <w:sz w:val="20"/>
                <w:szCs w:val="20"/>
                <w:color w:val="auto"/>
              </w:rPr>
            </w:pPr>
            <w:r>
              <w:rPr>
                <w:rFonts w:ascii="Arial" w:cs="Arial" w:eastAsia="Arial" w:hAnsi="Arial"/>
                <w:sz w:val="18"/>
                <w:szCs w:val="18"/>
                <w:color w:val="auto"/>
              </w:rPr>
              <w:t>Limitation on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8140" w:type="dxa"/>
            <w:vAlign w:val="bottom"/>
          </w:tcPr>
          <w:p>
            <w:pPr>
              <w:ind w:left="200"/>
              <w:spacing w:after="0"/>
              <w:rPr>
                <w:sz w:val="20"/>
                <w:szCs w:val="20"/>
                <w:color w:val="auto"/>
              </w:rPr>
            </w:pPr>
            <w:r>
              <w:rPr>
                <w:rFonts w:ascii="Arial" w:cs="Arial" w:eastAsia="Arial" w:hAnsi="Arial"/>
                <w:sz w:val="18"/>
                <w:szCs w:val="18"/>
                <w:color w:val="auto"/>
              </w:rPr>
              <w:t>Determination; Claim</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8140" w:type="dxa"/>
            <w:vAlign w:val="bottom"/>
          </w:tcPr>
          <w:p>
            <w:pPr>
              <w:ind w:left="200"/>
              <w:spacing w:after="0"/>
              <w:rPr>
                <w:sz w:val="20"/>
                <w:szCs w:val="20"/>
                <w:color w:val="auto"/>
              </w:rPr>
            </w:pPr>
            <w:r>
              <w:rPr>
                <w:rFonts w:ascii="Arial" w:cs="Arial" w:eastAsia="Arial" w:hAnsi="Arial"/>
                <w:sz w:val="18"/>
                <w:szCs w:val="18"/>
                <w:color w:val="auto"/>
              </w:rPr>
              <w:t>Non-Exclusivity of Rights</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81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8140" w:type="dxa"/>
            <w:vAlign w:val="bottom"/>
          </w:tcPr>
          <w:p>
            <w:pPr>
              <w:ind w:left="200"/>
              <w:spacing w:after="0"/>
              <w:rPr>
                <w:sz w:val="20"/>
                <w:szCs w:val="20"/>
                <w:color w:val="auto"/>
              </w:rPr>
            </w:pPr>
            <w:r>
              <w:rPr>
                <w:rFonts w:ascii="Arial" w:cs="Arial" w:eastAsia="Arial" w:hAnsi="Arial"/>
                <w:sz w:val="18"/>
                <w:szCs w:val="18"/>
                <w:color w:val="auto"/>
              </w:rPr>
              <w:t>Survival</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8140" w:type="dxa"/>
            <w:vAlign w:val="bottom"/>
          </w:tcPr>
          <w:p>
            <w:pPr>
              <w:ind w:left="200"/>
              <w:spacing w:after="0"/>
              <w:rPr>
                <w:sz w:val="20"/>
                <w:szCs w:val="20"/>
                <w:color w:val="auto"/>
              </w:rPr>
            </w:pPr>
            <w:r>
              <w:rPr>
                <w:rFonts w:ascii="Arial" w:cs="Arial" w:eastAsia="Arial" w:hAnsi="Arial"/>
                <w:sz w:val="18"/>
                <w:szCs w:val="18"/>
                <w:color w:val="auto"/>
              </w:rPr>
              <w:t>Effect of Repeal or Modification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814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8140" w:type="dxa"/>
            <w:vAlign w:val="bottom"/>
          </w:tcPr>
          <w:p>
            <w:pPr>
              <w:ind w:left="200"/>
              <w:spacing w:after="0"/>
              <w:rPr>
                <w:sz w:val="20"/>
                <w:szCs w:val="20"/>
                <w:color w:val="auto"/>
              </w:rPr>
            </w:pPr>
            <w:r>
              <w:rPr>
                <w:rFonts w:ascii="Arial" w:cs="Arial" w:eastAsia="Arial" w:hAnsi="Arial"/>
                <w:sz w:val="18"/>
                <w:szCs w:val="18"/>
                <w:color w:val="auto"/>
              </w:rPr>
              <w:t>Stock Certificates; Partly Paid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8140" w:type="dxa"/>
            <w:vAlign w:val="bottom"/>
          </w:tcPr>
          <w:p>
            <w:pPr>
              <w:ind w:left="200"/>
              <w:spacing w:after="0"/>
              <w:rPr>
                <w:sz w:val="20"/>
                <w:szCs w:val="20"/>
                <w:color w:val="auto"/>
              </w:rPr>
            </w:pPr>
            <w:r>
              <w:rPr>
                <w:rFonts w:ascii="Arial" w:cs="Arial" w:eastAsia="Arial" w:hAnsi="Arial"/>
                <w:sz w:val="18"/>
                <w:szCs w:val="18"/>
                <w:color w:val="auto"/>
              </w:rPr>
              <w:t>Special Designation on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6.3</w:t>
            </w:r>
          </w:p>
        </w:tc>
        <w:tc>
          <w:tcPr>
            <w:tcW w:w="814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6.4</w:t>
            </w:r>
          </w:p>
        </w:tc>
        <w:tc>
          <w:tcPr>
            <w:tcW w:w="81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6.5</w:t>
            </w:r>
          </w:p>
        </w:tc>
        <w:tc>
          <w:tcPr>
            <w:tcW w:w="8140" w:type="dxa"/>
            <w:vAlign w:val="bottom"/>
          </w:tcPr>
          <w:p>
            <w:pPr>
              <w:ind w:left="200"/>
              <w:spacing w:after="0"/>
              <w:rPr>
                <w:sz w:val="20"/>
                <w:szCs w:val="20"/>
                <w:color w:val="auto"/>
              </w:rPr>
            </w:pPr>
            <w:r>
              <w:rPr>
                <w:rFonts w:ascii="Arial" w:cs="Arial" w:eastAsia="Arial" w:hAnsi="Arial"/>
                <w:sz w:val="18"/>
                <w:szCs w:val="18"/>
                <w:color w:val="auto"/>
              </w:rPr>
              <w:t>Stock Transfer Agreements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6.6</w:t>
            </w:r>
          </w:p>
        </w:tc>
        <w:tc>
          <w:tcPr>
            <w:tcW w:w="8140" w:type="dxa"/>
            <w:vAlign w:val="bottom"/>
          </w:tcPr>
          <w:p>
            <w:pPr>
              <w:ind w:left="200"/>
              <w:spacing w:after="0"/>
              <w:rPr>
                <w:sz w:val="20"/>
                <w:szCs w:val="20"/>
                <w:color w:val="auto"/>
              </w:rPr>
            </w:pPr>
            <w:r>
              <w:rPr>
                <w:rFonts w:ascii="Arial" w:cs="Arial" w:eastAsia="Arial" w:hAnsi="Arial"/>
                <w:sz w:val="18"/>
                <w:szCs w:val="18"/>
                <w:color w:val="auto"/>
              </w:rPr>
              <w:t>Registered Stockholders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6.7</w:t>
            </w:r>
          </w:p>
        </w:tc>
        <w:tc>
          <w:tcPr>
            <w:tcW w:w="8140" w:type="dxa"/>
            <w:vAlign w:val="bottom"/>
          </w:tcPr>
          <w:p>
            <w:pPr>
              <w:ind w:left="200"/>
              <w:spacing w:after="0"/>
              <w:rPr>
                <w:sz w:val="20"/>
                <w:szCs w:val="20"/>
                <w:color w:val="auto"/>
              </w:rPr>
            </w:pPr>
            <w:r>
              <w:rPr>
                <w:rFonts w:ascii="Arial" w:cs="Arial" w:eastAsia="Arial" w:hAnsi="Arial"/>
                <w:sz w:val="18"/>
                <w:szCs w:val="18"/>
                <w:color w:val="auto"/>
              </w:rPr>
              <w:t>Transfers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8140" w:type="dxa"/>
            <w:vAlign w:val="bottom"/>
          </w:tcPr>
          <w:p>
            <w:pPr>
              <w:ind w:left="200"/>
              <w:spacing w:after="0"/>
              <w:rPr>
                <w:sz w:val="20"/>
                <w:szCs w:val="20"/>
                <w:color w:val="auto"/>
              </w:rPr>
            </w:pPr>
            <w:r>
              <w:rPr>
                <w:rFonts w:ascii="Arial" w:cs="Arial" w:eastAsia="Arial" w:hAnsi="Arial"/>
                <w:sz w:val="18"/>
                <w:szCs w:val="18"/>
                <w:color w:val="auto"/>
              </w:rPr>
              <w:t>Notice of Stockholder Meetings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8140" w:type="dxa"/>
            <w:vAlign w:val="bottom"/>
          </w:tcPr>
          <w:p>
            <w:pPr>
              <w:ind w:left="200"/>
              <w:spacing w:after="0"/>
              <w:rPr>
                <w:sz w:val="20"/>
                <w:szCs w:val="20"/>
                <w:color w:val="auto"/>
              </w:rPr>
            </w:pPr>
            <w:r>
              <w:rPr>
                <w:rFonts w:ascii="Arial" w:cs="Arial" w:eastAsia="Arial" w:hAnsi="Arial"/>
                <w:sz w:val="18"/>
                <w:szCs w:val="18"/>
                <w:color w:val="auto"/>
              </w:rPr>
              <w:t>Notice by Electronic Transmission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8140" w:type="dxa"/>
            <w:vAlign w:val="bottom"/>
          </w:tcPr>
          <w:p>
            <w:pPr>
              <w:ind w:left="200"/>
              <w:spacing w:after="0"/>
              <w:rPr>
                <w:sz w:val="20"/>
                <w:szCs w:val="20"/>
                <w:color w:val="auto"/>
              </w:rPr>
            </w:pPr>
            <w:r>
              <w:rPr>
                <w:rFonts w:ascii="Arial" w:cs="Arial" w:eastAsia="Arial" w:hAnsi="Arial"/>
                <w:sz w:val="18"/>
                <w:szCs w:val="18"/>
                <w:color w:val="auto"/>
              </w:rPr>
              <w:t>Notice to Stockholders Sharing an Address</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8140" w:type="dxa"/>
            <w:vAlign w:val="bottom"/>
          </w:tcPr>
          <w:p>
            <w:pPr>
              <w:ind w:left="200"/>
              <w:spacing w:after="0"/>
              <w:rPr>
                <w:sz w:val="20"/>
                <w:szCs w:val="20"/>
                <w:color w:val="auto"/>
              </w:rPr>
            </w:pPr>
            <w:r>
              <w:rPr>
                <w:rFonts w:ascii="Arial" w:cs="Arial" w:eastAsia="Arial" w:hAnsi="Arial"/>
                <w:sz w:val="18"/>
                <w:szCs w:val="18"/>
                <w:color w:val="auto"/>
              </w:rPr>
              <w:t>Notice to Person with Whom Communication is Unlawful</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8140" w:type="dxa"/>
            <w:vAlign w:val="bottom"/>
          </w:tcPr>
          <w:p>
            <w:pPr>
              <w:ind w:left="200"/>
              <w:spacing w:after="0"/>
              <w:rPr>
                <w:sz w:val="20"/>
                <w:szCs w:val="20"/>
                <w:color w:val="auto"/>
              </w:rPr>
            </w:pPr>
            <w:r>
              <w:rPr>
                <w:rFonts w:ascii="Arial" w:cs="Arial" w:eastAsia="Arial" w:hAnsi="Arial"/>
                <w:sz w:val="18"/>
                <w:szCs w:val="18"/>
                <w:color w:val="auto"/>
              </w:rPr>
              <w:t>Waiver of Notice</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814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8.2</w:t>
            </w:r>
          </w:p>
        </w:tc>
        <w:tc>
          <w:tcPr>
            <w:tcW w:w="8140" w:type="dxa"/>
            <w:vAlign w:val="bottom"/>
          </w:tcPr>
          <w:p>
            <w:pPr>
              <w:ind w:left="200"/>
              <w:spacing w:after="0"/>
              <w:rPr>
                <w:sz w:val="20"/>
                <w:szCs w:val="20"/>
                <w:color w:val="auto"/>
              </w:rPr>
            </w:pPr>
            <w:r>
              <w:rPr>
                <w:rFonts w:ascii="Arial" w:cs="Arial" w:eastAsia="Arial" w:hAnsi="Arial"/>
                <w:sz w:val="18"/>
                <w:szCs w:val="18"/>
                <w:color w:val="auto"/>
              </w:rPr>
              <w:t>Seal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8.3</w:t>
            </w:r>
          </w:p>
        </w:tc>
        <w:tc>
          <w:tcPr>
            <w:tcW w:w="8140" w:type="dxa"/>
            <w:vAlign w:val="bottom"/>
          </w:tcPr>
          <w:p>
            <w:pPr>
              <w:ind w:left="200"/>
              <w:spacing w:after="0"/>
              <w:rPr>
                <w:sz w:val="20"/>
                <w:szCs w:val="20"/>
                <w:color w:val="auto"/>
              </w:rPr>
            </w:pPr>
            <w:r>
              <w:rPr>
                <w:rFonts w:ascii="Arial" w:cs="Arial" w:eastAsia="Arial" w:hAnsi="Arial"/>
                <w:sz w:val="18"/>
                <w:szCs w:val="18"/>
                <w:color w:val="auto"/>
              </w:rPr>
              <w:t>Annual Report</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8.4</w:t>
            </w:r>
          </w:p>
        </w:tc>
        <w:tc>
          <w:tcPr>
            <w:tcW w:w="814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a – 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80"/>
          </w:cols>
          <w:pgMar w:left="320" w:top="459"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i w:val="1"/>
          <w:iCs w:val="1"/>
          <w:color w:val="auto"/>
        </w:rPr>
        <w:t xml:space="preserve">Place of Meetings. </w:t>
      </w:r>
      <w:r>
        <w:rPr>
          <w:rFonts w:ascii="Arial" w:cs="Arial" w:eastAsia="Arial" w:hAnsi="Arial"/>
          <w:sz w:val="16"/>
          <w:szCs w:val="16"/>
          <w:color w:val="auto"/>
        </w:rPr>
        <w:t>Meetings of stockholders of Zoom Video Communications, Inc. (the “Company”) shall be held at any place, within 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outside the State of Delaware, determined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The Board may, in its sole discretion, determine that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of stockholders shall not be held at any place, but may instead be held solely by means of remote communication as authorized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xml:space="preserve"> In the absence of any such designation or determination, stockholders’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meetings shall be held at the Company’s principal executive office.</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xml:space="preserve">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340" w:hanging="343"/>
        <w:spacing w:after="0"/>
        <w:tabs>
          <w:tab w:leader="none" w:pos="1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400" w:hanging="403"/>
        <w:spacing w:after="0"/>
        <w:tabs>
          <w:tab w:leader="none" w:pos="14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left="120" w:right="180" w:firstLine="877"/>
        <w:spacing w:after="0" w:line="277" w:lineRule="auto"/>
        <w:tabs>
          <w:tab w:leader="none" w:pos="14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i w:val="1"/>
          <w:iCs w:val="1"/>
          <w:color w:val="auto"/>
        </w:rPr>
        <w:t>Notice of Stockholders’ Meetings.</w:t>
      </w:r>
      <w:r>
        <w:rPr>
          <w:rFonts w:ascii="Arial" w:cs="Arial" w:eastAsia="Arial" w:hAnsi="Arial"/>
          <w:sz w:val="18"/>
          <w:szCs w:val="18"/>
          <w:color w:val="auto"/>
        </w:rPr>
        <w:t xml:space="preserve"> Whenever stockholders are required or permitted to take any action at a meeting, a written notice of the meeting shall be given which shall state the place, if any, date and hour of the meeting, the means of remote communications, if any, by which stockholders and proxy</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holders may be deemed to be present in.person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6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as`otherwise provided by law, the certificate of incorporation or these bylaws.</w:t>
      </w:r>
    </w:p>
    <w:p>
      <w:pPr>
        <w:spacing w:after="0" w:line="19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until a quorum is present or represented.</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i w:val="1"/>
          <w:iCs w:val="1"/>
          <w:color w:val="auto"/>
        </w:rPr>
        <w:t>Adjourned Meeting; Notice.</w:t>
      </w:r>
      <w:r>
        <w:rPr>
          <w:rFonts w:ascii="Arial" w:cs="Arial" w:eastAsia="Arial" w:hAnsi="Arial"/>
          <w:sz w:val="18"/>
          <w:szCs w:val="18"/>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91" w:lineRule="exact"/>
        <w:rPr>
          <w:sz w:val="20"/>
          <w:szCs w:val="20"/>
          <w:color w:val="auto"/>
        </w:rPr>
      </w:pPr>
    </w:p>
    <w:p>
      <w:pPr>
        <w:jc w:val="both"/>
        <w:ind w:left="120" w:right="280" w:firstLine="440"/>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1.10 </w:t>
      </w:r>
      <w:r>
        <w:rPr>
          <w:rFonts w:ascii="Arial" w:cs="Arial" w:eastAsia="Arial" w:hAnsi="Arial"/>
          <w:sz w:val="18"/>
          <w:szCs w:val="18"/>
          <w:color w:val="auto"/>
        </w:rPr>
        <w:t>of these bylaws, subject to Section 217 (relating to voting rights of fiduciaries, pledgors and joint owners of stock) and Section 218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trusts and other voting agreements) of the DGCL.</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 xml:space="preserve"> of these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w:t>
      </w:r>
      <w:r>
        <w:rPr>
          <w:rFonts w:ascii="Arial" w:cs="Arial" w:eastAsia="Arial" w:hAnsi="Arial"/>
          <w:sz w:val="16"/>
          <w:szCs w:val="16"/>
          <w:b w:val="1"/>
          <w:bCs w:val="1"/>
          <w:color w:val="auto"/>
        </w:rPr>
        <w:t>all</w:t>
      </w:r>
      <w:r>
        <w:rPr>
          <w:rFonts w:ascii="Arial" w:cs="Arial" w:eastAsia="Arial" w:hAnsi="Arial"/>
          <w:sz w:val="16"/>
          <w:szCs w:val="16"/>
          <w:color w:val="auto"/>
        </w:rPr>
        <w:t xml:space="preserve">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Stockholder Action by Written Consent Without a Meeting.</w:t>
      </w:r>
      <w:r>
        <w:rPr>
          <w:rFonts w:ascii="Arial" w:cs="Arial" w:eastAsia="Arial" w:hAnsi="Arial"/>
          <w:sz w:val="16"/>
          <w:szCs w:val="16"/>
          <w:color w:val="auto"/>
        </w:rPr>
        <w:t xml:space="preserve">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electronic transmission sets forth or is delivered with information from which the Company can determine (i) that the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Dates.</w:t>
      </w:r>
      <w:r>
        <w:rPr>
          <w:rFonts w:ascii="Arial" w:cs="Arial" w:eastAsia="Arial" w:hAnsi="Arial"/>
          <w:sz w:val="16"/>
          <w:szCs w:val="16"/>
          <w:color w:val="auto"/>
        </w:rPr>
        <w:t xml:space="preserve">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1.10 at the adjourned meeting.</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xml:space="preserve">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xml:space="preserve">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xml:space="preserve">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45" w:lineRule="exact"/>
        <w:rPr>
          <w:sz w:val="20"/>
          <w:szCs w:val="20"/>
          <w:color w:val="auto"/>
        </w:rPr>
      </w:pPr>
    </w:p>
    <w:p>
      <w:pPr>
        <w:ind w:left="120" w:right="80" w:firstLine="440"/>
        <w:spacing w:after="0" w:line="30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1.9 </w:t>
      </w:r>
      <w:r>
        <w:rPr>
          <w:rFonts w:ascii="Arial" w:cs="Arial" w:eastAsia="Arial" w:hAnsi="Arial"/>
          <w:sz w:val="16"/>
          <w:szCs w:val="16"/>
          <w:color w:val="auto"/>
        </w:rPr>
        <w:t>of these bylaws, directors shall be elected at each annual meeting of stockholders. Directors need not be stockholders unless so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xml:space="preserve">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left="120" w:firstLine="877"/>
        <w:spacing w:after="0" w:line="263" w:lineRule="auto"/>
        <w:tabs>
          <w:tab w:leader="none" w:pos="13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jc w:val="both"/>
        <w:ind w:left="120" w:right="200" w:firstLine="877"/>
        <w:spacing w:after="0" w:line="263" w:lineRule="auto"/>
        <w:tabs>
          <w:tab w:leader="none" w:pos="13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xml:space="preserve"> The Board may hold meetings, both regular and special, either within or outside the State of Delaware.</w:t>
      </w:r>
    </w:p>
    <w:p>
      <w:pPr>
        <w:spacing w:after="0" w:line="170"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Conduct of Business.</w:t>
      </w:r>
      <w:r>
        <w:rPr>
          <w:rFonts w:ascii="Arial" w:cs="Arial" w:eastAsia="Arial" w:hAnsi="Arial"/>
          <w:sz w:val="18"/>
          <w:szCs w:val="18"/>
          <w:color w:val="auto"/>
        </w:rPr>
        <w:t xml:space="preserve">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Regular meetings of the Board may be held without notice at such time and at such place as shall from time to time be determined by the Board.</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Special Meetings; Notice.</w:t>
      </w:r>
      <w:r>
        <w:rPr>
          <w:rFonts w:ascii="Arial" w:cs="Arial" w:eastAsia="Arial" w:hAnsi="Arial"/>
          <w:sz w:val="18"/>
          <w:szCs w:val="18"/>
          <w:color w:val="auto"/>
        </w:rPr>
        <w:t xml:space="preserve">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340" w:hanging="343"/>
        <w:spacing w:after="0"/>
        <w:tabs>
          <w:tab w:leader="none" w:pos="1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400" w:hanging="403"/>
        <w:spacing w:after="0"/>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440" w:hanging="443"/>
        <w:spacing w:after="0"/>
        <w:tabs>
          <w:tab w:leader="none" w:pos="1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440" w:hanging="443"/>
        <w:spacing w:after="0"/>
        <w:tabs>
          <w:tab w:leader="none" w:pos="1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Quorum; Voting.</w:t>
      </w:r>
      <w:r>
        <w:rPr>
          <w:rFonts w:ascii="Arial" w:cs="Arial" w:eastAsia="Arial" w:hAnsi="Arial"/>
          <w:sz w:val="18"/>
          <w:szCs w:val="18"/>
          <w:color w:val="auto"/>
        </w:rPr>
        <w:t xml:space="preserve">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60"/>
          </w:cols>
          <w:pgMar w:left="320" w:top="459" w:right="6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Board Action by Written Consent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xml:space="preserve">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i w:val="1"/>
          <w:iCs w:val="1"/>
          <w:color w:val="auto"/>
        </w:rPr>
        <w:t>Removal of Directors.</w:t>
      </w:r>
      <w:r>
        <w:rPr>
          <w:rFonts w:ascii="Arial" w:cs="Arial" w:eastAsia="Arial" w:hAnsi="Arial"/>
          <w:sz w:val="16"/>
          <w:szCs w:val="16"/>
          <w:color w:val="auto"/>
        </w:rPr>
        <w:t xml:space="preserve">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xml:space="preserve">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6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i w:val="1"/>
          <w:iCs w:val="1"/>
          <w:color w:val="auto"/>
        </w:rPr>
        <w:t xml:space="preserve">Committee Minutes. </w:t>
      </w:r>
      <w:r>
        <w:rPr>
          <w:rFonts w:ascii="Arial" w:cs="Arial" w:eastAsia="Arial" w:hAnsi="Arial"/>
          <w:sz w:val="16"/>
          <w:szCs w:val="16"/>
          <w:color w:val="auto"/>
        </w:rPr>
        <w:t>Each committee shall keep regular minutes of its meetings and report the same to the Board when required.</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xml:space="preserve"> Meetings and actions of committees shall be governed by, and held and taken in accordance with, the provisions of:</w:t>
      </w:r>
    </w:p>
    <w:p>
      <w:pPr>
        <w:spacing w:after="0" w:line="166" w:lineRule="exact"/>
        <w:rPr>
          <w:sz w:val="20"/>
          <w:szCs w:val="20"/>
          <w:color w:val="auto"/>
        </w:rPr>
      </w:pPr>
    </w:p>
    <w:p>
      <w:pPr>
        <w:ind w:left="1340" w:hanging="343"/>
        <w:spacing w:after="0"/>
        <w:tabs>
          <w:tab w:leader="none" w:pos="13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25" w:lineRule="exact"/>
        <w:rPr>
          <w:rFonts w:ascii="Arial" w:cs="Arial" w:eastAsia="Arial" w:hAnsi="Arial"/>
          <w:sz w:val="18"/>
          <w:szCs w:val="18"/>
          <w:color w:val="auto"/>
        </w:rPr>
      </w:pPr>
    </w:p>
    <w:p>
      <w:pPr>
        <w:ind w:left="1400" w:hanging="403"/>
        <w:spacing w:after="0"/>
        <w:tabs>
          <w:tab w:leader="none" w:pos="140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440" w:hanging="443"/>
        <w:spacing w:after="0"/>
        <w:tabs>
          <w:tab w:leader="none" w:pos="14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40" w:hanging="443"/>
        <w:spacing w:after="0"/>
        <w:tabs>
          <w:tab w:leader="none" w:pos="144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380" w:hanging="383"/>
        <w:spacing w:after="0"/>
        <w:tabs>
          <w:tab w:leader="none" w:pos="138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440" w:hanging="443"/>
        <w:spacing w:after="0"/>
        <w:tabs>
          <w:tab w:leader="none" w:pos="144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p>
    <w:p>
      <w:pPr>
        <w:spacing w:after="0" w:line="248" w:lineRule="exact"/>
        <w:rPr>
          <w:sz w:val="20"/>
          <w:szCs w:val="20"/>
          <w:color w:val="auto"/>
        </w:rPr>
      </w:pPr>
    </w:p>
    <w:p>
      <w:pPr>
        <w:ind w:left="1340" w:hanging="343"/>
        <w:spacing w:after="0"/>
        <w:tabs>
          <w:tab w:leader="none" w:pos="13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400" w:hanging="403"/>
        <w:spacing w:after="0"/>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120" w:right="120" w:firstLine="877"/>
        <w:spacing w:after="0" w:line="342" w:lineRule="auto"/>
        <w:tabs>
          <w:tab w:leader="none" w:pos="145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2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xml:space="preserve">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xml:space="preserve">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4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xml:space="preserve">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3"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i w:val="1"/>
          <w:iCs w:val="1"/>
          <w:color w:val="auto"/>
        </w:rPr>
        <w:t xml:space="preserve">Vacancies in Offices. </w:t>
      </w:r>
      <w:r>
        <w:rPr>
          <w:rFonts w:ascii="Arial" w:cs="Arial" w:eastAsia="Arial" w:hAnsi="Arial"/>
          <w:sz w:val="16"/>
          <w:szCs w:val="16"/>
          <w:color w:val="auto"/>
        </w:rPr>
        <w:t>Any vacancy occurring in any office of the Company shall be filled by the Board or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4.3.</w:t>
      </w:r>
    </w:p>
    <w:p>
      <w:pPr>
        <w:spacing w:after="0" w:line="22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i w:val="1"/>
          <w:iCs w:val="1"/>
          <w:color w:val="auto"/>
        </w:rPr>
        <w:t>Representation of Shares of Other Corporations.</w:t>
      </w:r>
      <w:r>
        <w:rPr>
          <w:rFonts w:ascii="Arial" w:cs="Arial" w:eastAsia="Arial" w:hAnsi="Arial"/>
          <w:sz w:val="16"/>
          <w:szCs w:val="16"/>
          <w:color w:val="auto"/>
        </w:rPr>
        <w:t xml:space="preserve">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xml:space="preserve">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Indemnification of Directors and Officers in Third Party Proceedings.</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or its equivalent, shall not, of itself, create a presumption that the person did not act in good faith and in a manner which such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believed to be in or not opposed to the best interests of the Company, and, with respect to any criminal action or proceeding, had reasonable cause to believe that such person’s conduct was unlawful.</w:t>
      </w:r>
    </w:p>
    <w:p>
      <w:pPr>
        <w:spacing w:after="0" w:line="179"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Indemnification of Directors and Officers in Actions by or in the Right of the Company.</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8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i w:val="1"/>
          <w:iCs w:val="1"/>
          <w:color w:val="auto"/>
        </w:rPr>
        <w:t>Advanced Payment of Expenses.</w:t>
      </w:r>
      <w:r>
        <w:rPr>
          <w:rFonts w:ascii="Arial" w:cs="Arial" w:eastAsia="Arial" w:hAnsi="Arial"/>
          <w:sz w:val="17"/>
          <w:szCs w:val="17"/>
          <w:color w:val="auto"/>
        </w:rPr>
        <w:t xml:space="preserve"> Expenses (including attorneys’ fees)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or the DGCL. Such expenses (including attorneys’ fees)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for which indemnity is excluded pursuant to these bylaws, but shall apply to any Proceeding referenced in </w:t>
      </w:r>
      <w:r>
        <w:rPr>
          <w:rFonts w:ascii="Arial" w:cs="Arial" w:eastAsia="Arial" w:hAnsi="Arial"/>
          <w:sz w:val="17"/>
          <w:szCs w:val="17"/>
          <w:b w:val="1"/>
          <w:bCs w:val="1"/>
          <w:color w:val="auto"/>
        </w:rPr>
        <w:t>section 5.6(H)</w:t>
      </w:r>
      <w:r>
        <w:rPr>
          <w:rFonts w:ascii="Arial" w:cs="Arial" w:eastAsia="Arial" w:hAnsi="Arial"/>
          <w:sz w:val="17"/>
          <w:szCs w:val="17"/>
          <w:color w:val="auto"/>
        </w:rPr>
        <w:t xml:space="preserve"> or </w:t>
      </w:r>
      <w:r>
        <w:rPr>
          <w:rFonts w:ascii="Arial" w:cs="Arial" w:eastAsia="Arial" w:hAnsi="Arial"/>
          <w:sz w:val="17"/>
          <w:szCs w:val="17"/>
          <w:b w:val="1"/>
          <w:bCs w:val="1"/>
          <w:color w:val="auto"/>
        </w:rPr>
        <w:t>5.6(iii)</w:t>
      </w:r>
      <w:r>
        <w:rPr>
          <w:rFonts w:ascii="Arial" w:cs="Arial" w:eastAsia="Arial" w:hAnsi="Arial"/>
          <w:sz w:val="17"/>
          <w:szCs w:val="17"/>
          <w:color w:val="auto"/>
        </w:rPr>
        <w:t xml:space="preserve"> prior to a determination that the person is not entitled to be indemnified by the Company.</w:t>
      </w:r>
    </w:p>
    <w:p>
      <w:pPr>
        <w:spacing w:after="0" w:line="177"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 xml:space="preserve">Notwithstanding the foregoing, unless otherwise determined pursuant to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w:t>
      </w:r>
    </w:p>
    <w:p>
      <w:pPr>
        <w:spacing w:after="0" w:line="2" w:lineRule="exact"/>
        <w:rPr>
          <w:sz w:val="20"/>
          <w:szCs w:val="20"/>
          <w:color w:val="auto"/>
        </w:rPr>
      </w:pPr>
    </w:p>
    <w:p>
      <w:pPr>
        <w:ind w:left="120" w:right="180" w:hanging="4"/>
        <w:spacing w:after="0" w:line="255" w:lineRule="auto"/>
        <w:tabs>
          <w:tab w:leader="none" w:pos="43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2" w:lineRule="exact"/>
        <w:rPr>
          <w:rFonts w:ascii="Arial" w:cs="Arial" w:eastAsia="Arial" w:hAnsi="Arial"/>
          <w:sz w:val="18"/>
          <w:szCs w:val="18"/>
          <w:color w:val="auto"/>
        </w:rPr>
      </w:pPr>
    </w:p>
    <w:p>
      <w:pPr>
        <w:ind w:left="5540" w:hanging="108"/>
        <w:spacing w:after="0"/>
        <w:tabs>
          <w:tab w:leader="none" w:pos="55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Limitation on Indemnification.</w:t>
      </w:r>
      <w:r>
        <w:rPr>
          <w:rFonts w:ascii="Arial" w:cs="Arial" w:eastAsia="Arial" w:hAnsi="Arial"/>
          <w:sz w:val="18"/>
          <w:szCs w:val="18"/>
          <w:color w:val="auto"/>
        </w:rPr>
        <w:t xml:space="preserve"> Subject to the requirements in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and the DGCL, the Company shall not be obligated to indemnify any person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in connection with any Proceeding (or any part of any Proceeding):</w:t>
      </w:r>
    </w:p>
    <w:p>
      <w:pPr>
        <w:spacing w:after="0" w:line="166" w:lineRule="exact"/>
        <w:rPr>
          <w:sz w:val="20"/>
          <w:szCs w:val="20"/>
          <w:color w:val="auto"/>
        </w:rPr>
      </w:pPr>
    </w:p>
    <w:p>
      <w:pPr>
        <w:ind w:left="120" w:right="20" w:firstLine="877"/>
        <w:spacing w:after="0" w:line="277" w:lineRule="auto"/>
        <w:tabs>
          <w:tab w:leader="none" w:pos="135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left="120" w:right="80" w:firstLine="877"/>
        <w:spacing w:after="0" w:line="263" w:lineRule="auto"/>
        <w:tabs>
          <w:tab w:leader="none" w:pos="140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83" w:lineRule="exact"/>
        <w:rPr>
          <w:rFonts w:ascii="Arial" w:cs="Arial" w:eastAsia="Arial" w:hAnsi="Arial"/>
          <w:sz w:val="18"/>
          <w:szCs w:val="18"/>
          <w:color w:val="auto"/>
        </w:rPr>
      </w:pPr>
    </w:p>
    <w:p>
      <w:pPr>
        <w:ind w:left="120" w:right="40" w:firstLine="877"/>
        <w:spacing w:after="0" w:line="296" w:lineRule="auto"/>
        <w:tabs>
          <w:tab w:leader="none" w:pos="145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xml:space="preserve">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1" w:lineRule="exact"/>
        <w:rPr>
          <w:rFonts w:ascii="Arial" w:cs="Arial" w:eastAsia="Arial" w:hAnsi="Arial"/>
          <w:sz w:val="16"/>
          <w:szCs w:val="16"/>
          <w:color w:val="auto"/>
        </w:rPr>
      </w:pPr>
    </w:p>
    <w:p>
      <w:pPr>
        <w:ind w:left="120" w:firstLine="877"/>
        <w:spacing w:after="0" w:line="287" w:lineRule="auto"/>
        <w:tabs>
          <w:tab w:leader="none" w:pos="144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w:t>
      </w:r>
    </w:p>
    <w:p>
      <w:pPr>
        <w:spacing w:after="0" w:line="2" w:lineRule="exact"/>
        <w:rPr>
          <w:rFonts w:ascii="Arial" w:cs="Arial" w:eastAsia="Arial" w:hAnsi="Arial"/>
          <w:sz w:val="16"/>
          <w:szCs w:val="16"/>
          <w:color w:val="auto"/>
        </w:rPr>
      </w:pPr>
    </w:p>
    <w:p>
      <w:pPr>
        <w:ind w:left="360" w:hanging="244"/>
        <w:spacing w:after="0"/>
        <w:tabs>
          <w:tab w:leader="none" w:pos="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otherwise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 xml:space="preserve"> or (d) otherwise required by applicable law; or</w:t>
      </w:r>
    </w:p>
    <w:p>
      <w:pPr>
        <w:spacing w:after="0" w:line="210" w:lineRule="exact"/>
        <w:rPr>
          <w:rFonts w:ascii="Arial" w:cs="Arial" w:eastAsia="Arial" w:hAnsi="Arial"/>
          <w:sz w:val="18"/>
          <w:szCs w:val="18"/>
          <w:color w:val="auto"/>
        </w:rPr>
      </w:pPr>
    </w:p>
    <w:p>
      <w:pPr>
        <w:ind w:left="1380" w:hanging="383"/>
        <w:spacing w:after="0"/>
        <w:tabs>
          <w:tab w:leader="none" w:pos="13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i w:val="1"/>
          <w:iCs w:val="1"/>
          <w:color w:val="auto"/>
        </w:rPr>
        <w:t>Determination; Claim.</w:t>
      </w:r>
      <w:r>
        <w:rPr>
          <w:rFonts w:ascii="Arial" w:cs="Arial" w:eastAsia="Arial" w:hAnsi="Arial"/>
          <w:sz w:val="16"/>
          <w:szCs w:val="16"/>
          <w:color w:val="auto"/>
        </w:rPr>
        <w:t xml:space="preserve"> If a claim for indemnification or advancement of expenses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6"/>
          <w:szCs w:val="16"/>
          <w:b w:val="1"/>
          <w:bCs w:val="1"/>
          <w:color w:val="auto"/>
        </w:rPr>
        <w:t>section 5.5.</w:t>
      </w:r>
      <w:r>
        <w:rPr>
          <w:rFonts w:ascii="Arial" w:cs="Arial" w:eastAsia="Arial" w:hAnsi="Arial"/>
          <w:sz w:val="16"/>
          <w:szCs w:val="16"/>
          <w:color w:val="auto"/>
        </w:rPr>
        <w:t xml:space="preserve"> In any such suit, the Company shall, to the fullest extent not prohibited by law, have the burden of proving that the claimant is not entitled to the requested indemnification or advancement of expenses.</w:t>
      </w:r>
    </w:p>
    <w:p>
      <w:pPr>
        <w:spacing w:after="0" w:line="161"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xml:space="preserve"> The Company may purchase and maintain insurance on behalf of any person who is or was a director, officer, employee or agent of the Company, or is or was serving at the request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0" w:lineRule="exact"/>
        <w:rPr>
          <w:sz w:val="20"/>
          <w:szCs w:val="20"/>
          <w:color w:val="auto"/>
        </w:rPr>
      </w:pPr>
    </w:p>
    <w:p>
      <w:pPr>
        <w:ind w:left="120" w:right="360" w:firstLine="440"/>
        <w:spacing w:after="0" w:line="34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i w:val="1"/>
          <w:iCs w:val="1"/>
          <w:color w:val="auto"/>
        </w:rPr>
        <w:t>Survival.</w:t>
      </w:r>
      <w:r>
        <w:rPr>
          <w:rFonts w:ascii="Arial" w:cs="Arial" w:eastAsia="Arial" w:hAnsi="Arial"/>
          <w:sz w:val="16"/>
          <w:szCs w:val="16"/>
          <w:color w:val="auto"/>
        </w:rPr>
        <w:t xml:space="preserve"> The rights to indemnification and advancement of expenses conferred by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continue as to a person who has ceased to be a director, officer, employee or agent and shall inure to the benefit of the heirs, executors and administrators of such a person.</w:t>
      </w:r>
    </w:p>
    <w:p>
      <w:pPr>
        <w:spacing w:after="0" w:line="116"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amendment, alteration or repeal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such amendment, alteration or repeal.</w:t>
      </w:r>
    </w:p>
    <w:p>
      <w:pPr>
        <w:spacing w:after="0" w:line="1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xml:space="preserve">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xml:space="preserve"> shall include any excise taxes assessed on a person with respect to an employee benefit plan; and references to </w:t>
      </w:r>
      <w:r>
        <w:rPr>
          <w:rFonts w:ascii="Arial" w:cs="Arial" w:eastAsia="Arial" w:hAnsi="Arial"/>
          <w:sz w:val="16"/>
          <w:szCs w:val="16"/>
          <w:b w:val="1"/>
          <w:bCs w:val="1"/>
          <w:color w:val="auto"/>
        </w:rPr>
        <w:t>“serving at the request of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shall include any service as a director, officer, employee or agent of the Company which imposes duties on, or involves services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 to the best interests of the Company”</w:t>
      </w:r>
      <w:r>
        <w:rPr>
          <w:rFonts w:ascii="Arial" w:cs="Arial" w:eastAsia="Arial" w:hAnsi="Arial"/>
          <w:sz w:val="16"/>
          <w:szCs w:val="16"/>
          <w:color w:val="auto"/>
        </w:rPr>
        <w:t xml:space="preserve"> as referred to in this </w:t>
      </w:r>
      <w:r>
        <w:rPr>
          <w:rFonts w:ascii="Arial" w:cs="Arial" w:eastAsia="Arial" w:hAnsi="Arial"/>
          <w:sz w:val="16"/>
          <w:szCs w:val="16"/>
          <w:b w:val="1"/>
          <w:bCs w:val="1"/>
          <w:color w:val="auto"/>
        </w:rPr>
        <w:t>Article V.</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STOCK</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the Company shall be represented by certificates,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Board may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Special Designation on Certificates.</w:t>
      </w:r>
      <w:r>
        <w:rPr>
          <w:rFonts w:ascii="Arial" w:cs="Arial" w:eastAsia="Arial" w:hAnsi="Arial"/>
          <w:sz w:val="17"/>
          <w:szCs w:val="17"/>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Sections 156, 202(a) or 218(a)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Dividends.</w:t>
      </w:r>
      <w:r>
        <w:rPr>
          <w:rFonts w:ascii="Arial" w:cs="Arial" w:eastAsia="Arial" w:hAnsi="Arial"/>
          <w:sz w:val="18"/>
          <w:szCs w:val="18"/>
          <w:color w:val="auto"/>
        </w:rPr>
        <w:t xml:space="preserve">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Stock Transfer Agreements.</w:t>
      </w:r>
      <w:r>
        <w:rPr>
          <w:rFonts w:ascii="Arial" w:cs="Arial" w:eastAsia="Arial" w:hAnsi="Arial"/>
          <w:sz w:val="18"/>
          <w:szCs w:val="18"/>
          <w:color w:val="auto"/>
        </w:rPr>
        <w:t xml:space="preserve">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i w:val="1"/>
          <w:iCs w:val="1"/>
          <w:color w:val="auto"/>
        </w:rPr>
        <w:t xml:space="preserve">Registered Stockholders. </w:t>
      </w:r>
      <w:r>
        <w:rPr>
          <w:rFonts w:ascii="Arial" w:cs="Arial" w:eastAsia="Arial" w:hAnsi="Arial"/>
          <w:sz w:val="15"/>
          <w:szCs w:val="15"/>
          <w:color w:val="auto"/>
        </w:rPr>
        <w:t>The Company:</w:t>
      </w:r>
    </w:p>
    <w:p>
      <w:pPr>
        <w:spacing w:after="0" w:line="117" w:lineRule="exact"/>
        <w:rPr>
          <w:sz w:val="20"/>
          <w:szCs w:val="20"/>
          <w:color w:val="auto"/>
        </w:rPr>
      </w:pPr>
    </w:p>
    <w:p>
      <w:pPr>
        <w:ind w:left="120" w:right="140" w:firstLine="877"/>
        <w:spacing w:after="0" w:line="277" w:lineRule="auto"/>
        <w:tabs>
          <w:tab w:leader="none" w:pos="13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400" w:hanging="403"/>
        <w:spacing w:after="0"/>
        <w:tabs>
          <w:tab w:leader="none" w:pos="14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left="120" w:right="520" w:firstLine="877"/>
        <w:spacing w:after="0" w:line="277" w:lineRule="auto"/>
        <w:tabs>
          <w:tab w:leader="none" w:pos="14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xml:space="preserve">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Notice by Electronic Transmission.</w:t>
      </w:r>
      <w:r>
        <w:rPr>
          <w:rFonts w:ascii="Arial" w:cs="Arial" w:eastAsia="Arial" w:hAnsi="Arial"/>
          <w:sz w:val="18"/>
          <w:szCs w:val="18"/>
          <w:color w:val="auto"/>
        </w:rPr>
        <w:t xml:space="preserve">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8" w:lineRule="exact"/>
        <w:rPr>
          <w:sz w:val="20"/>
          <w:szCs w:val="20"/>
          <w:color w:val="auto"/>
        </w:rPr>
      </w:pPr>
    </w:p>
    <w:p>
      <w:pPr>
        <w:ind w:left="1340" w:hanging="343"/>
        <w:spacing w:after="0"/>
        <w:tabs>
          <w:tab w:leader="none" w:pos="13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 is unable to deliver by electronic transmission two consecutive notices given by the Company in accordance with such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consent; and</w:t>
      </w:r>
    </w:p>
    <w:p>
      <w:pPr>
        <w:spacing w:after="0" w:line="210" w:lineRule="exact"/>
        <w:rPr>
          <w:rFonts w:ascii="Arial" w:cs="Arial" w:eastAsia="Arial" w:hAnsi="Arial"/>
          <w:sz w:val="16"/>
          <w:szCs w:val="16"/>
          <w:color w:val="auto"/>
        </w:rPr>
      </w:pPr>
    </w:p>
    <w:p>
      <w:pPr>
        <w:ind w:left="120" w:right="420" w:firstLine="877"/>
        <w:spacing w:after="0" w:line="277" w:lineRule="auto"/>
        <w:tabs>
          <w:tab w:leader="none" w:pos="14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340" w:hanging="343"/>
        <w:spacing w:after="0"/>
        <w:tabs>
          <w:tab w:leader="none" w:pos="1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00" w:hanging="403"/>
        <w:spacing w:after="0"/>
        <w:tabs>
          <w:tab w:leader="none" w:pos="14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236" w:lineRule="exact"/>
        <w:rPr>
          <w:rFonts w:ascii="Arial" w:cs="Arial" w:eastAsia="Arial" w:hAnsi="Arial"/>
          <w:sz w:val="17"/>
          <w:szCs w:val="17"/>
          <w:color w:val="auto"/>
        </w:rPr>
      </w:pPr>
    </w:p>
    <w:p>
      <w:pPr>
        <w:ind w:left="1440" w:hanging="443"/>
        <w:spacing w:after="0"/>
        <w:tabs>
          <w:tab w:leader="none" w:pos="14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420" w:hanging="304"/>
        <w:spacing w:after="0"/>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440" w:hanging="443"/>
        <w:spacing w:after="0"/>
        <w:tabs>
          <w:tab w:leader="none" w:pos="14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xml:space="preserve">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i w:val="1"/>
          <w:iCs w:val="1"/>
          <w:color w:val="auto"/>
        </w:rPr>
        <w:t>Waiver of Notice.</w:t>
      </w:r>
      <w:r>
        <w:rPr>
          <w:rFonts w:ascii="Arial" w:cs="Arial" w:eastAsia="Arial" w:hAnsi="Arial"/>
          <w:sz w:val="17"/>
          <w:szCs w:val="17"/>
          <w:color w:val="auto"/>
        </w:rPr>
        <w:t xml:space="preserv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The fiscal year of the Company shall be fixed by resolution of the Board and may be changed by the Board.</w:t>
      </w:r>
    </w:p>
    <w:p>
      <w:pPr>
        <w:spacing w:after="0" w:line="22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Seal.</w:t>
      </w:r>
      <w:r>
        <w:rPr>
          <w:rFonts w:ascii="Arial" w:cs="Arial" w:eastAsia="Arial" w:hAnsi="Arial"/>
          <w:sz w:val="16"/>
          <w:szCs w:val="16"/>
          <w:color w:val="auto"/>
        </w:rPr>
        <w:t xml:space="preserve">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xml:space="preserve">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xml:space="preserve">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60"/>
          </w:cols>
          <w:pgMar w:left="32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1 TO THE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THIS AMENDMENT NO. 1 TO THE BYLAWS of Zoom Video Communications, Inc., a Delaware corporation (the “</w:t>
      </w:r>
      <w:r>
        <w:rPr>
          <w:rFonts w:ascii="Arial" w:cs="Arial" w:eastAsia="Arial" w:hAnsi="Arial"/>
          <w:sz w:val="18"/>
          <w:szCs w:val="18"/>
          <w:b w:val="1"/>
          <w:bCs w:val="1"/>
          <w:color w:val="auto"/>
        </w:rPr>
        <w:t>Bylaws</w:t>
      </w:r>
      <w:r>
        <w:rPr>
          <w:rFonts w:ascii="Arial" w:cs="Arial" w:eastAsia="Arial" w:hAnsi="Arial"/>
          <w:sz w:val="18"/>
          <w:szCs w:val="18"/>
          <w:color w:val="auto"/>
        </w:rPr>
        <w:t>”), is made as of this 14th day of February, 2018.</w:t>
      </w:r>
    </w:p>
    <w:p>
      <w:pPr>
        <w:spacing w:after="0" w:line="166" w:lineRule="exact"/>
        <w:rPr>
          <w:sz w:val="20"/>
          <w:szCs w:val="20"/>
          <w:color w:val="auto"/>
        </w:rPr>
      </w:pPr>
    </w:p>
    <w:p>
      <w:pPr>
        <w:ind w:left="560"/>
        <w:spacing w:after="0"/>
        <w:tabs>
          <w:tab w:leader="none" w:pos="8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Bylaws are hereby amended by the addition thereto of a new Article X, which reads in its entirety as follows: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RESTRICTIONS ON TRANSFER</w:t>
      </w:r>
    </w:p>
    <w:p>
      <w:pPr>
        <w:spacing w:after="0" w:line="211"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i w:val="1"/>
          <w:iCs w:val="1"/>
          <w:color w:val="auto"/>
        </w:rPr>
        <w:t>Restrictions on Transfer</w:t>
      </w:r>
      <w:r>
        <w:rPr>
          <w:rFonts w:ascii="Arial" w:cs="Arial" w:eastAsia="Arial" w:hAnsi="Arial"/>
          <w:sz w:val="16"/>
          <w:szCs w:val="16"/>
          <w:color w:val="auto"/>
        </w:rPr>
        <w:t>. No stockholder of the Company may sell, assign, transfer, pledge, distribute, or otherwise dispose of or encumber, in whole or in part, directly or indirectly, whether voluntarily or by operation of law, or by gift or otherwise, any shares of capital stock of the Company or the economic consequences of ownership of, or any right or interest in, shares of capital stock of the Company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without the prior written consent of the Company, in its sole discretion, and such stockholder otherwise complying with the requirements of this </w:t>
      </w:r>
      <w:r>
        <w:rPr>
          <w:rFonts w:ascii="Arial" w:cs="Arial" w:eastAsia="Arial" w:hAnsi="Arial"/>
          <w:sz w:val="16"/>
          <w:szCs w:val="16"/>
          <w:b w:val="1"/>
          <w:bCs w:val="1"/>
          <w:color w:val="auto"/>
        </w:rPr>
        <w:t>Article X</w:t>
      </w:r>
      <w:r>
        <w:rPr>
          <w:rFonts w:ascii="Arial" w:cs="Arial" w:eastAsia="Arial" w:hAnsi="Arial"/>
          <w:sz w:val="16"/>
          <w:szCs w:val="16"/>
          <w:color w:val="auto"/>
        </w:rPr>
        <w:t>. The restrictions on transfer and ownership on shares of capital stock of the Company set forth in this</w:t>
      </w:r>
      <w:r>
        <w:rPr>
          <w:rFonts w:ascii="Arial" w:cs="Arial" w:eastAsia="Arial" w:hAnsi="Arial"/>
          <w:sz w:val="16"/>
          <w:szCs w:val="16"/>
          <w:b w:val="1"/>
          <w:bCs w:val="1"/>
          <w:color w:val="auto"/>
        </w:rPr>
        <w:t xml:space="preserve"> Article X </w:t>
      </w:r>
      <w:r>
        <w:rPr>
          <w:rFonts w:ascii="Arial" w:cs="Arial" w:eastAsia="Arial" w:hAnsi="Arial"/>
          <w:sz w:val="16"/>
          <w:szCs w:val="16"/>
          <w:color w:val="auto"/>
        </w:rPr>
        <w:t>shall be 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limited by the provision(s) of any agreement(s) currently in effect by and between the Company and any stockholder (the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If any provision(s) of any Stockholder Agreement(s) conflicts with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Article X</w:t>
      </w:r>
      <w:r>
        <w:rPr>
          <w:rFonts w:ascii="Arial" w:cs="Arial" w:eastAsia="Arial" w:hAnsi="Arial"/>
          <w:sz w:val="16"/>
          <w:szCs w:val="16"/>
          <w:color w:val="auto"/>
        </w:rPr>
        <w:t>,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Article 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govern, and the remaining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provision(s) of such Stockholder Agreement(s) that do not conflict with this </w:t>
      </w:r>
      <w:r>
        <w:rPr>
          <w:rFonts w:ascii="Arial" w:cs="Arial" w:eastAsia="Arial" w:hAnsi="Arial"/>
          <w:sz w:val="16"/>
          <w:szCs w:val="16"/>
          <w:b w:val="1"/>
          <w:bCs w:val="1"/>
          <w:color w:val="auto"/>
        </w:rPr>
        <w:t>Article X</w:t>
      </w:r>
      <w:r>
        <w:rPr>
          <w:rFonts w:ascii="Arial" w:cs="Arial" w:eastAsia="Arial" w:hAnsi="Arial"/>
          <w:sz w:val="16"/>
          <w:szCs w:val="16"/>
          <w:color w:val="auto"/>
        </w:rPr>
        <w:t xml:space="preserve"> shall continue in full force and effect.</w:t>
      </w:r>
    </w:p>
    <w:p>
      <w:pPr>
        <w:spacing w:after="0" w:line="53"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i w:val="1"/>
          <w:iCs w:val="1"/>
          <w:color w:val="auto"/>
        </w:rPr>
        <w:t>Permitted Transfers</w:t>
      </w:r>
      <w:r>
        <w:rPr>
          <w:rFonts w:ascii="Arial" w:cs="Arial" w:eastAsia="Arial" w:hAnsi="Arial"/>
          <w:sz w:val="16"/>
          <w:szCs w:val="16"/>
          <w:color w:val="auto"/>
        </w:rPr>
        <w:t>. The restriction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10.1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not apply to the following transactions:</w:t>
      </w:r>
    </w:p>
    <w:p>
      <w:pPr>
        <w:spacing w:after="0" w:line="121" w:lineRule="exact"/>
        <w:rPr>
          <w:sz w:val="20"/>
          <w:szCs w:val="20"/>
          <w:color w:val="auto"/>
        </w:rPr>
      </w:pPr>
    </w:p>
    <w:p>
      <w:pPr>
        <w:ind w:left="560" w:right="60" w:firstLine="419"/>
        <w:spacing w:after="0" w:line="259" w:lineRule="auto"/>
        <w:tabs>
          <w:tab w:leader="none" w:pos="136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transfer by a stockholder that is an individual during such stockholder’s lifetime by gift or pursuant to domestic relations orders to such stockholder’s Immediate Family (as defined below), or to a custodian, trustee (including a trustee of a voting trust), executor or other fiduciary for the account of such stockholder’s spouse or members of such stockholder’s Immediate Family, or to a trust for such stockholder’s own self, or a charitable remainder trust;</w:t>
      </w:r>
    </w:p>
    <w:p>
      <w:pPr>
        <w:spacing w:after="0" w:line="78" w:lineRule="exact"/>
        <w:rPr>
          <w:rFonts w:ascii="Arial" w:cs="Arial" w:eastAsia="Arial" w:hAnsi="Arial"/>
          <w:sz w:val="18"/>
          <w:szCs w:val="18"/>
          <w:color w:val="auto"/>
        </w:rPr>
      </w:pPr>
    </w:p>
    <w:p>
      <w:pPr>
        <w:ind w:left="1360" w:hanging="381"/>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transfer effected pursuant to such stockholder’s will or the laws of intestate succession;</w:t>
      </w:r>
    </w:p>
    <w:p>
      <w:pPr>
        <w:spacing w:after="0" w:line="117" w:lineRule="exact"/>
        <w:rPr>
          <w:rFonts w:ascii="Arial" w:cs="Arial" w:eastAsia="Arial" w:hAnsi="Arial"/>
          <w:sz w:val="18"/>
          <w:szCs w:val="18"/>
          <w:color w:val="auto"/>
        </w:rPr>
      </w:pPr>
    </w:p>
    <w:p>
      <w:pPr>
        <w:ind w:left="560" w:right="260" w:firstLine="419"/>
        <w:spacing w:after="0" w:line="263" w:lineRule="auto"/>
        <w:tabs>
          <w:tab w:leader="none" w:pos="136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transfer by a stockholder that is a partnership, limited liability company, corporation or other entity to the partners, members, retired partners, retired members, stockholders, and/or Affiliates (as defined below) of such stockholder; provided that the foregoing exception shall not apply to a transfer to a Special Purpose Entity (as defined below); and/or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20" w:firstLine="419"/>
        <w:spacing w:after="0" w:line="263" w:lineRule="auto"/>
        <w:tabs>
          <w:tab w:leader="none" w:pos="137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repurchase or redemption by the Company: (i) at or below cost, upon the occurrence of certain events, such as the termination of employment or services; or (ii) at any price pursuant to the Company’s exercise of a right of first refusal to repurchase such shares (including the purchase of such shares by the Company’s assignee).</w:t>
      </w:r>
    </w:p>
    <w:p>
      <w:pPr>
        <w:spacing w:after="0" w:line="7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 xml:space="preserve">Except with respect to the shares of capital stock of the Company transferred under clause (d) above, such transferred shares shall remain subject to the transfer restrictions of this </w:t>
      </w:r>
      <w:r>
        <w:rPr>
          <w:rFonts w:ascii="Arial" w:cs="Arial" w:eastAsia="Arial" w:hAnsi="Arial"/>
          <w:sz w:val="18"/>
          <w:szCs w:val="18"/>
          <w:b w:val="1"/>
          <w:bCs w:val="1"/>
          <w:color w:val="auto"/>
        </w:rPr>
        <w:t>Article X</w:t>
      </w:r>
      <w:r>
        <w:rPr>
          <w:rFonts w:ascii="Arial" w:cs="Arial" w:eastAsia="Arial" w:hAnsi="Arial"/>
          <w:sz w:val="18"/>
          <w:szCs w:val="18"/>
          <w:color w:val="auto"/>
        </w:rPr>
        <w:t>.</w:t>
      </w:r>
    </w:p>
    <w:p>
      <w:pPr>
        <w:spacing w:after="0" w:line="62"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i w:val="1"/>
          <w:iCs w:val="1"/>
          <w:color w:val="auto"/>
        </w:rPr>
        <w:t>Legal Opinion; Transfer Requirements</w:t>
      </w:r>
      <w:r>
        <w:rPr>
          <w:rFonts w:ascii="Arial" w:cs="Arial" w:eastAsia="Arial" w:hAnsi="Arial"/>
          <w:sz w:val="17"/>
          <w:szCs w:val="17"/>
          <w:color w:val="auto"/>
        </w:rPr>
        <w:t>. As a condition to any transfer, the Company may, in its sole discretion, (a) require in connection with such transfer of shares delivery to the Company of a written opinion of legal counsel, in form and substance satisfactory to it or its legal counsel in their respective discretion, that such transfer is exempt from applicable federal, state or other securities laws and regulations, (b) charge the transferor, transferee or both a transfer fee in such amount as may be reasonably determined by the Company’s management in order to recoup the Company’s internal and external costs of processing such transfer, due and payable to the Company prior to or upon effectiveness of such transfer, and/or (c) require such transfer to be effected pursuant to a standard form of transfer agreement in such customary and reasonable form as may be determined by Company’s management from time to time in its discretion.</w:t>
      </w:r>
    </w:p>
    <w:p>
      <w:pPr>
        <w:spacing w:after="0" w:line="285"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b w:val="1"/>
          <w:bCs w:val="1"/>
          <w:i w:val="1"/>
          <w:iCs w:val="1"/>
          <w:color w:val="auto"/>
        </w:rPr>
        <w:t>Application; Waiver; Termination of Restriction of Transfer</w:t>
      </w:r>
      <w:r>
        <w:rPr>
          <w:rFonts w:ascii="Arial" w:cs="Arial" w:eastAsia="Arial" w:hAnsi="Arial"/>
          <w:sz w:val="15"/>
          <w:szCs w:val="15"/>
          <w:color w:val="auto"/>
        </w:rPr>
        <w:t>.</w:t>
      </w:r>
    </w:p>
    <w:p>
      <w:pPr>
        <w:spacing w:after="0" w:line="117" w:lineRule="exact"/>
        <w:rPr>
          <w:sz w:val="20"/>
          <w:szCs w:val="20"/>
          <w:color w:val="auto"/>
        </w:rPr>
      </w:pPr>
    </w:p>
    <w:p>
      <w:pPr>
        <w:ind w:left="560" w:right="280" w:firstLine="419"/>
        <w:spacing w:after="0" w:line="263" w:lineRule="auto"/>
        <w:tabs>
          <w:tab w:leader="none" w:pos="136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case of any transfer permitted hereunder (whether by consent or via an exemption), the transferee, assignee or other recipient shall receive and hold such stock subject to the provisions of these Bylaws, and there shall be no further transfer of such stock except in accordance with these Bylaws.</w:t>
      </w:r>
    </w:p>
    <w:p>
      <w:pPr>
        <w:spacing w:after="0" w:line="71" w:lineRule="exact"/>
        <w:rPr>
          <w:rFonts w:ascii="Arial" w:cs="Arial" w:eastAsia="Arial" w:hAnsi="Arial"/>
          <w:sz w:val="18"/>
          <w:szCs w:val="18"/>
          <w:color w:val="auto"/>
        </w:rPr>
      </w:pPr>
    </w:p>
    <w:p>
      <w:pPr>
        <w:jc w:val="both"/>
        <w:ind w:left="560" w:right="140" w:firstLine="419"/>
        <w:spacing w:after="0" w:line="303" w:lineRule="auto"/>
        <w:tabs>
          <w:tab w:leader="none" w:pos="136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Article X</w:t>
      </w:r>
      <w:r>
        <w:rPr>
          <w:rFonts w:ascii="Arial" w:cs="Arial" w:eastAsia="Arial" w:hAnsi="Arial"/>
          <w:sz w:val="16"/>
          <w:szCs w:val="16"/>
          <w:color w:val="auto"/>
        </w:rPr>
        <w:t xml:space="preserve"> may be waived with respect to any transfer only by the Company, upon duly authorized action of its Board; provided, however, that such restrictions shall continue to apply to the shares subsequent to such transfer; provided further that the Board may delegate the power to make any decision to consent to a transfer under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to either the Company’s Chief Executive Officer or a committee of executive officers of the Company as the Board may determine (subject to such limitations as the Board may determine, if any).</w:t>
      </w:r>
    </w:p>
    <w:p>
      <w:pPr>
        <w:spacing w:after="0" w:line="46" w:lineRule="exact"/>
        <w:rPr>
          <w:rFonts w:ascii="Arial" w:cs="Arial" w:eastAsia="Arial" w:hAnsi="Arial"/>
          <w:sz w:val="16"/>
          <w:szCs w:val="16"/>
          <w:color w:val="auto"/>
        </w:rPr>
      </w:pPr>
    </w:p>
    <w:p>
      <w:pPr>
        <w:ind w:left="560" w:right="600" w:firstLine="419"/>
        <w:spacing w:after="0" w:line="277" w:lineRule="auto"/>
        <w:tabs>
          <w:tab w:leader="none" w:pos="13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sale or transfer, or purported sale or transfer, of securities of the Company shall be null and void ab initio unless the terms, conditions, and provisions of this bylaw are strictly observed and followed.</w:t>
      </w:r>
    </w:p>
    <w:p>
      <w:pPr>
        <w:spacing w:after="0" w:line="58" w:lineRule="exact"/>
        <w:rPr>
          <w:rFonts w:ascii="Arial" w:cs="Arial" w:eastAsia="Arial" w:hAnsi="Arial"/>
          <w:sz w:val="18"/>
          <w:szCs w:val="18"/>
          <w:color w:val="auto"/>
        </w:rPr>
      </w:pPr>
    </w:p>
    <w:p>
      <w:pPr>
        <w:ind w:left="560" w:right="340" w:firstLine="419"/>
        <w:spacing w:after="0" w:line="266" w:lineRule="auto"/>
        <w:tabs>
          <w:tab w:leader="none" w:pos="137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provisions of this </w:t>
      </w:r>
      <w:r>
        <w:rPr>
          <w:rFonts w:ascii="Arial" w:cs="Arial" w:eastAsia="Arial" w:hAnsi="Arial"/>
          <w:sz w:val="18"/>
          <w:szCs w:val="18"/>
          <w:b w:val="1"/>
          <w:bCs w:val="1"/>
          <w:color w:val="auto"/>
        </w:rPr>
        <w:t>Article X</w:t>
      </w:r>
      <w:r>
        <w:rPr>
          <w:rFonts w:ascii="Arial" w:cs="Arial" w:eastAsia="Arial" w:hAnsi="Arial"/>
          <w:sz w:val="18"/>
          <w:szCs w:val="18"/>
          <w:color w:val="auto"/>
        </w:rPr>
        <w:t xml:space="preserve"> are waived by authorized action of the Board with respect to a proposed transfer pursuant to </w:t>
      </w:r>
      <w:r>
        <w:rPr>
          <w:rFonts w:ascii="Arial" w:cs="Arial" w:eastAsia="Arial" w:hAnsi="Arial"/>
          <w:sz w:val="18"/>
          <w:szCs w:val="18"/>
          <w:b w:val="1"/>
          <w:bCs w:val="1"/>
          <w:color w:val="auto"/>
        </w:rPr>
        <w:t>section 10.4(b)</w:t>
      </w:r>
      <w:r>
        <w:rPr>
          <w:rFonts w:ascii="Arial" w:cs="Arial" w:eastAsia="Arial" w:hAnsi="Arial"/>
          <w:sz w:val="18"/>
          <w:szCs w:val="18"/>
          <w:color w:val="auto"/>
        </w:rPr>
        <w:t xml:space="preserve"> and the shares of the transferring stockholder are subject to right of first refusal or co-sale rights pursuant to any Stockholder Agreement(s) (the “</w:t>
      </w:r>
      <w:r>
        <w:rPr>
          <w:rFonts w:ascii="Arial" w:cs="Arial" w:eastAsia="Arial" w:hAnsi="Arial"/>
          <w:sz w:val="18"/>
          <w:szCs w:val="18"/>
          <w:b w:val="1"/>
          <w:bCs w:val="1"/>
          <w:i w:val="1"/>
          <w:iCs w:val="1"/>
          <w:color w:val="auto"/>
        </w:rPr>
        <w:t>First Refusal or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b w:val="1"/>
          <w:bCs w:val="1"/>
          <w:i w:val="1"/>
          <w:iCs w:val="1"/>
          <w:color w:val="auto"/>
        </w:rPr>
        <w:t>Co-Sale Rights</w:t>
      </w:r>
      <w:r>
        <w:rPr>
          <w:rFonts w:ascii="Arial" w:cs="Arial" w:eastAsia="Arial" w:hAnsi="Arial"/>
          <w:sz w:val="16"/>
          <w:szCs w:val="16"/>
          <w:color w:val="auto"/>
        </w:rPr>
        <w:t>”), the persons and/or entities entitled to the First Refusal or Co-Sale Rights shall be permitted to exercise their respective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Refusal or Co-Sale Rights in conjunction with that specific proposed transfer without any additional approval of the Board.</w:t>
      </w:r>
    </w:p>
    <w:p>
      <w:pPr>
        <w:spacing w:after="0" w:line="12" w:lineRule="exact"/>
        <w:rPr>
          <w:sz w:val="20"/>
          <w:szCs w:val="20"/>
          <w:color w:val="auto"/>
        </w:rPr>
      </w:pPr>
    </w:p>
    <w:p>
      <w:pPr>
        <w:ind w:left="560" w:right="260" w:firstLine="419"/>
        <w:spacing w:after="0" w:line="293" w:lineRule="auto"/>
        <w:tabs>
          <w:tab w:leader="none" w:pos="135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The restrictions on transfer in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shall terminate immediately upon the earlier of (i) a Liquidation Event (as such term is defined in the Company’s Fourth Amended and Restated Certificate of Incorporation, as it may be amended and restated, from time to time) or</w:t>
      </w:r>
    </w:p>
    <w:p>
      <w:pPr>
        <w:spacing w:after="0" w:line="1" w:lineRule="exact"/>
        <w:rPr>
          <w:rFonts w:ascii="Arial" w:cs="Arial" w:eastAsia="Arial" w:hAnsi="Arial"/>
          <w:sz w:val="16"/>
          <w:szCs w:val="16"/>
          <w:color w:val="auto"/>
        </w:rPr>
      </w:pPr>
    </w:p>
    <w:p>
      <w:pPr>
        <w:ind w:left="560" w:right="340" w:hanging="4"/>
        <w:spacing w:after="0" w:line="323" w:lineRule="auto"/>
        <w:tabs>
          <w:tab w:leader="none" w:pos="8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closing of a firm commitment underwritten public offering of common stock of the Company pursuant to a registration statement filed with, and declared effective by, the United States Securities and Exchange Commission under the Securities Act of 1933, as amended.</w:t>
      </w:r>
    </w:p>
    <w:p>
      <w:pPr>
        <w:spacing w:after="0" w:line="24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b w:val="1"/>
          <w:bCs w:val="1"/>
          <w:i w:val="1"/>
          <w:iCs w:val="1"/>
          <w:color w:val="auto"/>
        </w:rPr>
        <w:t>Definitions</w:t>
      </w:r>
      <w:r>
        <w:rPr>
          <w:rFonts w:ascii="Arial" w:cs="Arial" w:eastAsia="Arial" w:hAnsi="Arial"/>
          <w:sz w:val="15"/>
          <w:szCs w:val="15"/>
          <w:color w:val="auto"/>
        </w:rPr>
        <w:t>.</w:t>
      </w:r>
    </w:p>
    <w:p>
      <w:pPr>
        <w:spacing w:after="0" w:line="117" w:lineRule="exact"/>
        <w:rPr>
          <w:sz w:val="20"/>
          <w:szCs w:val="20"/>
          <w:color w:val="auto"/>
        </w:rPr>
      </w:pPr>
    </w:p>
    <w:p>
      <w:pPr>
        <w:ind w:left="560" w:right="60" w:firstLine="419"/>
        <w:spacing w:after="0" w:line="259" w:lineRule="auto"/>
        <w:tabs>
          <w:tab w:leader="none" w:pos="136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with respect to any person or entity who or which, directly or indirectly, controls, is controlled by, or is under common control with the relevant stockholder, including, without limitation, any general partner, managing partner, managing member, officer or director of such stockholder or any venture capital fund now or hereafter existing that is controlled by one or more general partners or managing members of, or shares the same management company with, such stockholder.</w:t>
      </w:r>
    </w:p>
    <w:p>
      <w:pPr>
        <w:spacing w:after="0" w:line="78" w:lineRule="exact"/>
        <w:rPr>
          <w:rFonts w:ascii="Arial" w:cs="Arial" w:eastAsia="Arial" w:hAnsi="Arial"/>
          <w:sz w:val="18"/>
          <w:szCs w:val="18"/>
          <w:color w:val="auto"/>
        </w:rPr>
      </w:pPr>
    </w:p>
    <w:p>
      <w:pPr>
        <w:ind w:left="560" w:right="360" w:firstLine="419"/>
        <w:spacing w:after="0" w:line="263" w:lineRule="auto"/>
        <w:tabs>
          <w:tab w:leader="none" w:pos="137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or other lineal descendant, any parent, stepparent, grandparent or other ancestor, any spouse, former spouse, sibling, niece, nephew, uncle, aunt, mother-in-law, father-in-law, son-in-law, daughter-in-law, brother-in-law or sister-in-law, including adoptive relationships, or any Spousal Equivalent.</w:t>
      </w:r>
    </w:p>
    <w:p>
      <w:pPr>
        <w:spacing w:after="0" w:line="75" w:lineRule="exact"/>
        <w:rPr>
          <w:rFonts w:ascii="Arial" w:cs="Arial" w:eastAsia="Arial" w:hAnsi="Arial"/>
          <w:sz w:val="18"/>
          <w:szCs w:val="18"/>
          <w:color w:val="auto"/>
        </w:rPr>
      </w:pPr>
    </w:p>
    <w:p>
      <w:pPr>
        <w:ind w:left="560" w:right="80" w:firstLine="419"/>
        <w:spacing w:after="0" w:line="263" w:lineRule="auto"/>
        <w:tabs>
          <w:tab w:leader="none" w:pos="136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Purpose Entity</w:t>
      </w:r>
      <w:r>
        <w:rPr>
          <w:rFonts w:ascii="Arial" w:cs="Arial" w:eastAsia="Arial" w:hAnsi="Arial"/>
          <w:sz w:val="18"/>
          <w:szCs w:val="18"/>
          <w:color w:val="auto"/>
        </w:rPr>
        <w:t>” shall mean an entity that holds or would hold only shares of the Company or has or would have a class or series of security holders with beneficial interests primarily in shares of the Company (including for such purpose an entity that holds cash and/or cash equivalents intended to purchase shares of the Company).</w:t>
      </w:r>
    </w:p>
    <w:p>
      <w:pPr>
        <w:spacing w:after="0" w:line="75" w:lineRule="exact"/>
        <w:rPr>
          <w:rFonts w:ascii="Arial" w:cs="Arial" w:eastAsia="Arial" w:hAnsi="Arial"/>
          <w:sz w:val="18"/>
          <w:szCs w:val="18"/>
          <w:color w:val="auto"/>
        </w:rPr>
      </w:pPr>
    </w:p>
    <w:p>
      <w:pPr>
        <w:ind w:left="560" w:right="240" w:firstLine="419"/>
        <w:spacing w:after="0" w:line="291" w:lineRule="auto"/>
        <w:tabs>
          <w:tab w:leader="none" w:pos="1373"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shall mean an individual who: (A) is in an exclusive, continuous, committed relationship with the relevant stockholder, has been in that relationship for the twelve (12) months prior to the relevant date and intends to be in that relationship indefinitely;</w:t>
      </w:r>
    </w:p>
    <w:p>
      <w:pPr>
        <w:ind w:left="560" w:hanging="4"/>
        <w:spacing w:after="0" w:line="290" w:lineRule="auto"/>
        <w:tabs>
          <w:tab w:leader="none" w:pos="84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has no such relationship with any other person and is not married to 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 provided that any stockholder who wishes to Transfer stock to a Spousal Equivalent under </w:t>
      </w:r>
      <w:r>
        <w:rPr>
          <w:rFonts w:ascii="Arial" w:cs="Arial" w:eastAsia="Arial" w:hAnsi="Arial"/>
          <w:sz w:val="16"/>
          <w:szCs w:val="16"/>
          <w:b w:val="1"/>
          <w:bCs w:val="1"/>
          <w:color w:val="auto"/>
        </w:rPr>
        <w:t>section 10.2(a)</w:t>
      </w:r>
      <w:r>
        <w:rPr>
          <w:rFonts w:ascii="Arial" w:cs="Arial" w:eastAsia="Arial" w:hAnsi="Arial"/>
          <w:sz w:val="16"/>
          <w:szCs w:val="16"/>
          <w:color w:val="auto"/>
        </w:rPr>
        <w:t xml:space="preserve"> above must provide proof of (i) a joint mortgage, (ii) a joint lease or (iii) a joint bank account, in each case held by both the stockholder and their Spousal Equivalent.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i w:val="1"/>
          <w:iCs w:val="1"/>
          <w:color w:val="auto"/>
        </w:rPr>
        <w:t>Legends</w:t>
      </w:r>
      <w:r>
        <w:rPr>
          <w:rFonts w:ascii="Arial" w:cs="Arial" w:eastAsia="Arial" w:hAnsi="Arial"/>
          <w:sz w:val="18"/>
          <w:szCs w:val="18"/>
          <w:color w:val="auto"/>
        </w:rPr>
        <w:t>. The certificates representing shares of stock of the Company shall bear on their face the following legend so long as the foregoing transfer restrictions remains in effect:</w:t>
      </w:r>
    </w:p>
    <w:p>
      <w:pPr>
        <w:spacing w:after="0" w:line="62"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“THE SHARES REPRESENTED BY THIS CERTIFICATE MAY NOT BE SOLD, ASSIGNED, TRANSFERRED, PLEDGED, ENCUMBERED OR IN ANY MANNER DISPOSED OF, EXCEPT IN COMPLIANCE WITH THE BYLAWS OF THE CORPORATION. COPIES OF THE BYLAWS OF THE CORPORATION MAY BE OBTAINED UPON WRITTEN REQUEST TO THE SECRETARY OF THE CORPORATION.”</w:t>
      </w:r>
    </w:p>
    <w:p>
      <w:pPr>
        <w:spacing w:after="0" w:line="187" w:lineRule="exact"/>
        <w:rPr>
          <w:sz w:val="20"/>
          <w:szCs w:val="20"/>
          <w:color w:val="auto"/>
        </w:rPr>
      </w:pPr>
    </w:p>
    <w:p>
      <w:pPr>
        <w:ind w:left="880" w:hanging="324"/>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specifically amended herein, the Bylaws of the Company shall remain unchanged and in full force and effect.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CERTIFICATE OF SECRETARY</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ZOOM VIDEO COMMUNICATIONS, INC.</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certifies:</w:t>
      </w:r>
    </w:p>
    <w:p>
      <w:pPr>
        <w:spacing w:after="0" w:line="117" w:lineRule="exact"/>
        <w:rPr>
          <w:sz w:val="20"/>
          <w:szCs w:val="20"/>
          <w:color w:val="auto"/>
        </w:rPr>
      </w:pPr>
    </w:p>
    <w:p>
      <w:pPr>
        <w:ind w:left="560" w:right="800" w:hanging="4"/>
        <w:spacing w:after="0" w:line="277" w:lineRule="auto"/>
        <w:tabs>
          <w:tab w:leader="none" w:pos="87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the undersigned is the duly elected and acting Secretary of Zoom Video Communications,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560" w:hanging="4"/>
        <w:spacing w:after="0" w:line="263" w:lineRule="auto"/>
        <w:tabs>
          <w:tab w:leader="none" w:pos="87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the foregoing Amendment No. 1 to the Bylaws constitutes the entire amendment to the Bylaws of the Company as duly adopted by the Board of Directors by unanimous written consent on February 13th, 2018 and the stockholders of the Company by written consent on February 14th, 2018.</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I have hereunto subscribed my name as of this 14th of February, 2018.</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 Eric S. Yuan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S. Yuan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40"/>
          </w:cols>
          <w:pgMar w:left="320" w:top="459" w:right="6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December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5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8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54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SECTION 2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540" w:type="dxa"/>
            <w:vAlign w:val="bottom"/>
          </w:tcPr>
          <w:p>
            <w:pPr>
              <w:ind w:left="200"/>
              <w:spacing w:after="0"/>
              <w:rPr>
                <w:sz w:val="20"/>
                <w:szCs w:val="20"/>
                <w:color w:val="auto"/>
              </w:rPr>
            </w:pPr>
            <w:r>
              <w:rPr>
                <w:rFonts w:ascii="Arial" w:cs="Arial" w:eastAsia="Arial" w:hAnsi="Arial"/>
                <w:sz w:val="18"/>
                <w:szCs w:val="18"/>
                <w:color w:val="auto"/>
              </w:rPr>
              <w:t>Requested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540" w:type="dxa"/>
            <w:vAlign w:val="bottom"/>
          </w:tcPr>
          <w:p>
            <w:pPr>
              <w:ind w:left="200"/>
              <w:spacing w:after="0"/>
              <w:rPr>
                <w:sz w:val="20"/>
                <w:szCs w:val="20"/>
                <w:color w:val="auto"/>
              </w:rPr>
            </w:pPr>
            <w:r>
              <w:rPr>
                <w:rFonts w:ascii="Arial" w:cs="Arial" w:eastAsia="Arial" w:hAnsi="Arial"/>
                <w:sz w:val="18"/>
                <w:szCs w:val="18"/>
                <w:color w:val="auto"/>
              </w:rPr>
              <w:t>Company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540" w:type="dxa"/>
            <w:vAlign w:val="bottom"/>
          </w:tcPr>
          <w:p>
            <w:pPr>
              <w:ind w:left="200"/>
              <w:spacing w:after="0"/>
              <w:rPr>
                <w:sz w:val="20"/>
                <w:szCs w:val="20"/>
                <w:color w:val="auto"/>
              </w:rPr>
            </w:pPr>
            <w:r>
              <w:rPr>
                <w:rFonts w:ascii="Arial" w:cs="Arial" w:eastAsia="Arial" w:hAnsi="Arial"/>
                <w:sz w:val="18"/>
                <w:szCs w:val="18"/>
                <w:color w:val="auto"/>
              </w:rPr>
              <w:t>Registration on Form S-3</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540" w:type="dxa"/>
            <w:vAlign w:val="bottom"/>
          </w:tcPr>
          <w:p>
            <w:pPr>
              <w:ind w:left="200"/>
              <w:spacing w:after="0"/>
              <w:rPr>
                <w:sz w:val="20"/>
                <w:szCs w:val="20"/>
                <w:color w:val="auto"/>
              </w:rPr>
            </w:pPr>
            <w:r>
              <w:rPr>
                <w:rFonts w:ascii="Arial" w:cs="Arial" w:eastAsia="Arial" w:hAnsi="Arial"/>
                <w:sz w:val="18"/>
                <w:szCs w:val="18"/>
                <w:color w:val="auto"/>
              </w:rPr>
              <w:t>Expenses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540" w:type="dxa"/>
            <w:vAlign w:val="bottom"/>
          </w:tcPr>
          <w:p>
            <w:pPr>
              <w:ind w:left="200"/>
              <w:spacing w:after="0"/>
              <w:rPr>
                <w:sz w:val="20"/>
                <w:szCs w:val="20"/>
                <w:color w:val="auto"/>
              </w:rPr>
            </w:pPr>
            <w:r>
              <w:rPr>
                <w:rFonts w:ascii="Arial" w:cs="Arial" w:eastAsia="Arial" w:hAnsi="Arial"/>
                <w:sz w:val="18"/>
                <w:szCs w:val="18"/>
                <w:color w:val="auto"/>
              </w:rPr>
              <w:t>Registration Procedures</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54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540" w:type="dxa"/>
            <w:vAlign w:val="bottom"/>
          </w:tcPr>
          <w:p>
            <w:pPr>
              <w:ind w:left="200"/>
              <w:spacing w:after="0"/>
              <w:rPr>
                <w:sz w:val="20"/>
                <w:szCs w:val="20"/>
                <w:color w:val="auto"/>
              </w:rPr>
            </w:pPr>
            <w:r>
              <w:rPr>
                <w:rFonts w:ascii="Arial" w:cs="Arial" w:eastAsia="Arial" w:hAnsi="Arial"/>
                <w:sz w:val="18"/>
                <w:szCs w:val="18"/>
                <w:color w:val="auto"/>
              </w:rPr>
              <w:t>Information by Holder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540" w:type="dxa"/>
            <w:vAlign w:val="bottom"/>
          </w:tcPr>
          <w:p>
            <w:pPr>
              <w:ind w:left="200"/>
              <w:spacing w:after="0"/>
              <w:rPr>
                <w:sz w:val="20"/>
                <w:szCs w:val="20"/>
                <w:color w:val="auto"/>
              </w:rPr>
            </w:pPr>
            <w:r>
              <w:rPr>
                <w:rFonts w:ascii="Arial" w:cs="Arial" w:eastAsia="Arial" w:hAnsi="Arial"/>
                <w:sz w:val="18"/>
                <w:szCs w:val="18"/>
                <w:color w:val="auto"/>
              </w:rPr>
              <w:t>Restrictions on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540" w:type="dxa"/>
            <w:vAlign w:val="bottom"/>
          </w:tcPr>
          <w:p>
            <w:pPr>
              <w:ind w:left="200"/>
              <w:spacing w:after="0"/>
              <w:rPr>
                <w:sz w:val="20"/>
                <w:szCs w:val="20"/>
                <w:color w:val="auto"/>
              </w:rPr>
            </w:pPr>
            <w:r>
              <w:rPr>
                <w:rFonts w:ascii="Arial" w:cs="Arial" w:eastAsia="Arial" w:hAnsi="Arial"/>
                <w:sz w:val="18"/>
                <w:szCs w:val="18"/>
                <w:color w:val="auto"/>
              </w:rPr>
              <w:t>Rule 144 Reporting</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540" w:type="dxa"/>
            <w:vAlign w:val="bottom"/>
          </w:tcPr>
          <w:p>
            <w:pPr>
              <w:ind w:left="200"/>
              <w:spacing w:after="0"/>
              <w:rPr>
                <w:sz w:val="20"/>
                <w:szCs w:val="20"/>
                <w:color w:val="auto"/>
              </w:rPr>
            </w:pPr>
            <w:r>
              <w:rPr>
                <w:rFonts w:ascii="Arial" w:cs="Arial" w:eastAsia="Arial" w:hAnsi="Arial"/>
                <w:sz w:val="18"/>
                <w:szCs w:val="18"/>
                <w:color w:val="auto"/>
              </w:rPr>
              <w:t>Market Stand-Off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540" w:type="dxa"/>
            <w:vAlign w:val="bottom"/>
          </w:tcPr>
          <w:p>
            <w:pPr>
              <w:ind w:left="200"/>
              <w:spacing w:after="0"/>
              <w:rPr>
                <w:sz w:val="20"/>
                <w:szCs w:val="20"/>
                <w:color w:val="auto"/>
              </w:rPr>
            </w:pPr>
            <w:r>
              <w:rPr>
                <w:rFonts w:ascii="Arial" w:cs="Arial" w:eastAsia="Arial" w:hAnsi="Arial"/>
                <w:sz w:val="18"/>
                <w:szCs w:val="18"/>
                <w:color w:val="auto"/>
              </w:rPr>
              <w:t>Delay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540" w:type="dxa"/>
            <w:vAlign w:val="bottom"/>
          </w:tcPr>
          <w:p>
            <w:pPr>
              <w:ind w:left="200"/>
              <w:spacing w:after="0"/>
              <w:rPr>
                <w:sz w:val="20"/>
                <w:szCs w:val="20"/>
                <w:color w:val="auto"/>
              </w:rPr>
            </w:pPr>
            <w:r>
              <w:rPr>
                <w:rFonts w:ascii="Arial" w:cs="Arial" w:eastAsia="Arial" w:hAnsi="Arial"/>
                <w:sz w:val="18"/>
                <w:szCs w:val="18"/>
                <w:color w:val="auto"/>
              </w:rPr>
              <w:t>Transfer or Assignment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7540" w:type="dxa"/>
            <w:vAlign w:val="bottom"/>
          </w:tcPr>
          <w:p>
            <w:pPr>
              <w:ind w:left="200"/>
              <w:spacing w:after="0"/>
              <w:rPr>
                <w:sz w:val="20"/>
                <w:szCs w:val="20"/>
                <w:color w:val="auto"/>
              </w:rPr>
            </w:pPr>
            <w:r>
              <w:rPr>
                <w:rFonts w:ascii="Arial" w:cs="Arial" w:eastAsia="Arial" w:hAnsi="Arial"/>
                <w:sz w:val="18"/>
                <w:szCs w:val="18"/>
                <w:color w:val="auto"/>
              </w:rPr>
              <w:t>Limitations on Subsequent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7540" w:type="dxa"/>
            <w:vAlign w:val="bottom"/>
          </w:tcPr>
          <w:p>
            <w:pPr>
              <w:ind w:left="200"/>
              <w:spacing w:after="0"/>
              <w:rPr>
                <w:sz w:val="20"/>
                <w:szCs w:val="20"/>
                <w:color w:val="auto"/>
              </w:rPr>
            </w:pPr>
            <w:r>
              <w:rPr>
                <w:rFonts w:ascii="Arial" w:cs="Arial" w:eastAsia="Arial" w:hAnsi="Arial"/>
                <w:sz w:val="18"/>
                <w:szCs w:val="18"/>
                <w:color w:val="auto"/>
              </w:rPr>
              <w:t>Termination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SECTION 3 INFORMATION AND OTHER COVENANTS OF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540" w:type="dxa"/>
            <w:vAlign w:val="bottom"/>
          </w:tcPr>
          <w:p>
            <w:pPr>
              <w:ind w:left="200"/>
              <w:spacing w:after="0"/>
              <w:rPr>
                <w:sz w:val="20"/>
                <w:szCs w:val="20"/>
                <w:color w:val="auto"/>
              </w:rPr>
            </w:pPr>
            <w:r>
              <w:rPr>
                <w:rFonts w:ascii="Arial" w:cs="Arial" w:eastAsia="Arial" w:hAnsi="Arial"/>
                <w:sz w:val="18"/>
                <w:szCs w:val="18"/>
                <w:color w:val="auto"/>
              </w:rPr>
              <w:t>Delivery of Financial Information and Inspection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54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540" w:type="dxa"/>
            <w:vAlign w:val="bottom"/>
          </w:tcPr>
          <w:p>
            <w:pPr>
              <w:ind w:left="200"/>
              <w:spacing w:after="0"/>
              <w:rPr>
                <w:sz w:val="20"/>
                <w:szCs w:val="20"/>
                <w:color w:val="auto"/>
              </w:rPr>
            </w:pPr>
            <w:r>
              <w:rPr>
                <w:rFonts w:ascii="Arial" w:cs="Arial" w:eastAsia="Arial" w:hAnsi="Arial"/>
                <w:sz w:val="18"/>
                <w:szCs w:val="18"/>
                <w:color w:val="auto"/>
              </w:rPr>
              <w:t>Directors’ and Officers’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540" w:type="dxa"/>
            <w:vAlign w:val="bottom"/>
          </w:tcPr>
          <w:p>
            <w:pPr>
              <w:ind w:left="200"/>
              <w:spacing w:after="0"/>
              <w:rPr>
                <w:sz w:val="20"/>
                <w:szCs w:val="20"/>
                <w:color w:val="auto"/>
              </w:rPr>
            </w:pPr>
            <w:r>
              <w:rPr>
                <w:rFonts w:ascii="Arial" w:cs="Arial" w:eastAsia="Arial" w:hAnsi="Arial"/>
                <w:sz w:val="18"/>
                <w:szCs w:val="18"/>
                <w:color w:val="auto"/>
              </w:rPr>
              <w:t>No Use of Hillhouse’s Name</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7540" w:type="dxa"/>
            <w:vAlign w:val="bottom"/>
          </w:tcPr>
          <w:p>
            <w:pPr>
              <w:ind w:left="200"/>
              <w:spacing w:after="0"/>
              <w:rPr>
                <w:sz w:val="20"/>
                <w:szCs w:val="20"/>
                <w:color w:val="auto"/>
              </w:rPr>
            </w:pPr>
            <w:r>
              <w:rPr>
                <w:rFonts w:ascii="Arial" w:cs="Arial" w:eastAsia="Arial" w:hAnsi="Arial"/>
                <w:sz w:val="18"/>
                <w:szCs w:val="18"/>
                <w:color w:val="auto"/>
              </w:rPr>
              <w:t>Termination of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SECTION 4 RIGHT OF FIRST REFUSAL</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540" w:type="dxa"/>
            <w:vAlign w:val="bottom"/>
          </w:tcPr>
          <w:p>
            <w:pPr>
              <w:ind w:left="200"/>
              <w:spacing w:after="0"/>
              <w:rPr>
                <w:sz w:val="20"/>
                <w:szCs w:val="20"/>
                <w:color w:val="auto"/>
              </w:rPr>
            </w:pPr>
            <w:r>
              <w:rPr>
                <w:rFonts w:ascii="Arial" w:cs="Arial" w:eastAsia="Arial" w:hAnsi="Arial"/>
                <w:sz w:val="18"/>
                <w:szCs w:val="18"/>
                <w:color w:val="auto"/>
              </w:rPr>
              <w:t>Right of First Refusal to Major 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20" w:type="dxa"/>
            <w:vAlign w:val="bottom"/>
            <w:gridSpan w:val="2"/>
          </w:tcPr>
          <w:p>
            <w:pPr>
              <w:spacing w:after="0"/>
              <w:rPr>
                <w:sz w:val="20"/>
                <w:szCs w:val="20"/>
                <w:color w:val="auto"/>
              </w:rPr>
            </w:pPr>
            <w:r>
              <w:rPr>
                <w:rFonts w:ascii="Arial" w:cs="Arial" w:eastAsia="Arial" w:hAnsi="Arial"/>
                <w:sz w:val="18"/>
                <w:szCs w:val="18"/>
                <w:color w:val="auto"/>
              </w:rPr>
              <w:t>SECTION 5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54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540" w:type="dxa"/>
            <w:vAlign w:val="bottom"/>
          </w:tcPr>
          <w:p>
            <w:pPr>
              <w:ind w:left="20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54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54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754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7540" w:type="dxa"/>
            <w:vAlign w:val="bottom"/>
          </w:tcPr>
          <w:p>
            <w:pPr>
              <w:ind w:left="200"/>
              <w:spacing w:after="0"/>
              <w:rPr>
                <w:sz w:val="20"/>
                <w:szCs w:val="20"/>
                <w:color w:val="auto"/>
              </w:rPr>
            </w:pPr>
            <w:r>
              <w:rPr>
                <w:rFonts w:ascii="Arial" w:cs="Arial" w:eastAsia="Arial" w:hAnsi="Arial"/>
                <w:sz w:val="18"/>
                <w:szCs w:val="18"/>
                <w:color w:val="auto"/>
              </w:rPr>
              <w:t>Delays or Omissions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75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7540" w:type="dxa"/>
            <w:vAlign w:val="bottom"/>
          </w:tcPr>
          <w:p>
            <w:pPr>
              <w:ind w:left="200"/>
              <w:spacing w:after="0"/>
              <w:rPr>
                <w:sz w:val="20"/>
                <w:szCs w:val="20"/>
                <w:color w:val="auto"/>
              </w:rPr>
            </w:pPr>
            <w:r>
              <w:rPr>
                <w:rFonts w:ascii="Arial" w:cs="Arial" w:eastAsia="Arial" w:hAnsi="Arial"/>
                <w:sz w:val="18"/>
                <w:szCs w:val="18"/>
                <w:color w:val="auto"/>
              </w:rPr>
              <w:t>Titles and Subtitles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754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7540" w:type="dxa"/>
            <w:vAlign w:val="bottom"/>
          </w:tcPr>
          <w:p>
            <w:pPr>
              <w:ind w:left="200"/>
              <w:spacing w:after="0"/>
              <w:rPr>
                <w:sz w:val="20"/>
                <w:szCs w:val="20"/>
                <w:color w:val="auto"/>
              </w:rPr>
            </w:pPr>
            <w:r>
              <w:rPr>
                <w:rFonts w:ascii="Arial" w:cs="Arial" w:eastAsia="Arial" w:hAnsi="Arial"/>
                <w:sz w:val="18"/>
                <w:szCs w:val="18"/>
                <w:color w:val="auto"/>
              </w:rPr>
              <w:t>Electronic Execution and Delivery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7540" w:type="dxa"/>
            <w:vAlign w:val="bottom"/>
          </w:tcPr>
          <w:p>
            <w:pPr>
              <w:ind w:left="200"/>
              <w:spacing w:after="0"/>
              <w:rPr>
                <w:sz w:val="20"/>
                <w:szCs w:val="20"/>
                <w:color w:val="auto"/>
              </w:rPr>
            </w:pPr>
            <w:r>
              <w:rPr>
                <w:rFonts w:ascii="Arial" w:cs="Arial" w:eastAsia="Arial" w:hAnsi="Arial"/>
                <w:sz w:val="18"/>
                <w:szCs w:val="18"/>
                <w:color w:val="auto"/>
              </w:rPr>
              <w:t>Jurisdiction; Venue</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754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7540" w:type="dxa"/>
            <w:vAlign w:val="bottom"/>
          </w:tcPr>
          <w:p>
            <w:pPr>
              <w:ind w:left="200"/>
              <w:spacing w:after="0"/>
              <w:rPr>
                <w:sz w:val="20"/>
                <w:szCs w:val="20"/>
                <w:color w:val="auto"/>
              </w:rPr>
            </w:pPr>
            <w:r>
              <w:rPr>
                <w:rFonts w:ascii="Arial" w:cs="Arial" w:eastAsia="Arial" w:hAnsi="Arial"/>
                <w:sz w:val="18"/>
                <w:szCs w:val="18"/>
                <w:color w:val="auto"/>
              </w:rPr>
              <w:t>Termination Upon Change of Control</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5.14</w:t>
            </w:r>
          </w:p>
        </w:tc>
        <w:tc>
          <w:tcPr>
            <w:tcW w:w="7540" w:type="dxa"/>
            <w:vAlign w:val="bottom"/>
          </w:tcPr>
          <w:p>
            <w:pPr>
              <w:ind w:left="200"/>
              <w:spacing w:after="0"/>
              <w:rPr>
                <w:sz w:val="20"/>
                <w:szCs w:val="20"/>
                <w:color w:val="auto"/>
              </w:rPr>
            </w:pPr>
            <w:r>
              <w:rPr>
                <w:rFonts w:ascii="Arial" w:cs="Arial" w:eastAsia="Arial" w:hAnsi="Arial"/>
                <w:sz w:val="18"/>
                <w:szCs w:val="18"/>
                <w:color w:val="auto"/>
              </w:rPr>
              <w:t>Conflict</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5.15</w:t>
            </w:r>
          </w:p>
        </w:tc>
        <w:tc>
          <w:tcPr>
            <w:tcW w:w="7540" w:type="dxa"/>
            <w:vAlign w:val="bottom"/>
          </w:tcPr>
          <w:p>
            <w:pPr>
              <w:ind w:left="200"/>
              <w:spacing w:after="0"/>
              <w:rPr>
                <w:sz w:val="20"/>
                <w:szCs w:val="20"/>
                <w:color w:val="auto"/>
              </w:rPr>
            </w:pPr>
            <w:r>
              <w:rPr>
                <w:rFonts w:ascii="Arial" w:cs="Arial" w:eastAsia="Arial" w:hAnsi="Arial"/>
                <w:sz w:val="18"/>
                <w:szCs w:val="18"/>
                <w:color w:val="auto"/>
              </w:rPr>
              <w:t>Attorneys’ Fees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5.16</w:t>
            </w:r>
          </w:p>
        </w:tc>
        <w:tc>
          <w:tcPr>
            <w:tcW w:w="7540" w:type="dxa"/>
            <w:vAlign w:val="bottom"/>
          </w:tcPr>
          <w:p>
            <w:pPr>
              <w:ind w:left="200"/>
              <w:spacing w:after="0"/>
              <w:rPr>
                <w:sz w:val="20"/>
                <w:szCs w:val="20"/>
                <w:color w:val="auto"/>
              </w:rPr>
            </w:pPr>
            <w:r>
              <w:rPr>
                <w:rFonts w:ascii="Arial" w:cs="Arial" w:eastAsia="Arial" w:hAnsi="Arial"/>
                <w:sz w:val="18"/>
                <w:szCs w:val="18"/>
                <w:color w:val="auto"/>
              </w:rPr>
              <w:t>Aggregation of Stock</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5.17</w:t>
            </w:r>
          </w:p>
        </w:tc>
        <w:tc>
          <w:tcPr>
            <w:tcW w:w="7540" w:type="dxa"/>
            <w:vAlign w:val="bottom"/>
          </w:tcPr>
          <w:p>
            <w:pPr>
              <w:ind w:left="200"/>
              <w:spacing w:after="0"/>
              <w:rPr>
                <w:sz w:val="20"/>
                <w:szCs w:val="20"/>
                <w:color w:val="auto"/>
              </w:rPr>
            </w:pPr>
            <w:r>
              <w:rPr>
                <w:rFonts w:ascii="Arial" w:cs="Arial" w:eastAsia="Arial" w:hAnsi="Arial"/>
                <w:sz w:val="18"/>
                <w:szCs w:val="18"/>
                <w:color w:val="auto"/>
              </w:rPr>
              <w:t>Jury Trial</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ZOOM VIDEO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Third Amended and Restated Investors’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December 1, 2016 by and among Zoom Video Communications,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 xml:space="preserve"> Series A Investors</w:t>
      </w:r>
      <w:r>
        <w:rPr>
          <w:rFonts w:ascii="Arial" w:cs="Arial" w:eastAsia="Arial" w:hAnsi="Arial"/>
          <w:sz w:val="18"/>
          <w:szCs w:val="18"/>
          <w:color w:val="auto"/>
        </w:rPr>
        <w:t>”),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hereto (each, a “</w:t>
      </w:r>
      <w:r>
        <w:rPr>
          <w:rFonts w:ascii="Arial" w:cs="Arial" w:eastAsia="Arial" w:hAnsi="Arial"/>
          <w:sz w:val="18"/>
          <w:szCs w:val="18"/>
          <w:b w:val="1"/>
          <w:bCs w:val="1"/>
          <w:i w:val="1"/>
          <w:iCs w:val="1"/>
          <w:color w:val="auto"/>
        </w:rPr>
        <w:t xml:space="preserve"> Series B Investor</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collectively, the “ </w:t>
      </w:r>
      <w:r>
        <w:rPr>
          <w:rFonts w:ascii="Arial" w:cs="Arial" w:eastAsia="Arial" w:hAnsi="Arial"/>
          <w:sz w:val="18"/>
          <w:szCs w:val="18"/>
          <w:b w:val="1"/>
          <w:bCs w:val="1"/>
          <w:i w:val="1"/>
          <w:iCs w:val="1"/>
          <w:color w:val="auto"/>
        </w:rPr>
        <w:t>Series B Investors</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C Investor</w:t>
      </w:r>
      <w:r>
        <w:rPr>
          <w:rFonts w:ascii="Arial" w:cs="Arial" w:eastAsia="Arial" w:hAnsi="Arial"/>
          <w:sz w:val="18"/>
          <w:szCs w:val="18"/>
          <w:color w:val="auto"/>
        </w:rPr>
        <w:t xml:space="preserve">” and collectively, the “ </w:t>
      </w:r>
      <w:r>
        <w:rPr>
          <w:rFonts w:ascii="Arial" w:cs="Arial" w:eastAsia="Arial" w:hAnsi="Arial"/>
          <w:sz w:val="18"/>
          <w:szCs w:val="18"/>
          <w:b w:val="1"/>
          <w:bCs w:val="1"/>
          <w:i w:val="1"/>
          <w:iCs w:val="1"/>
          <w:color w:val="auto"/>
        </w:rPr>
        <w:t>Series C Investors</w:t>
      </w:r>
      <w:r>
        <w:rPr>
          <w:rFonts w:ascii="Arial" w:cs="Arial" w:eastAsia="Arial" w:hAnsi="Arial"/>
          <w:sz w:val="18"/>
          <w:szCs w:val="18"/>
          <w:color w:val="auto"/>
        </w:rPr>
        <w:t>”), and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i w:val="1"/>
          <w:iCs w:val="1"/>
          <w:color w:val="auto"/>
        </w:rPr>
        <w:t>Series D 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Series D Investors</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with the Series A Investors, the Series B Investors, and the Series C Investors,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xml:space="preserve">”), and the individual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80" w:firstLine="436"/>
        <w:spacing w:after="0" w:line="277" w:lineRule="auto"/>
        <w:tabs>
          <w:tab w:leader="none" w:pos="7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the Series A Investors, the Series B Investors, and the Series C Investors have previously entered into certain Second Amended and Restated Investors’ Rights Agreement dated as of December 23, 2014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436"/>
        <w:spacing w:after="0" w:line="308" w:lineRule="auto"/>
        <w:tabs>
          <w:tab w:leader="none" w:pos="78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is issuing shares of Series D Preferred Stock of the Company (the “</w:t>
      </w:r>
      <w:r>
        <w:rPr>
          <w:rFonts w:ascii="Arial" w:cs="Arial" w:eastAsia="Arial" w:hAnsi="Arial"/>
          <w:sz w:val="17"/>
          <w:szCs w:val="17"/>
          <w:b w:val="1"/>
          <w:bCs w:val="1"/>
          <w:i w:val="1"/>
          <w:iCs w:val="1"/>
          <w:color w:val="auto"/>
        </w:rPr>
        <w:t>Series D Preferred</w:t>
      </w:r>
      <w:r>
        <w:rPr>
          <w:rFonts w:ascii="Arial" w:cs="Arial" w:eastAsia="Arial" w:hAnsi="Arial"/>
          <w:sz w:val="17"/>
          <w:szCs w:val="17"/>
          <w:color w:val="auto"/>
        </w:rPr>
        <w:t>”) to the Series D Investors pursuant to that certain Series D Preferred Stock Purchase Agreement dated on or about the date hereof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540" w:firstLine="436"/>
        <w:spacing w:after="0" w:line="308" w:lineRule="auto"/>
        <w:tabs>
          <w:tab w:leader="none" w:pos="78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Pursuant to the Purchase Agreement, it is a condition to the Initial Closing (as defined therein) of the transactions contemplated by the Purchase Agreement that the parties amend and restate in its entirety the Prior Agreement and execute and deliver this Agreement.</w:t>
      </w:r>
    </w:p>
    <w:p>
      <w:pPr>
        <w:spacing w:after="0" w:line="146" w:lineRule="exact"/>
        <w:rPr>
          <w:rFonts w:ascii="Arial" w:cs="Arial" w:eastAsia="Arial" w:hAnsi="Arial"/>
          <w:sz w:val="17"/>
          <w:szCs w:val="17"/>
          <w:color w:val="auto"/>
        </w:rPr>
      </w:pPr>
    </w:p>
    <w:p>
      <w:pPr>
        <w:ind w:right="440" w:firstLine="436"/>
        <w:spacing w:after="0" w:line="342" w:lineRule="auto"/>
        <w:tabs>
          <w:tab w:leader="none" w:pos="7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Pursuant to Section 5.1 of the Prior Agreement, the Prior Agreement may be amended with the written consent of the Company and the Holders holding at least sixty-six and two-thirds percent (66-2/3%) of the Registrable Securities (each as defined in the Prior Agreement).</w:t>
      </w:r>
    </w:p>
    <w:p>
      <w:pPr>
        <w:spacing w:after="0" w:line="124"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NOW, THEREFORE, in consideration of the foregoing premises and certain other good and valuable consideration, the receipt and sufficiency of which are hereby acknowledged, the parties hereto agree that the Prior Agreement is amended and restated in its entirety to read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Certain Definitions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1260" w:hanging="383"/>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or any other federal agency at the time administering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left="1260" w:hanging="383"/>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ectPr>
          <w:pgSz w:w="11900" w:h="16838" w:orient="portrait"/>
          <w:cols w:equalWidth="0" w:num="1">
            <w:col w:w="10980"/>
          </w:cols>
          <w:pgMar w:left="440" w:top="270" w:right="479" w:bottom="1440" w:gutter="0" w:footer="0" w:header="0"/>
        </w:sectPr>
      </w:pPr>
    </w:p>
    <w:bookmarkStart w:id="224" w:name="page225"/>
    <w:bookmarkEnd w:id="224"/>
    <w:p>
      <w:pPr>
        <w:ind w:right="420" w:firstLine="877"/>
        <w:spacing w:after="0" w:line="277" w:lineRule="auto"/>
        <w:tabs>
          <w:tab w:leader="none" w:pos="1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Conversion Stock</w:t>
      </w:r>
      <w:r>
        <w:rPr>
          <w:rFonts w:ascii="Arial" w:cs="Arial" w:eastAsia="Arial" w:hAnsi="Arial"/>
          <w:sz w:val="18"/>
          <w:szCs w:val="18"/>
          <w:color w:val="auto"/>
        </w:rPr>
        <w:t>” shall mean shares of Common Stock issued upon conversion of shares of the Company’s Preferred Stock (as defined in the Restated Certificate).</w:t>
      </w:r>
    </w:p>
    <w:p>
      <w:pPr>
        <w:spacing w:after="0" w:line="170" w:lineRule="exact"/>
        <w:rPr>
          <w:rFonts w:ascii="Arial" w:cs="Arial" w:eastAsia="Arial" w:hAnsi="Arial"/>
          <w:sz w:val="18"/>
          <w:szCs w:val="18"/>
          <w:color w:val="auto"/>
        </w:rPr>
      </w:pPr>
    </w:p>
    <w:p>
      <w:pPr>
        <w:ind w:right="260" w:firstLine="877"/>
        <w:spacing w:after="0" w:line="277" w:lineRule="auto"/>
        <w:tabs>
          <w:tab w:leader="none" w:pos="126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right="60" w:firstLine="877"/>
        <w:spacing w:after="0" w:line="277" w:lineRule="auto"/>
        <w:tabs>
          <w:tab w:leader="none" w:pos="124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Registrable Securities</w:t>
      </w:r>
      <w:r>
        <w:rPr>
          <w:rFonts w:ascii="Arial" w:cs="Arial" w:eastAsia="Arial" w:hAnsi="Arial"/>
          <w:sz w:val="18"/>
          <w:szCs w:val="18"/>
          <w:color w:val="auto"/>
        </w:rPr>
        <w:t>” means (i) the shares of Common Stock held by the Founder, and (ii) any Common Stock issued as a dividend or other distribution with respect to or in exchange for or in replacement of the shares referenced in (i) above.</w:t>
      </w:r>
    </w:p>
    <w:p>
      <w:pPr>
        <w:spacing w:after="0" w:line="170" w:lineRule="exact"/>
        <w:rPr>
          <w:rFonts w:ascii="Arial" w:cs="Arial" w:eastAsia="Arial" w:hAnsi="Arial"/>
          <w:sz w:val="18"/>
          <w:szCs w:val="18"/>
          <w:color w:val="auto"/>
        </w:rPr>
      </w:pPr>
    </w:p>
    <w:p>
      <w:pPr>
        <w:ind w:right="40" w:firstLine="877"/>
        <w:spacing w:after="0" w:line="259" w:lineRule="auto"/>
        <w:tabs>
          <w:tab w:leader="none" w:pos="1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shall mean any Investor who holds Registrable Securities, the Founder to the extent he holds Founder Registrable Securities, and any holder of Registrable Securities to whom the registration rights conferred by this Agreement have been duly and validly transferred in accordance with Section 2.12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Founder shall not be deemed a Holder for purposes of Sections 2.1, 2.3, 2.8, 2.13, 3, 4 or 5.1.</w:t>
      </w:r>
    </w:p>
    <w:p>
      <w:pPr>
        <w:spacing w:after="0" w:line="186" w:lineRule="exact"/>
        <w:rPr>
          <w:rFonts w:ascii="Arial" w:cs="Arial" w:eastAsia="Arial" w:hAnsi="Arial"/>
          <w:sz w:val="18"/>
          <w:szCs w:val="18"/>
          <w:color w:val="auto"/>
        </w:rPr>
      </w:pPr>
    </w:p>
    <w:p>
      <w:pPr>
        <w:ind w:left="1260" w:hanging="383"/>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left="1220" w:hanging="343"/>
        <w:spacing w:after="0"/>
        <w:tabs>
          <w:tab w:leader="none" w:pos="1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right="120" w:firstLine="877"/>
        <w:spacing w:after="0" w:line="311" w:lineRule="auto"/>
        <w:tabs>
          <w:tab w:leader="none" w:pos="123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shall mean the Company’s first firm commitment underwritten public offering pursuant to an effective registration statement under the Securities Act (or similar securities laws, to the extent applicable, in connection with an offering of securities on the New York Stock Exchange, NASDAQ Global Market, or other nationally or internationally-recognized securities exchange as approved by the Board).</w:t>
      </w:r>
    </w:p>
    <w:p>
      <w:pPr>
        <w:spacing w:after="0" w:line="148" w:lineRule="exact"/>
        <w:rPr>
          <w:rFonts w:ascii="Arial" w:cs="Arial" w:eastAsia="Arial" w:hAnsi="Arial"/>
          <w:sz w:val="16"/>
          <w:szCs w:val="16"/>
          <w:color w:val="auto"/>
        </w:rPr>
      </w:pPr>
    </w:p>
    <w:p>
      <w:pPr>
        <w:ind w:right="160" w:firstLine="877"/>
        <w:spacing w:after="0" w:line="277" w:lineRule="auto"/>
        <w:tabs>
          <w:tab w:leader="none" w:pos="1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shall mean any Holder or Holders who in the aggregate hold not less than fifty percent (50%) of the Registrable Securities then outstanding.</w:t>
      </w:r>
    </w:p>
    <w:p>
      <w:pPr>
        <w:spacing w:after="0" w:line="170" w:lineRule="exact"/>
        <w:rPr>
          <w:rFonts w:ascii="Arial" w:cs="Arial" w:eastAsia="Arial" w:hAnsi="Arial"/>
          <w:sz w:val="18"/>
          <w:szCs w:val="18"/>
          <w:color w:val="auto"/>
        </w:rPr>
      </w:pPr>
    </w:p>
    <w:p>
      <w:pPr>
        <w:ind w:firstLine="877"/>
        <w:spacing w:after="0" w:line="255" w:lineRule="auto"/>
        <w:tabs>
          <w:tab w:leader="none" w:pos="123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Holder</w:t>
      </w:r>
      <w:r>
        <w:rPr>
          <w:rFonts w:ascii="Arial" w:cs="Arial" w:eastAsia="Arial" w:hAnsi="Arial"/>
          <w:sz w:val="18"/>
          <w:szCs w:val="18"/>
          <w:color w:val="auto"/>
        </w:rPr>
        <w:t>” shall mean (i) Emergence Capital Partners III, L.P. (“</w:t>
      </w:r>
      <w:r>
        <w:rPr>
          <w:rFonts w:ascii="Arial" w:cs="Arial" w:eastAsia="Arial" w:hAnsi="Arial"/>
          <w:sz w:val="18"/>
          <w:szCs w:val="18"/>
          <w:b w:val="1"/>
          <w:bCs w:val="1"/>
          <w:i w:val="1"/>
          <w:iCs w:val="1"/>
          <w:color w:val="auto"/>
        </w:rPr>
        <w:t>Emergence</w:t>
      </w:r>
      <w:r>
        <w:rPr>
          <w:rFonts w:ascii="Arial" w:cs="Arial" w:eastAsia="Arial" w:hAnsi="Arial"/>
          <w:sz w:val="18"/>
          <w:szCs w:val="18"/>
          <w:color w:val="auto"/>
        </w:rPr>
        <w:t>”) for so long as Emergence together with its affiliates hold at least 3,440,000 Registrable Securities, (ii) Sequoia Capital U.S. Growth Fund VII, L.P., Sequoia Capital U.S. Growth VII Principals Fund, L.P., Sequoia Capital Global Growth Fund II, L.P., and Sequoia Capital Global Growth II Principals Fund, L.P. (“</w:t>
      </w:r>
      <w:r>
        <w:rPr>
          <w:rFonts w:ascii="Arial" w:cs="Arial" w:eastAsia="Arial" w:hAnsi="Arial"/>
          <w:sz w:val="18"/>
          <w:szCs w:val="18"/>
          <w:b w:val="1"/>
          <w:bCs w:val="1"/>
          <w:i w:val="1"/>
          <w:iCs w:val="1"/>
          <w:color w:val="auto"/>
        </w:rPr>
        <w:t>Sequoia</w:t>
      </w:r>
      <w:r>
        <w:rPr>
          <w:rFonts w:ascii="Arial" w:cs="Arial" w:eastAsia="Arial" w:hAnsi="Arial"/>
          <w:sz w:val="18"/>
          <w:szCs w:val="18"/>
          <w:color w:val="auto"/>
        </w:rPr>
        <w:t>”) for so long as Sequoia together with its affiliates hold at least 2,675,564 Registrable Securities and (iii) any other Holder or Holders who in the aggregate hold Registrable Securities that represent at least one percent (1%) of the total number of outstanding shares of capital stock of the Company (calculated on an as-converted to Common Stock basis).</w:t>
      </w:r>
    </w:p>
    <w:p>
      <w:pPr>
        <w:spacing w:after="0" w:line="192" w:lineRule="exact"/>
        <w:rPr>
          <w:rFonts w:ascii="Arial" w:cs="Arial" w:eastAsia="Arial" w:hAnsi="Arial"/>
          <w:sz w:val="18"/>
          <w:szCs w:val="18"/>
          <w:color w:val="auto"/>
        </w:rPr>
      </w:pPr>
    </w:p>
    <w:p>
      <w:pPr>
        <w:ind w:left="1320" w:hanging="443"/>
        <w:spacing w:after="0"/>
        <w:tabs>
          <w:tab w:leader="none" w:pos="13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shall have the meaning set forth in Section 4.1(a).</w:t>
      </w:r>
    </w:p>
    <w:p>
      <w:pPr>
        <w:spacing w:after="0" w:line="225" w:lineRule="exact"/>
        <w:rPr>
          <w:rFonts w:ascii="Arial" w:cs="Arial" w:eastAsia="Arial" w:hAnsi="Arial"/>
          <w:sz w:val="18"/>
          <w:szCs w:val="18"/>
          <w:color w:val="auto"/>
        </w:rPr>
      </w:pPr>
    </w:p>
    <w:p>
      <w:pPr>
        <w:ind w:right="180" w:firstLine="877"/>
        <w:spacing w:after="0" w:line="277" w:lineRule="auto"/>
        <w:tabs>
          <w:tab w:leader="none" w:pos="1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Selling Stockholders</w:t>
      </w:r>
      <w:r>
        <w:rPr>
          <w:rFonts w:ascii="Arial" w:cs="Arial" w:eastAsia="Arial" w:hAnsi="Arial"/>
          <w:sz w:val="18"/>
          <w:szCs w:val="18"/>
          <w:color w:val="auto"/>
        </w:rPr>
        <w:t>” shall mean persons other than Holders who, by virtue of agreements with the Company, are entitled to include their Other Shares in certain registrations hereunder.</w:t>
      </w:r>
    </w:p>
    <w:p>
      <w:pPr>
        <w:spacing w:after="0" w:line="170" w:lineRule="exact"/>
        <w:rPr>
          <w:rFonts w:ascii="Arial" w:cs="Arial" w:eastAsia="Arial" w:hAnsi="Arial"/>
          <w:sz w:val="18"/>
          <w:szCs w:val="18"/>
          <w:color w:val="auto"/>
        </w:rPr>
      </w:pPr>
    </w:p>
    <w:p>
      <w:pPr>
        <w:ind w:right="460" w:firstLine="877"/>
        <w:spacing w:after="0" w:line="277" w:lineRule="auto"/>
        <w:tabs>
          <w:tab w:leader="none" w:pos="1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Shares</w:t>
      </w:r>
      <w:r>
        <w:rPr>
          <w:rFonts w:ascii="Arial" w:cs="Arial" w:eastAsia="Arial" w:hAnsi="Arial"/>
          <w:sz w:val="18"/>
          <w:szCs w:val="18"/>
          <w:color w:val="auto"/>
        </w:rPr>
        <w:t>” shall mean shares of Common Stock, other than Registrable Securities (as defined below), with respect to which registration rights have been granted.</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shall have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5" w:name="page226"/>
    <w:bookmarkEnd w:id="225"/>
    <w:p>
      <w:pPr>
        <w:ind w:right="100" w:firstLine="877"/>
        <w:spacing w:after="0" w:line="290" w:lineRule="auto"/>
        <w:tabs>
          <w:tab w:leader="none" w:pos="1271"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shall mean (i) shares of Common Stock issued or issuable pursuant to the conversion of the Shares, (ii)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Major Holders after the date hereof, (iii) any Common Stock issued as a dividend or other distribution with respect to or in exchange for or in replacement of the shares referenced in (i) or (ii) above, and (iv) the Founder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Registrable Securities shall not include any shares of Common Stock described in clause (i), (ii), (iii) or (iv)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Founder Registrable Securities shall not be deemed Registrable Securities for purposes of Sections 2.1, 2.3, 2.8, 2.13, 3, 4 or 5.1).</w:t>
      </w:r>
    </w:p>
    <w:p>
      <w:pPr>
        <w:spacing w:after="0" w:line="165" w:lineRule="exact"/>
        <w:rPr>
          <w:rFonts w:ascii="Arial" w:cs="Arial" w:eastAsia="Arial" w:hAnsi="Arial"/>
          <w:sz w:val="16"/>
          <w:szCs w:val="16"/>
          <w:color w:val="auto"/>
        </w:rPr>
      </w:pPr>
    </w:p>
    <w:p>
      <w:pPr>
        <w:ind w:right="140" w:firstLine="877"/>
        <w:spacing w:after="0" w:line="263" w:lineRule="auto"/>
        <w:tabs>
          <w:tab w:leader="none" w:pos="124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83" w:lineRule="exact"/>
        <w:rPr>
          <w:rFonts w:ascii="Arial" w:cs="Arial" w:eastAsia="Arial" w:hAnsi="Arial"/>
          <w:sz w:val="18"/>
          <w:szCs w:val="18"/>
          <w:color w:val="auto"/>
        </w:rPr>
      </w:pPr>
    </w:p>
    <w:p>
      <w:pPr>
        <w:ind w:right="180" w:firstLine="877"/>
        <w:spacing w:after="0" w:line="263" w:lineRule="auto"/>
        <w:tabs>
          <w:tab w:leader="none" w:pos="124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183" w:lineRule="exact"/>
        <w:rPr>
          <w:rFonts w:ascii="Arial" w:cs="Arial" w:eastAsia="Arial" w:hAnsi="Arial"/>
          <w:sz w:val="18"/>
          <w:szCs w:val="18"/>
          <w:color w:val="auto"/>
        </w:rPr>
      </w:pPr>
    </w:p>
    <w:p>
      <w:pPr>
        <w:ind w:right="80" w:firstLine="877"/>
        <w:spacing w:after="0" w:line="257" w:lineRule="auto"/>
        <w:tabs>
          <w:tab w:leader="none" w:pos="123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all expenses incurred in effecting any registration pursuant to this Agreement, including, without limitation, all registration, qualification, and filing fees, printing expenses, escrow fees, fees and disbursements of counsel for the Company and one special counsel for the Holders, blue sky fees and expenses, and expenses of any regular or special audits incident to or required by any such registration, but shall not include Selling Expenses, fees and disbursements of other counsel for the Holders and the compensation of regular employees of the Company, which shall be paid in any event by the Company.</w:t>
      </w:r>
    </w:p>
    <w:p>
      <w:pPr>
        <w:spacing w:after="0" w:line="187" w:lineRule="exact"/>
        <w:rPr>
          <w:rFonts w:ascii="Arial" w:cs="Arial" w:eastAsia="Arial" w:hAnsi="Arial"/>
          <w:sz w:val="18"/>
          <w:szCs w:val="18"/>
          <w:color w:val="auto"/>
        </w:rPr>
      </w:pPr>
    </w:p>
    <w:p>
      <w:pPr>
        <w:ind w:left="1260" w:hanging="383"/>
        <w:spacing w:after="0"/>
        <w:tabs>
          <w:tab w:leader="none" w:pos="1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shall mean the Fourth Amended and Restated Certificate of Incorporation of the Company,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260" w:hanging="383"/>
        <w:spacing w:after="0"/>
        <w:tabs>
          <w:tab w:leader="none" w:pos="1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shall mean any Registrable Securities required to bear the first legend set forth in Section 2.8(c).</w:t>
      </w:r>
    </w:p>
    <w:p>
      <w:pPr>
        <w:spacing w:after="0" w:line="225" w:lineRule="exact"/>
        <w:rPr>
          <w:rFonts w:ascii="Arial" w:cs="Arial" w:eastAsia="Arial" w:hAnsi="Arial"/>
          <w:sz w:val="18"/>
          <w:szCs w:val="18"/>
          <w:color w:val="auto"/>
        </w:rPr>
      </w:pPr>
    </w:p>
    <w:p>
      <w:pPr>
        <w:ind w:right="320" w:firstLine="877"/>
        <w:spacing w:after="0" w:line="277" w:lineRule="auto"/>
        <w:tabs>
          <w:tab w:leader="none" w:pos="13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77"/>
        <w:spacing w:after="0" w:line="277" w:lineRule="auto"/>
        <w:tabs>
          <w:tab w:leader="none" w:pos="12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145</w:t>
      </w:r>
      <w:r>
        <w:rPr>
          <w:rFonts w:ascii="Arial" w:cs="Arial" w:eastAsia="Arial" w:hAnsi="Arial"/>
          <w:sz w:val="18"/>
          <w:szCs w:val="18"/>
          <w:color w:val="auto"/>
        </w:rPr>
        <w:t>” shall mean Rule 145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77"/>
        <w:spacing w:after="0" w:line="277" w:lineRule="auto"/>
        <w:tabs>
          <w:tab w:leader="none" w:pos="12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shall mean Rule 415 as promulgated by the Commission under the Securities Act, as such Rule may be amended from time to time, or any similar successor rule that may be promulgated by the Commission.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6" w:name="page227"/>
    <w:bookmarkEnd w:id="226"/>
    <w:p>
      <w:pPr>
        <w:ind w:right="720" w:firstLine="877"/>
        <w:spacing w:after="0" w:line="277" w:lineRule="auto"/>
        <w:tabs>
          <w:tab w:leader="none" w:pos="12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firstLine="877"/>
        <w:spacing w:after="0" w:line="263" w:lineRule="auto"/>
        <w:tabs>
          <w:tab w:leader="none" w:pos="134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included in Registration Expenses).</w:t>
      </w:r>
    </w:p>
    <w:p>
      <w:pPr>
        <w:spacing w:after="0" w:line="183" w:lineRule="exact"/>
        <w:rPr>
          <w:rFonts w:ascii="Arial" w:cs="Arial" w:eastAsia="Arial" w:hAnsi="Arial"/>
          <w:sz w:val="18"/>
          <w:szCs w:val="18"/>
          <w:color w:val="auto"/>
        </w:rPr>
      </w:pPr>
    </w:p>
    <w:p>
      <w:pPr>
        <w:ind w:right="380" w:firstLine="877"/>
        <w:spacing w:after="0" w:line="277" w:lineRule="auto"/>
        <w:tabs>
          <w:tab w:leader="none" w:pos="136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Company’s Series A Preferred Stock, the Company’s Series B Preferred Stock, the Company’s Series C Preferred Stock, and the Company’s Series D Preferred.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Requested Registration.</w:t>
      </w:r>
    </w:p>
    <w:p>
      <w:pPr>
        <w:spacing w:after="0" w:line="121" w:lineRule="exact"/>
        <w:rPr>
          <w:sz w:val="20"/>
          <w:szCs w:val="20"/>
          <w:color w:val="auto"/>
        </w:rPr>
      </w:pPr>
    </w:p>
    <w:p>
      <w:pPr>
        <w:jc w:val="both"/>
        <w:ind w:right="60" w:firstLine="877"/>
        <w:spacing w:after="0" w:line="259" w:lineRule="auto"/>
        <w:tabs>
          <w:tab w:leader="none" w:pos="1261"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Request for Registration. </w:t>
      </w:r>
      <w:r>
        <w:rPr>
          <w:rFonts w:ascii="Arial" w:cs="Arial" w:eastAsia="Arial" w:hAnsi="Arial"/>
          <w:sz w:val="18"/>
          <w:szCs w:val="18"/>
          <w:color w:val="auto"/>
        </w:rPr>
        <w:t>Subject to the conditions set forth in this Section 2.1, if the Company shall receive from Initiating 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request signed by such Initiating Holders that the Company effect any registration with respect to all or a part of the Registrable Securities (such request shall state the number of shares of Registrable Securities to be disposed of and the intended methods of disposition of such shares by such Initiating Holders), the Company will:</w:t>
      </w:r>
    </w:p>
    <w:p>
      <w:pPr>
        <w:spacing w:after="0" w:line="186" w:lineRule="exact"/>
        <w:rPr>
          <w:rFonts w:ascii="Arial" w:cs="Arial" w:eastAsia="Arial" w:hAnsi="Arial"/>
          <w:sz w:val="18"/>
          <w:szCs w:val="18"/>
          <w:color w:val="auto"/>
        </w:rPr>
      </w:pPr>
    </w:p>
    <w:p>
      <w:pPr>
        <w:ind w:left="1780" w:hanging="352"/>
        <w:spacing w:after="0"/>
        <w:tabs>
          <w:tab w:leader="none" w:pos="17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other Holders; and</w:t>
      </w:r>
    </w:p>
    <w:p>
      <w:pPr>
        <w:spacing w:after="0" w:line="225" w:lineRule="exact"/>
        <w:rPr>
          <w:rFonts w:ascii="Arial" w:cs="Arial" w:eastAsia="Arial" w:hAnsi="Arial"/>
          <w:sz w:val="18"/>
          <w:szCs w:val="18"/>
          <w:color w:val="auto"/>
        </w:rPr>
      </w:pPr>
    </w:p>
    <w:p>
      <w:pPr>
        <w:ind w:firstLine="1428"/>
        <w:spacing w:after="0" w:line="275" w:lineRule="auto"/>
        <w:tabs>
          <w:tab w:leader="none" w:pos="183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76" w:lineRule="exact"/>
        <w:rPr>
          <w:rFonts w:ascii="Arial" w:cs="Arial" w:eastAsia="Arial" w:hAnsi="Arial"/>
          <w:sz w:val="17"/>
          <w:szCs w:val="17"/>
          <w:color w:val="auto"/>
        </w:rPr>
      </w:pPr>
    </w:p>
    <w:p>
      <w:pPr>
        <w:ind w:right="640" w:firstLine="877"/>
        <w:spacing w:after="0" w:line="277" w:lineRule="auto"/>
        <w:tabs>
          <w:tab w:leader="none" w:pos="1271"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Requested Registration. </w:t>
      </w:r>
      <w:r>
        <w:rPr>
          <w:rFonts w:ascii="Arial" w:cs="Arial" w:eastAsia="Arial" w:hAnsi="Arial"/>
          <w:sz w:val="18"/>
          <w:szCs w:val="18"/>
          <w:color w:val="auto"/>
        </w:rPr>
        <w:t>The Company shall not be obligated to effect, or to take any action to effect,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pursuant to this Section 2.1:</w:t>
      </w:r>
    </w:p>
    <w:p>
      <w:pPr>
        <w:spacing w:after="0" w:line="170" w:lineRule="exact"/>
        <w:rPr>
          <w:rFonts w:ascii="Arial" w:cs="Arial" w:eastAsia="Arial" w:hAnsi="Arial"/>
          <w:sz w:val="18"/>
          <w:szCs w:val="18"/>
          <w:color w:val="auto"/>
        </w:rPr>
      </w:pPr>
    </w:p>
    <w:p>
      <w:pPr>
        <w:jc w:val="both"/>
        <w:ind w:right="460" w:firstLine="1428"/>
        <w:spacing w:after="0" w:line="286" w:lineRule="auto"/>
        <w:tabs>
          <w:tab w:leader="none" w:pos="178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Prior to the earlier of (A) the five (5) year anniversary of the date of this Agreement or (B) one hundred eighty (180) days following the effective date of the first registration statement filed by the Company covering an underwritten offering of any of its securities to the public (or the subsequent date on which all market stand-off agreements applicable to the offering have terminated);</w:t>
      </w:r>
    </w:p>
    <w:p>
      <w:pPr>
        <w:spacing w:after="0" w:line="165" w:lineRule="exact"/>
        <w:rPr>
          <w:rFonts w:ascii="Arial" w:cs="Arial" w:eastAsia="Arial" w:hAnsi="Arial"/>
          <w:sz w:val="17"/>
          <w:szCs w:val="17"/>
          <w:color w:val="auto"/>
        </w:rPr>
      </w:pPr>
    </w:p>
    <w:p>
      <w:pPr>
        <w:ind w:firstLine="1428"/>
        <w:spacing w:after="0" w:line="263" w:lineRule="auto"/>
        <w:tabs>
          <w:tab w:leader="none" w:pos="183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the Initiating Holders, together with the holders of any other securities of the Company entitled to inclusion in such registration statement, propose to sell Registrable Securities and such other securities (if any) at an aggregate offering price of less than $10,000,000 (net of underwriters’ discounts and expenses);</w:t>
      </w:r>
    </w:p>
    <w:p>
      <w:pPr>
        <w:spacing w:after="0" w:line="183" w:lineRule="exact"/>
        <w:rPr>
          <w:rFonts w:ascii="Arial" w:cs="Arial" w:eastAsia="Arial" w:hAnsi="Arial"/>
          <w:sz w:val="18"/>
          <w:szCs w:val="18"/>
          <w:color w:val="auto"/>
        </w:rPr>
      </w:pPr>
    </w:p>
    <w:p>
      <w:pPr>
        <w:ind w:right="260" w:firstLine="1428"/>
        <w:spacing w:after="0" w:line="263" w:lineRule="auto"/>
        <w:tabs>
          <w:tab w:leader="none" w:pos="188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27" w:name="page228"/>
    <w:bookmarkEnd w:id="227"/>
    <w:p>
      <w:pPr>
        <w:jc w:val="both"/>
        <w:ind w:left="-20" w:right="100" w:firstLine="1428"/>
        <w:spacing w:after="0" w:line="311" w:lineRule="auto"/>
        <w:tabs>
          <w:tab w:leader="none" w:pos="1852" w:val="left"/>
        </w:tabs>
        <w:numPr>
          <w:ilvl w:val="1"/>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Initiating Holders have requested a registration to be effected in a jurisdiction other than the United States, to the extent the Board determines in its sole discretion that such registration would impose materially more burdensome or costly obligations on the part of the Company as compared to those to which the Company would be subject if the request was for a registration to be effected in the United States;</w:t>
      </w:r>
    </w:p>
    <w:p>
      <w:pPr>
        <w:spacing w:after="0" w:line="148" w:lineRule="exact"/>
        <w:rPr>
          <w:rFonts w:ascii="Arial" w:cs="Arial" w:eastAsia="Arial" w:hAnsi="Arial"/>
          <w:sz w:val="16"/>
          <w:szCs w:val="16"/>
          <w:color w:val="auto"/>
        </w:rPr>
      </w:pPr>
    </w:p>
    <w:p>
      <w:pPr>
        <w:ind w:left="1780" w:hanging="372"/>
        <w:spacing w:after="0"/>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After the Company has initiated two such registrations pursuant to this Section 2.1;</w:t>
      </w:r>
    </w:p>
    <w:p>
      <w:pPr>
        <w:spacing w:after="0" w:line="225" w:lineRule="exact"/>
        <w:rPr>
          <w:rFonts w:ascii="Arial" w:cs="Arial" w:eastAsia="Arial" w:hAnsi="Arial"/>
          <w:sz w:val="18"/>
          <w:szCs w:val="18"/>
          <w:color w:val="auto"/>
        </w:rPr>
      </w:pPr>
    </w:p>
    <w:p>
      <w:pPr>
        <w:jc w:val="both"/>
        <w:ind w:left="-20" w:right="40" w:firstLine="1428"/>
        <w:spacing w:after="0" w:line="259" w:lineRule="auto"/>
        <w:tabs>
          <w:tab w:leader="none" w:pos="185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w:t>
      </w:r>
    </w:p>
    <w:p>
      <w:pPr>
        <w:spacing w:after="0" w:line="186" w:lineRule="exact"/>
        <w:rPr>
          <w:rFonts w:ascii="Arial" w:cs="Arial" w:eastAsia="Arial" w:hAnsi="Arial"/>
          <w:sz w:val="18"/>
          <w:szCs w:val="18"/>
          <w:color w:val="auto"/>
        </w:rPr>
      </w:pPr>
    </w:p>
    <w:p>
      <w:pPr>
        <w:ind w:left="-20" w:right="20" w:firstLine="1428"/>
        <w:spacing w:after="0" w:line="277" w:lineRule="auto"/>
        <w:tabs>
          <w:tab w:leader="none" w:pos="190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registered on Form S-3 pursuant to a request made under Section 2.3;</w:t>
      </w:r>
    </w:p>
    <w:p>
      <w:pPr>
        <w:spacing w:after="0" w:line="170" w:lineRule="exact"/>
        <w:rPr>
          <w:rFonts w:ascii="Arial" w:cs="Arial" w:eastAsia="Arial" w:hAnsi="Arial"/>
          <w:sz w:val="18"/>
          <w:szCs w:val="18"/>
          <w:color w:val="auto"/>
        </w:rPr>
      </w:pPr>
    </w:p>
    <w:p>
      <w:pPr>
        <w:ind w:left="-20" w:right="260" w:firstLine="1428"/>
        <w:spacing w:after="0" w:line="277" w:lineRule="auto"/>
        <w:tabs>
          <w:tab w:leader="none" w:pos="195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the Initiating Holders do not request that such offering be firmly underwritten by underwriters selected by the Initiating Holders (subject to the consent of the Company); or</w:t>
      </w:r>
    </w:p>
    <w:p>
      <w:pPr>
        <w:spacing w:after="0" w:line="170" w:lineRule="exact"/>
        <w:rPr>
          <w:rFonts w:ascii="Arial" w:cs="Arial" w:eastAsia="Arial" w:hAnsi="Arial"/>
          <w:sz w:val="18"/>
          <w:szCs w:val="18"/>
          <w:color w:val="auto"/>
        </w:rPr>
      </w:pPr>
    </w:p>
    <w:p>
      <w:pPr>
        <w:ind w:left="-20" w:right="40" w:firstLine="1428"/>
        <w:spacing w:after="0" w:line="277" w:lineRule="auto"/>
        <w:tabs>
          <w:tab w:leader="none" w:pos="185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the Company and the Initiating Holders are unable to obtain the commitment of the underwriter described in clause (b)(viii) above to firmly underwrite the offer.</w:t>
      </w:r>
    </w:p>
    <w:p>
      <w:pPr>
        <w:spacing w:after="0" w:line="170" w:lineRule="exact"/>
        <w:rPr>
          <w:rFonts w:ascii="Arial" w:cs="Arial" w:eastAsia="Arial" w:hAnsi="Arial"/>
          <w:sz w:val="18"/>
          <w:szCs w:val="18"/>
          <w:color w:val="auto"/>
        </w:rPr>
      </w:pPr>
    </w:p>
    <w:p>
      <w:pPr>
        <w:ind w:left="-20" w:right="40" w:firstLine="877"/>
        <w:spacing w:after="0" w:line="291" w:lineRule="auto"/>
        <w:tabs>
          <w:tab w:leader="none" w:pos="1241" w:val="left"/>
        </w:tabs>
        <w:numPr>
          <w:ilvl w:val="0"/>
          <w:numId w:val="1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Deferral. </w:t>
      </w:r>
      <w:r>
        <w:rPr>
          <w:rFonts w:ascii="Arial" w:cs="Arial" w:eastAsia="Arial" w:hAnsi="Arial"/>
          <w:sz w:val="16"/>
          <w:szCs w:val="16"/>
          <w:color w:val="auto"/>
        </w:rPr>
        <w:t>If (i) in the good faith judgment of the Board, the filing of a registration statement covering the Registrable Securities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detrimental to the Company and the Board concludes, as a result, that it is in the best interests of the Company to defer the filing of such registration statement at such time, and (ii) the Company shall furnish to such Holders a certificate signed by the President of the Company stating that in the good faith judgment of the Board, it would be detrimental to the Company for such registration statement to be filed in the near future and that it is, therefore, in the best interests of the Company to defer the filing of such registration statement, then (in addition to the limitations set forth in Section 2.1(b)(vi) above) the Company shall have the right to defer such filing for a period of not more than ninety (90) days after receipt of the request of the Initiating Holders, and, provided further, that the Company shall not defer its obligation in this manner more than twice in any twelve-month period.</w:t>
      </w:r>
    </w:p>
    <w:p>
      <w:pPr>
        <w:spacing w:after="0" w:line="166" w:lineRule="exact"/>
        <w:rPr>
          <w:rFonts w:ascii="Arial" w:cs="Arial" w:eastAsia="Arial" w:hAnsi="Arial"/>
          <w:sz w:val="16"/>
          <w:szCs w:val="16"/>
          <w:color w:val="auto"/>
        </w:rPr>
      </w:pPr>
    </w:p>
    <w:p>
      <w:pPr>
        <w:ind w:left="-20" w:right="540" w:firstLine="877"/>
        <w:spacing w:after="0" w:line="308" w:lineRule="auto"/>
        <w:tabs>
          <w:tab w:leader="none" w:pos="1251" w:val="left"/>
        </w:tabs>
        <w:numPr>
          <w:ilvl w:val="0"/>
          <w:numId w:val="1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Shares. </w:t>
      </w:r>
      <w:r>
        <w:rPr>
          <w:rFonts w:ascii="Arial" w:cs="Arial" w:eastAsia="Arial" w:hAnsi="Arial"/>
          <w:sz w:val="17"/>
          <w:szCs w:val="17"/>
          <w:color w:val="auto"/>
        </w:rPr>
        <w:t>The registration statement filed pursuant to the request of the Initiating Holders may, subject to the provisions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2.1(e), include Other Shares, and may include securities of the Company being sold for the account of the Company.</w:t>
      </w:r>
    </w:p>
    <w:p>
      <w:pPr>
        <w:spacing w:after="0" w:line="146" w:lineRule="exact"/>
        <w:rPr>
          <w:rFonts w:ascii="Arial" w:cs="Arial" w:eastAsia="Arial" w:hAnsi="Arial"/>
          <w:sz w:val="17"/>
          <w:szCs w:val="17"/>
          <w:color w:val="auto"/>
        </w:rPr>
      </w:pPr>
    </w:p>
    <w:p>
      <w:pPr>
        <w:ind w:left="-20" w:firstLine="877"/>
        <w:spacing w:after="0" w:line="255" w:lineRule="auto"/>
        <w:tabs>
          <w:tab w:leader="none" w:pos="1241"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The right of any Holder to include all or any portion of its Registrable Securities in a registration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2.1 shall be conditioned upon such Holder’s participation in an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 of the Company or such other persons in such underwriting and the inclusion of the Company’s and such person’s other securities 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228" w:name="page229"/>
    <w:bookmarkEnd w:id="22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the Company, which underwriters are reasonably acceptable to a majority-in-interest of the Initiating Holders.</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based on the pro rata percentage of Registerable Securities held by such Holder, assuming conversion; (ii) second, to the Other Selling Stockholders requesting to include Other Shares in such registration statement based on the pro rata percentage of Other Shares held by such Other Selling Stockholders, assuming conversion; and (iii) third, to the Company, which the Company may allocate, at its discretion, for its own account, or for the account of other holders or employees of the Company.</w:t>
      </w:r>
    </w:p>
    <w:p>
      <w:pPr>
        <w:spacing w:after="0" w:line="16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2.1(e),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28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Company Registration.</w:t>
      </w:r>
    </w:p>
    <w:p>
      <w:pPr>
        <w:spacing w:after="0" w:line="121" w:lineRule="exact"/>
        <w:rPr>
          <w:sz w:val="20"/>
          <w:szCs w:val="20"/>
          <w:color w:val="auto"/>
        </w:rPr>
      </w:pPr>
    </w:p>
    <w:p>
      <w:pPr>
        <w:ind w:right="60" w:firstLine="877"/>
        <w:spacing w:after="0" w:line="259" w:lineRule="auto"/>
        <w:tabs>
          <w:tab w:leader="none" w:pos="1261" w:val="left"/>
        </w:tabs>
        <w:numPr>
          <w:ilvl w:val="0"/>
          <w:numId w:val="1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Registration. </w:t>
      </w:r>
      <w:r>
        <w:rPr>
          <w:rFonts w:ascii="Arial" w:cs="Arial" w:eastAsia="Arial" w:hAnsi="Arial"/>
          <w:sz w:val="18"/>
          <w:szCs w:val="18"/>
          <w:color w:val="auto"/>
        </w:rPr>
        <w:t>If the Company shall determine to register any of its securities either for its own account or the account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86" w:lineRule="exact"/>
        <w:rPr>
          <w:rFonts w:ascii="Arial" w:cs="Arial" w:eastAsia="Arial" w:hAnsi="Arial"/>
          <w:sz w:val="18"/>
          <w:szCs w:val="18"/>
          <w:color w:val="auto"/>
        </w:rPr>
      </w:pPr>
    </w:p>
    <w:p>
      <w:pPr>
        <w:ind w:left="1780" w:hanging="352"/>
        <w:spacing w:after="0"/>
        <w:tabs>
          <w:tab w:leader="none" w:pos="17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Holders; and</w:t>
      </w:r>
    </w:p>
    <w:p>
      <w:pPr>
        <w:spacing w:after="0" w:line="225" w:lineRule="exact"/>
        <w:rPr>
          <w:rFonts w:ascii="Arial" w:cs="Arial" w:eastAsia="Arial" w:hAnsi="Arial"/>
          <w:sz w:val="18"/>
          <w:szCs w:val="18"/>
          <w:color w:val="auto"/>
        </w:rPr>
      </w:pPr>
    </w:p>
    <w:p>
      <w:pPr>
        <w:ind w:right="220" w:firstLine="1428"/>
        <w:spacing w:after="0" w:line="279" w:lineRule="auto"/>
        <w:tabs>
          <w:tab w:leader="none" w:pos="1832" w:val="left"/>
        </w:tabs>
        <w:numPr>
          <w:ilvl w:val="1"/>
          <w:numId w:val="180"/>
        </w:numPr>
        <w:rPr>
          <w:rFonts w:ascii="Arial" w:cs="Arial" w:eastAsia="Arial" w:hAnsi="Arial"/>
          <w:sz w:val="17"/>
          <w:szCs w:val="17"/>
          <w:color w:val="auto"/>
        </w:rPr>
      </w:pPr>
      <w:r>
        <w:rPr>
          <w:rFonts w:ascii="Arial" w:cs="Arial" w:eastAsia="Arial" w:hAnsi="Arial"/>
          <w:sz w:val="17"/>
          <w:szCs w:val="17"/>
          <w:color w:val="auto"/>
        </w:rPr>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71" w:lineRule="exact"/>
        <w:rPr>
          <w:rFonts w:ascii="Arial" w:cs="Arial" w:eastAsia="Arial" w:hAnsi="Arial"/>
          <w:sz w:val="17"/>
          <w:szCs w:val="17"/>
          <w:color w:val="auto"/>
        </w:rPr>
      </w:pPr>
    </w:p>
    <w:p>
      <w:pPr>
        <w:ind w:right="140" w:firstLine="877"/>
        <w:spacing w:after="0" w:line="286" w:lineRule="auto"/>
        <w:tabs>
          <w:tab w:leader="none" w:pos="1271" w:val="left"/>
        </w:tabs>
        <w:numPr>
          <w:ilvl w:val="0"/>
          <w:numId w:val="1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Underwriting. </w:t>
      </w:r>
      <w:r>
        <w:rPr>
          <w:rFonts w:ascii="Arial" w:cs="Arial" w:eastAsia="Arial" w:hAnsi="Arial"/>
          <w:sz w:val="17"/>
          <w:szCs w:val="17"/>
          <w:color w:val="auto"/>
        </w:rPr>
        <w:t>If the registration of which the Company gives notice is for a registered public offering involving an underwriting,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9" w:name="page230"/>
    <w:bookmarkEnd w:id="22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inclusion of such Holder’s Registrable Securities in the underwriting to the extent provided herein. All Holders proposing to distribute their securities through such underwriting shall (together with the Company, the Other Selling Stockholders and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8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(other than Founder) requesting to include Registrable Securities (other than Founder Registrable Securities)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Registrable Securities held by such Holders, assuming conversion, (iii) third, to Founder if he requests inclusion of Founder Registrable Securities in such registration, and (iv) fourth, to the Other Selling Stockholders requesting to include Other Shares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Other Shares held by such Other Selling Stockholders, assuming conversion.</w:t>
      </w:r>
    </w:p>
    <w:p>
      <w:pPr>
        <w:spacing w:after="0" w:line="18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w:t>
      </w:r>
    </w:p>
    <w:p>
      <w:pPr>
        <w:spacing w:after="0" w:line="187" w:lineRule="exact"/>
        <w:rPr>
          <w:sz w:val="20"/>
          <w:szCs w:val="20"/>
          <w:color w:val="auto"/>
        </w:rPr>
      </w:pPr>
    </w:p>
    <w:p>
      <w:pPr>
        <w:ind w:right="100" w:firstLine="877"/>
        <w:spacing w:after="0" w:line="342" w:lineRule="auto"/>
        <w:tabs>
          <w:tab w:leader="none" w:pos="1261" w:val="left"/>
        </w:tabs>
        <w:numPr>
          <w:ilvl w:val="0"/>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Registration. </w:t>
      </w:r>
      <w:r>
        <w:rPr>
          <w:rFonts w:ascii="Arial" w:cs="Arial" w:eastAsia="Arial" w:hAnsi="Arial"/>
          <w:sz w:val="16"/>
          <w:szCs w:val="16"/>
          <w:color w:val="auto"/>
        </w:rPr>
        <w:t>The Company shall have the right to terminate or withdraw any registration initiated by it under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2.2 prior to the effectiveness of such registration whether or not any Holder has elected to include securities in such registration.</w:t>
      </w:r>
    </w:p>
    <w:p>
      <w:pPr>
        <w:spacing w:after="0" w:line="22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 on Form S-3.</w:t>
      </w:r>
    </w:p>
    <w:p>
      <w:pPr>
        <w:spacing w:after="0" w:line="121" w:lineRule="exact"/>
        <w:rPr>
          <w:sz w:val="20"/>
          <w:szCs w:val="20"/>
          <w:color w:val="auto"/>
        </w:rPr>
      </w:pPr>
    </w:p>
    <w:p>
      <w:pPr>
        <w:ind w:firstLine="877"/>
        <w:spacing w:after="0" w:line="272" w:lineRule="auto"/>
        <w:tabs>
          <w:tab w:leader="none" w:pos="1261" w:val="left"/>
        </w:tabs>
        <w:numPr>
          <w:ilvl w:val="0"/>
          <w:numId w:val="182"/>
        </w:numPr>
        <w:rPr>
          <w:rFonts w:ascii="Arial" w:cs="Arial" w:eastAsia="Arial" w:hAnsi="Arial"/>
          <w:sz w:val="17"/>
          <w:szCs w:val="17"/>
          <w:color w:val="auto"/>
        </w:rPr>
      </w:pPr>
      <w:r>
        <w:rPr>
          <w:rFonts w:ascii="Arial" w:cs="Arial" w:eastAsia="Arial" w:hAnsi="Arial"/>
          <w:sz w:val="17"/>
          <w:szCs w:val="17"/>
          <w:b w:val="1"/>
          <w:bCs w:val="1"/>
          <w:i w:val="1"/>
          <w:iCs w:val="1"/>
          <w:color w:val="auto"/>
        </w:rPr>
        <w:t>Request for Form S-3 Registration</w:t>
      </w:r>
      <w:r>
        <w:rPr>
          <w:rFonts w:ascii="Arial" w:cs="Arial" w:eastAsia="Arial" w:hAnsi="Arial"/>
          <w:sz w:val="17"/>
          <w:szCs w:val="17"/>
          <w:color w:val="auto"/>
        </w:rPr>
        <w:t>. After its Initial Public Offering, the Company shall use its commercially reasonable efforts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from a Holder or Holders of Registrable Securities a written request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2.1(a)(ii).</w:t>
      </w:r>
    </w:p>
    <w:p>
      <w:pPr>
        <w:spacing w:after="0" w:line="177" w:lineRule="exact"/>
        <w:rPr>
          <w:rFonts w:ascii="Arial" w:cs="Arial" w:eastAsia="Arial" w:hAnsi="Arial"/>
          <w:sz w:val="17"/>
          <w:szCs w:val="17"/>
          <w:color w:val="auto"/>
        </w:rPr>
      </w:pPr>
    </w:p>
    <w:p>
      <w:pPr>
        <w:ind w:firstLine="877"/>
        <w:spacing w:after="0" w:line="277" w:lineRule="auto"/>
        <w:tabs>
          <w:tab w:leader="none" w:pos="1271"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Form S-3 Registration. </w:t>
      </w:r>
      <w:r>
        <w:rPr>
          <w:rFonts w:ascii="Arial" w:cs="Arial" w:eastAsia="Arial" w:hAnsi="Arial"/>
          <w:sz w:val="18"/>
          <w:szCs w:val="18"/>
          <w:color w:val="auto"/>
        </w:rPr>
        <w:t>The Company shall not be obligated to effect, or take any action to effect, any such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Section 2.3:</w:t>
      </w:r>
    </w:p>
    <w:p>
      <w:pPr>
        <w:spacing w:after="0" w:line="170" w:lineRule="exact"/>
        <w:rPr>
          <w:sz w:val="20"/>
          <w:szCs w:val="20"/>
          <w:color w:val="auto"/>
        </w:rPr>
      </w:pPr>
    </w:p>
    <w:p>
      <w:pPr>
        <w:ind w:left="5400" w:right="3280" w:hanging="3972"/>
        <w:spacing w:after="0" w:line="449" w:lineRule="auto"/>
        <w:tabs>
          <w:tab w:leader="none" w:pos="177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circumstances described in either Sections 2.1(b)(i), 2.1(b)(iii) or 2.1(b)(vi); -7-</w:t>
      </w:r>
    </w:p>
    <w:p>
      <w:pPr>
        <w:sectPr>
          <w:pgSz w:w="11900" w:h="16838" w:orient="portrait"/>
          <w:cols w:equalWidth="0" w:num="1">
            <w:col w:w="11000"/>
          </w:cols>
          <w:pgMar w:left="440" w:top="274" w:right="459" w:bottom="1440" w:gutter="0" w:footer="0" w:header="0"/>
        </w:sectPr>
      </w:pPr>
    </w:p>
    <w:bookmarkStart w:id="230" w:name="page231"/>
    <w:bookmarkEnd w:id="230"/>
    <w:p>
      <w:pPr>
        <w:jc w:val="both"/>
        <w:ind w:right="500" w:firstLine="1428"/>
        <w:spacing w:after="0" w:line="342" w:lineRule="auto"/>
        <w:tabs>
          <w:tab w:leader="none" w:pos="1832"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Holders, together with the holders of any other securities of the Company entitled to inclusion in such registration, propose to sell Registrable Securities and such other securities (if any) on Form S-3 at an aggregate price to the public of less than $1,000,000; or</w:t>
      </w:r>
    </w:p>
    <w:p>
      <w:pPr>
        <w:spacing w:after="0" w:line="123" w:lineRule="exact"/>
        <w:rPr>
          <w:rFonts w:ascii="Arial" w:cs="Arial" w:eastAsia="Arial" w:hAnsi="Arial"/>
          <w:sz w:val="16"/>
          <w:szCs w:val="16"/>
          <w:color w:val="auto"/>
        </w:rPr>
      </w:pPr>
    </w:p>
    <w:p>
      <w:pPr>
        <w:ind w:left="1880" w:hanging="452"/>
        <w:spacing w:after="0"/>
        <w:tabs>
          <w:tab w:leader="none" w:pos="18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in a given twelve-month period, the Company has effected two (2) such registrations in such period.</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w:t>
      </w:r>
      <w:r>
        <w:rPr>
          <w:rFonts w:ascii="Arial" w:cs="Arial" w:eastAsia="Arial" w:hAnsi="Arial"/>
          <w:sz w:val="18"/>
          <w:szCs w:val="18"/>
          <w:color w:val="auto"/>
        </w:rPr>
        <w:t>The provisions of Section 2.1(c) shall apply to any registration pursuant to this Section 2.3.</w:t>
      </w:r>
    </w:p>
    <w:p>
      <w:pPr>
        <w:spacing w:after="0" w:line="225" w:lineRule="exact"/>
        <w:rPr>
          <w:rFonts w:ascii="Arial" w:cs="Arial" w:eastAsia="Arial" w:hAnsi="Arial"/>
          <w:sz w:val="18"/>
          <w:szCs w:val="18"/>
          <w:color w:val="auto"/>
        </w:rPr>
      </w:pPr>
    </w:p>
    <w:p>
      <w:pPr>
        <w:ind w:right="20" w:firstLine="877"/>
        <w:spacing w:after="0" w:line="259" w:lineRule="auto"/>
        <w:tabs>
          <w:tab w:leader="none" w:pos="1271"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If the Holders of Registrable Securities requesting registration under this Section 2.3 intend to distribute the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covered by their request by means of an underwriting, the provisions of Section 2.1(e)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8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2.4 Expenses of Registration. </w:t>
      </w:r>
      <w:r>
        <w:rPr>
          <w:rFonts w:ascii="Arial" w:cs="Arial" w:eastAsia="Arial" w:hAnsi="Arial"/>
          <w:sz w:val="17"/>
          <w:szCs w:val="17"/>
          <w:color w:val="auto"/>
        </w:rPr>
        <w:t>All Registration Expenses incurred in connection with registrations pursuant to Sections 2.1, 2.2 and 2.3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required to pay for any expenses of any registration proceeding begun pursuant to Sections 2.1 and 2.3 if the registration request is subsequently withdrawn at the request of the Holders holding a majority of Registrable Securities then outstanding to be registered or because a sufficient number of Holders shall have withdrawn so that the minimum offering conditions set forth in Sections 2.1 and 2.3 are no longer satisfied (in which case all participating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based on the number of Registrable Securities requested to be so registered), unless the Holders holding of a majority of Registrable Securities then outstanding agree to forfeit their right to a demand registration pursuant to Section 2.1. All Selling Expenses relating to securities registered on behalf of the Holders shall be borne by the holders of securities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on the basis of the number of Registrable Securities so registered.</w:t>
      </w:r>
    </w:p>
    <w:p>
      <w:pPr>
        <w:spacing w:after="0" w:line="17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2.5 Registration Procedures. </w:t>
      </w:r>
      <w:r>
        <w:rPr>
          <w:rFonts w:ascii="Arial" w:cs="Arial" w:eastAsia="Arial" w:hAnsi="Arial"/>
          <w:sz w:val="18"/>
          <w:szCs w:val="18"/>
          <w:color w:val="auto"/>
        </w:rPr>
        <w:t>In the case of each registration effected by the Company pursuant to Section 2, the Company will keep each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advised in writing as to the initiation of each registration and as to the completion thereof. At its expense, the Company will use its commercially reasonable efforts to:</w:t>
      </w:r>
    </w:p>
    <w:p>
      <w:pPr>
        <w:spacing w:after="0" w:line="180" w:lineRule="exact"/>
        <w:rPr>
          <w:sz w:val="20"/>
          <w:szCs w:val="20"/>
          <w:color w:val="auto"/>
        </w:rPr>
      </w:pPr>
    </w:p>
    <w:p>
      <w:pPr>
        <w:ind w:right="140" w:firstLine="877"/>
        <w:spacing w:after="0" w:line="342" w:lineRule="auto"/>
        <w:tabs>
          <w:tab w:leader="none" w:pos="126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Keep such registration effective for a period of ending on the earlier of the date which is sixty (60) days from the effective date of the registration statement or such time as the Holder or Holders have completed the distribution described in the registration statement relating thereto;</w:t>
      </w:r>
    </w:p>
    <w:p>
      <w:pPr>
        <w:spacing w:after="0" w:line="123" w:lineRule="exact"/>
        <w:rPr>
          <w:rFonts w:ascii="Arial" w:cs="Arial" w:eastAsia="Arial" w:hAnsi="Arial"/>
          <w:sz w:val="16"/>
          <w:szCs w:val="16"/>
          <w:color w:val="auto"/>
        </w:rPr>
      </w:pPr>
    </w:p>
    <w:p>
      <w:pPr>
        <w:ind w:right="40" w:firstLine="877"/>
        <w:spacing w:after="0" w:line="263" w:lineRule="auto"/>
        <w:tabs>
          <w:tab w:leader="none" w:pos="127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3" w:lineRule="exact"/>
        <w:rPr>
          <w:rFonts w:ascii="Arial" w:cs="Arial" w:eastAsia="Arial" w:hAnsi="Arial"/>
          <w:sz w:val="18"/>
          <w:szCs w:val="18"/>
          <w:color w:val="auto"/>
        </w:rPr>
      </w:pPr>
    </w:p>
    <w:p>
      <w:pPr>
        <w:ind w:right="300" w:firstLine="877"/>
        <w:spacing w:after="0" w:line="277" w:lineRule="auto"/>
        <w:tabs>
          <w:tab w:leader="none" w:pos="126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Furnish such number of prospectuses, including any preliminary prospectuses, and other documents incident thereto, including any amendment of or supplement to the prospectus, as a Holder from time to time may reasonably request;</w:t>
      </w:r>
    </w:p>
    <w:p>
      <w:pPr>
        <w:spacing w:after="0" w:line="170" w:lineRule="exact"/>
        <w:rPr>
          <w:rFonts w:ascii="Arial" w:cs="Arial" w:eastAsia="Arial" w:hAnsi="Arial"/>
          <w:sz w:val="18"/>
          <w:szCs w:val="18"/>
          <w:color w:val="auto"/>
        </w:rPr>
      </w:pPr>
    </w:p>
    <w:p>
      <w:pPr>
        <w:ind w:right="180" w:firstLine="877"/>
        <w:spacing w:after="0" w:line="311" w:lineRule="auto"/>
        <w:tabs>
          <w:tab w:leader="none" w:pos="127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1" w:name="page232"/>
    <w:bookmarkEnd w:id="231"/>
    <w:p>
      <w:pPr>
        <w:ind w:right="160" w:firstLine="877"/>
        <w:spacing w:after="0" w:line="291" w:lineRule="auto"/>
        <w:tabs>
          <w:tab w:leader="none" w:pos="1261"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66" w:lineRule="exact"/>
        <w:rPr>
          <w:rFonts w:ascii="Arial" w:cs="Arial" w:eastAsia="Arial" w:hAnsi="Arial"/>
          <w:sz w:val="16"/>
          <w:szCs w:val="16"/>
          <w:color w:val="auto"/>
        </w:rPr>
      </w:pPr>
    </w:p>
    <w:p>
      <w:pPr>
        <w:ind w:right="440" w:firstLine="877"/>
        <w:spacing w:after="0" w:line="277" w:lineRule="auto"/>
        <w:tabs>
          <w:tab w:leader="none" w:pos="124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40" w:firstLine="877"/>
        <w:spacing w:after="0" w:line="277" w:lineRule="auto"/>
        <w:tabs>
          <w:tab w:leader="none" w:pos="12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 and</w:t>
      </w:r>
    </w:p>
    <w:p>
      <w:pPr>
        <w:spacing w:after="0" w:line="170" w:lineRule="exact"/>
        <w:rPr>
          <w:rFonts w:ascii="Arial" w:cs="Arial" w:eastAsia="Arial" w:hAnsi="Arial"/>
          <w:sz w:val="18"/>
          <w:szCs w:val="18"/>
          <w:color w:val="auto"/>
        </w:rPr>
      </w:pPr>
    </w:p>
    <w:p>
      <w:pPr>
        <w:ind w:right="320" w:firstLine="877"/>
        <w:spacing w:after="0" w:line="259" w:lineRule="auto"/>
        <w:tabs>
          <w:tab w:leader="none" w:pos="12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connection with any underwritten offering pursuant to a registration statement filed pursuant to Section 2.1, enter into an underwriting agreement in form reasonably necessary to effect the offer and sale of Common Stock, provided such underwriting agreement contains reasonable and customary provisions, and provided further, that each Holder participating in such underwriting shall also enter into and perform its obligations under such an agreement.</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877"/>
        <w:spacing w:after="0" w:line="285" w:lineRule="auto"/>
        <w:tabs>
          <w:tab w:leader="none" w:pos="125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Holder, each of its officers, directors and partners, legal counsel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registration statement, any prospectus included in the registration statement, any issuer free writing prospectus (as defined in Rule 433 of the Securities Act), any issuer information (as defined in Rule 433 of the Securities Act) filed or required to be filed pursuant to Rule 433(d) under the Securities Act or any other document incident to any such registration, qualification or compliance prepared by or on behalf of the Company or used or referred to by the Company,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partners, legal counsel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in any such case to the extent that any such claim, loss, damage, liability, or action arises out of or is based on any untrue statement or omission based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2" w:name="page233"/>
    <w:bookmarkEnd w:id="232"/>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 </w:t>
      </w:r>
      <w:r>
        <w:rPr>
          <w:rFonts w:ascii="Arial" w:cs="Arial" w:eastAsia="Arial" w:hAnsi="Arial"/>
          <w:sz w:val="16"/>
          <w:szCs w:val="16"/>
          <w:color w:val="auto"/>
        </w:rPr>
        <w:t>that, the indemnity agreement contained in this Section 2.6(a) shall not apply to amounts paid in settlement of any such loss, claim,</w:t>
      </w:r>
      <w:r>
        <w:rPr>
          <w:rFonts w:ascii="Arial" w:cs="Arial" w:eastAsia="Arial" w:hAnsi="Arial"/>
          <w:sz w:val="16"/>
          <w:szCs w:val="16"/>
          <w:i w:val="1"/>
          <w:iCs w:val="1"/>
          <w:color w:val="auto"/>
        </w:rPr>
        <w:t xml:space="preserve"> </w:t>
      </w:r>
      <w:r>
        <w:rPr>
          <w:rFonts w:ascii="Arial" w:cs="Arial" w:eastAsia="Arial" w:hAnsi="Arial"/>
          <w:sz w:val="16"/>
          <w:szCs w:val="16"/>
          <w:color w:val="auto"/>
        </w:rPr>
        <w:t>damage, liability or action if such settlement is effected without the consent of the Company (which consent shall not be unreasonably withheld).</w:t>
      </w:r>
    </w:p>
    <w:p>
      <w:pPr>
        <w:spacing w:after="0" w:line="157" w:lineRule="exact"/>
        <w:rPr>
          <w:sz w:val="20"/>
          <w:szCs w:val="20"/>
          <w:color w:val="auto"/>
        </w:rPr>
      </w:pPr>
    </w:p>
    <w:p>
      <w:pPr>
        <w:ind w:firstLine="877"/>
        <w:spacing w:after="0" w:line="267" w:lineRule="auto"/>
        <w:tabs>
          <w:tab w:leader="none" w:pos="126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Holder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directors, officers,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indemnity under this Section 2.6 exceed the net proceeds from the offering received by such Holder, except in the case of fraud or willful misconduct by such Holder.</w:t>
      </w:r>
    </w:p>
    <w:p>
      <w:pPr>
        <w:spacing w:after="0" w:line="191" w:lineRule="exact"/>
        <w:rPr>
          <w:rFonts w:ascii="Arial" w:cs="Arial" w:eastAsia="Arial" w:hAnsi="Arial"/>
          <w:sz w:val="17"/>
          <w:szCs w:val="17"/>
          <w:color w:val="auto"/>
        </w:rPr>
      </w:pPr>
    </w:p>
    <w:p>
      <w:pPr>
        <w:ind w:right="20" w:firstLine="877"/>
        <w:spacing w:after="0" w:line="269" w:lineRule="auto"/>
        <w:tabs>
          <w:tab w:leader="none" w:pos="126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party entitled to indemnification under this Section 2.6 (the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shall give notice to the party required to provide indemnification (the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failure of any Indemnified Party to give notice as provided herein shall not relieve the Indemnifying Party of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1" w:lineRule="exact"/>
        <w:rPr>
          <w:rFonts w:ascii="Arial" w:cs="Arial" w:eastAsia="Arial" w:hAnsi="Arial"/>
          <w:sz w:val="17"/>
          <w:szCs w:val="17"/>
          <w:color w:val="auto"/>
        </w:rPr>
      </w:pPr>
    </w:p>
    <w:p>
      <w:pPr>
        <w:ind w:right="160" w:firstLine="877"/>
        <w:spacing w:after="0" w:line="342" w:lineRule="auto"/>
        <w:tabs>
          <w:tab w:leader="none" w:pos="12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33" w:name="page234"/>
    <w:bookmarkEnd w:id="23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person or entity will be required under this Section 2.6(d) to contribute any amount in excess of the net proceeds from the offering received by such person or entity, except in the case of fraud or willful misconduct by such person or entity. No person or entity guilty of fraudulent misrepresentation (within the meaning of Section 11(f) of the Securities Act) will be entitled to contribution from any person or entity who was not guilty of such fraudulent misrepresentation.</w:t>
      </w:r>
    </w:p>
    <w:p>
      <w:pPr>
        <w:spacing w:after="0" w:line="185" w:lineRule="exact"/>
        <w:rPr>
          <w:sz w:val="20"/>
          <w:szCs w:val="20"/>
          <w:color w:val="auto"/>
        </w:rPr>
      </w:pPr>
    </w:p>
    <w:p>
      <w:pPr>
        <w:ind w:right="400" w:firstLine="877"/>
        <w:spacing w:after="0" w:line="263" w:lineRule="auto"/>
        <w:tabs>
          <w:tab w:leader="none" w:pos="12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2.7 Information by Holder. </w:t>
      </w:r>
      <w:r>
        <w:rPr>
          <w:rFonts w:ascii="Arial" w:cs="Arial" w:eastAsia="Arial" w:hAnsi="Arial"/>
          <w:sz w:val="18"/>
          <w:szCs w:val="18"/>
          <w:color w:val="auto"/>
        </w:rPr>
        <w:t>Each Holder of Registrable Securities shall furnish to the Company such information regarding such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proposed by such Holder as the Company may reasonably request in writing and as shall be reasonably required in connection with any registration, qualification, or compliance referred to in this Section 2.</w:t>
      </w:r>
    </w:p>
    <w:p>
      <w:pPr>
        <w:spacing w:after="0" w:line="2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Restrictions on Transfer.</w:t>
      </w:r>
    </w:p>
    <w:p>
      <w:pPr>
        <w:spacing w:after="0" w:line="121" w:lineRule="exact"/>
        <w:rPr>
          <w:sz w:val="20"/>
          <w:szCs w:val="20"/>
          <w:color w:val="auto"/>
        </w:rPr>
      </w:pPr>
    </w:p>
    <w:p>
      <w:pPr>
        <w:ind w:right="320" w:firstLine="877"/>
        <w:spacing w:after="0" w:line="257" w:lineRule="auto"/>
        <w:tabs>
          <w:tab w:leader="none" w:pos="125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including, without limitation, this Section 2.8 and Section 2.10, and:</w:t>
      </w:r>
    </w:p>
    <w:p>
      <w:pPr>
        <w:spacing w:after="0" w:line="187" w:lineRule="exact"/>
        <w:rPr>
          <w:rFonts w:ascii="Arial" w:cs="Arial" w:eastAsia="Arial" w:hAnsi="Arial"/>
          <w:sz w:val="18"/>
          <w:szCs w:val="18"/>
          <w:color w:val="auto"/>
        </w:rPr>
      </w:pPr>
    </w:p>
    <w:p>
      <w:pPr>
        <w:ind w:firstLine="1428"/>
        <w:spacing w:after="0" w:line="277" w:lineRule="auto"/>
        <w:tabs>
          <w:tab w:leader="none" w:pos="177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the disposition is made in accordance with the registration statement; or</w:t>
      </w:r>
    </w:p>
    <w:p>
      <w:pPr>
        <w:spacing w:after="0" w:line="170" w:lineRule="exact"/>
        <w:rPr>
          <w:rFonts w:ascii="Arial" w:cs="Arial" w:eastAsia="Arial" w:hAnsi="Arial"/>
          <w:sz w:val="18"/>
          <w:szCs w:val="18"/>
          <w:color w:val="auto"/>
        </w:rPr>
      </w:pPr>
    </w:p>
    <w:p>
      <w:pPr>
        <w:ind w:right="20" w:firstLine="1428"/>
        <w:spacing w:after="0" w:line="254" w:lineRule="auto"/>
        <w:tabs>
          <w:tab w:leader="none" w:pos="182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Holder shall have given prior written notice to the Company of the Holder’s intention to make such disposition and shall have furnished the Company with a detailed description of the manner and circumstances of the proposed disposition, and the Holder shall have furnished the Company, at the Holder’s expense, with (i) an opinion of counsel reasonably satisfactory to the Company to the effect that such disposition will not require registration of such Restricted Securities under the Securities Act or (ii) a “no action” letter from the Commission to the effect that the transfer of such securities without registration will not result in a recommendation by the staff of the Commission that action be taken with respect thereto, whereupon the holder of such Restricted Securities shall be entitled to transfer such Restricted Securities in accordance with the terms of the notice delivered by the Holder to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34" w:name="page235"/>
    <w:bookmarkEnd w:id="234"/>
    <w:p>
      <w:pPr>
        <w:ind w:right="80" w:firstLine="877"/>
        <w:spacing w:after="0" w:line="290" w:lineRule="auto"/>
        <w:tabs>
          <w:tab w:leader="none" w:pos="1271" w:val="left"/>
        </w:tabs>
        <w:numPr>
          <w:ilvl w:val="0"/>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Section 2.8(a), no such registration statement or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(y) any of the Holder’s partners, members or other equity owners, or retired partners, retired members or other retired equity owners, or to the estate of any of the Holder’s partners, members or other equity owners or retired partners, retired members or other retired equity owners, or (z) a venture capital fund that is controlled by or under common control with one or more general partners or managing members of, or shares the same management company with, the Holder;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the Holder shall give written notice to the Company of the Holder’s intention to effect such disposition and shall have furnished the Company with a reasonably detailed description of the manner and circumstances of the proposed disposition.</w:t>
      </w:r>
    </w:p>
    <w:p>
      <w:pPr>
        <w:spacing w:after="0" w:line="165" w:lineRule="exact"/>
        <w:rPr>
          <w:rFonts w:ascii="Arial" w:cs="Arial" w:eastAsia="Arial" w:hAnsi="Arial"/>
          <w:sz w:val="16"/>
          <w:szCs w:val="16"/>
          <w:color w:val="auto"/>
        </w:rPr>
      </w:pPr>
    </w:p>
    <w:p>
      <w:pPr>
        <w:ind w:right="100" w:firstLine="877"/>
        <w:spacing w:after="0" w:line="342" w:lineRule="auto"/>
        <w:tabs>
          <w:tab w:leader="none" w:pos="126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SHARES REPRESENTED BY THIS CERTIFICATE ARE SUBJECT TO (1) RESTRICTIONS ON TRANSFERABILITY AND RESALE, INCLUDING A LOCK-UP PERIOD IN THE EVENT OF A PUBLIC OFFERING, AS SET FORTH IN AN INVESTORS’ RIGHTS AGREEMENT, AND (2) VOTING RESTRICTIONS AS SET FORTH IN A VOTING AGREEMENT AMONG THE COMPANY AND THE ORIGINAL HOLDERS OF THESE SHARES, COPIES OF WHICH MAY BE OBTAINED AT THE PRINCIPAL OFFICE OF THE COMPANY.</w:t>
      </w:r>
    </w:p>
    <w:p>
      <w:pPr>
        <w:spacing w:after="0" w:line="17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70" w:lineRule="exact"/>
        <w:rPr>
          <w:sz w:val="20"/>
          <w:szCs w:val="20"/>
          <w:color w:val="auto"/>
        </w:rPr>
      </w:pPr>
    </w:p>
    <w:p>
      <w:pPr>
        <w:ind w:right="40" w:firstLine="877"/>
        <w:spacing w:after="0" w:line="257" w:lineRule="auto"/>
        <w:tabs>
          <w:tab w:leader="none" w:pos="126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first legend referring to federal and state securities laws identified in Section 2.8(c) stamped on a certificate evidencing the Restricted Securities and the stock transfer instructions and record notations with respect to the Restricted Securities shall be removed and the Company shall issue a certificate without such legend to the holder of Restricted Securities if (i) those securities are registered under the Securities Act, or (ii) the holder provides the Company with an opinion of counsel reasonably acceptable to the Company to the effect that a sale or transfer of those securities may be made without registration or qualification.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5" w:name="page236"/>
    <w:bookmarkEnd w:id="235"/>
    <w:p>
      <w:pPr>
        <w:ind w:right="20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 Rule 144 Reporting</w:t>
      </w:r>
      <w:r>
        <w:rPr>
          <w:rFonts w:ascii="Arial" w:cs="Arial" w:eastAsia="Arial" w:hAnsi="Arial"/>
          <w:sz w:val="17"/>
          <w:szCs w:val="17"/>
          <w:color w:val="auto"/>
        </w:rPr>
        <w:t>. With a view to making available the benefits of certain rules and regulations of the Commission that may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Securities to the public without registration, the Company agrees to use its commercially reasonable efforts to:</w:t>
      </w:r>
    </w:p>
    <w:p>
      <w:pPr>
        <w:spacing w:after="0" w:line="144" w:lineRule="exact"/>
        <w:rPr>
          <w:sz w:val="20"/>
          <w:szCs w:val="20"/>
          <w:color w:val="auto"/>
        </w:rPr>
      </w:pPr>
    </w:p>
    <w:p>
      <w:pPr>
        <w:ind w:right="360" w:firstLine="877"/>
        <w:spacing w:after="0" w:line="263" w:lineRule="auto"/>
        <w:tabs>
          <w:tab w:leader="none" w:pos="126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Make and keep adequate current public information with respect to the Company available in accordance with Rule 144 under the Securities Act, at all times from and after ninety (90) days following the effective date of the first registration under the Securities Act filed by the Company for an offering of its securities to the general public;</w:t>
      </w:r>
    </w:p>
    <w:p>
      <w:pPr>
        <w:spacing w:after="0" w:line="183" w:lineRule="exact"/>
        <w:rPr>
          <w:rFonts w:ascii="Arial" w:cs="Arial" w:eastAsia="Arial" w:hAnsi="Arial"/>
          <w:sz w:val="18"/>
          <w:szCs w:val="18"/>
          <w:color w:val="auto"/>
        </w:rPr>
      </w:pPr>
    </w:p>
    <w:p>
      <w:pPr>
        <w:ind w:right="200" w:firstLine="877"/>
        <w:spacing w:after="0" w:line="277" w:lineRule="auto"/>
        <w:tabs>
          <w:tab w:leader="none" w:pos="127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ind w:right="160" w:firstLine="877"/>
        <w:spacing w:after="0" w:line="255" w:lineRule="auto"/>
        <w:tabs>
          <w:tab w:leader="none" w:pos="126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 long as a Holder owns any Restricted Securities, furnish to the Holder forthwith upon written request a written statement by the Company as to its compliance with the reporting requirements of Rule 144 (at any time from and after ninety (90) days following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2.10 Market Stand-Off Agreement. </w:t>
      </w:r>
      <w:r>
        <w:rPr>
          <w:rFonts w:ascii="Arial" w:cs="Arial" w:eastAsia="Arial" w:hAnsi="Arial"/>
          <w:sz w:val="17"/>
          <w:szCs w:val="17"/>
          <w:color w:val="auto"/>
        </w:rPr>
        <w:t>Each Holder shall not sell or otherwise transfer, make any short sale of, grant any option for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of, or enter into any hedging or similar transaction with the same economic effect as a sale, of any Common Stock (or other securities) of the Company held by such Holder (other than those included in the registration) during the one hundred eighty (180) day period following the effective date of a registration statement of the Company filed under the Securities Act (or such other period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 provided that: all officers and directors of the Company and holders of at least one percent (1%) of the Company’s voting securities are bound by and have entered into similar agreements. Notwithstanding anything to the contrary, the obligations described in this Section 2.10 shall only apply to the Company’s Initial Public Offering and shall not apply to a registration relating solely to employee benefit plans on Form S-l or Form S-8 or similar forms that may be promulgated in the future, or a registration relating solely to a transaction on Form S-4 or similar forms that may be promulgated in the future. The Company may impose stop-transfer instructions and may stamp each such certificate with the second legend set forth in Section 2.8(c) with respect to the shares of Common Stock (or other securities) subject to the foregoing restriction until the end of such one hundred eighty (180) day (or other) period. Each Holder agrees to execute a market standoff agreement with said underwriters in customary form consistent with the provisions of this Section 2.10.</w:t>
      </w:r>
    </w:p>
    <w:p>
      <w:pPr>
        <w:spacing w:after="0" w:line="184"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2.11 Delay of Registration. </w:t>
      </w:r>
      <w:r>
        <w:rPr>
          <w:rFonts w:ascii="Arial" w:cs="Arial" w:eastAsia="Arial" w:hAnsi="Arial"/>
          <w:sz w:val="18"/>
          <w:szCs w:val="18"/>
          <w:color w:val="auto"/>
        </w:rPr>
        <w:t>No Holder shall have any right to take any action to restrain, enjoin, or otherwise delay any registration as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controversy that might arise with respect to the interpretation or implementation of this Section 2.</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2.12 Transfer or Assignment of Registration Rights. </w:t>
      </w:r>
      <w:r>
        <w:rPr>
          <w:rFonts w:ascii="Arial" w:cs="Arial" w:eastAsia="Arial" w:hAnsi="Arial"/>
          <w:sz w:val="18"/>
          <w:szCs w:val="18"/>
          <w:color w:val="auto"/>
        </w:rPr>
        <w:t>The rights to cause the Company to register securities granted to a Holder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this Section 2 may be transferred or assigned by a Holder only to (x) a transferee or assignee of not less than 500,000 shares of Registrable Securities (as presently constituted and subject to subsequent adjustments for stock splits, stock dividends, reverse stock splits, and the like) or (y) with respect to any Holder that is an investment fund, any of such 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236" w:name="page237"/>
    <w:bookmarkEnd w:id="236"/>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affiliates or partners, members or other equity owners, or retired partners, retired members or other retired equity owners, or to the estate of any of the Holder’s partners, members or other equity owners or retired partners, retired members or other retired equity owners;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transfer or assignment of Registrable Securities is effected in accordance with the terms of Section 2.8, that certain Third Amended and Restated Right of First Refusal and Co-Sale Agreement by and among the Company and the parties thereto dated as of the date hereof, as it may be amended from time to time,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188"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2.13 Limitations on Subsequent Registration Rights. </w:t>
      </w:r>
      <w:r>
        <w:rPr>
          <w:rFonts w:ascii="Arial" w:cs="Arial" w:eastAsia="Arial" w:hAnsi="Arial"/>
          <w:sz w:val="18"/>
          <w:szCs w:val="18"/>
          <w:color w:val="auto"/>
        </w:rPr>
        <w:t>From and after the date of this Agreement, the Company shall not,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Holders holding a majority of Registrable Securities then outstanding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senior to the registration rights granted to the Holders hereunder or would give such holder or prospective holder the right to demand registration of such holder’s securities of the Company.</w:t>
      </w:r>
    </w:p>
    <w:p>
      <w:pPr>
        <w:spacing w:after="0" w:line="187"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 xml:space="preserve">2.14 Termination of Registration Rights. </w:t>
      </w:r>
      <w:r>
        <w:rPr>
          <w:rFonts w:ascii="Arial" w:cs="Arial" w:eastAsia="Arial" w:hAnsi="Arial"/>
          <w:sz w:val="17"/>
          <w:szCs w:val="17"/>
          <w:color w:val="auto"/>
        </w:rPr>
        <w:t>The right of any Holder to request registration or inclusion in any registration pursuant to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2.1, 2.2 or 2.3 shall terminate on the earlier of (i) as to Bucantini Enterprises Limited and Puccini World Limited (together “</w:t>
      </w:r>
      <w:r>
        <w:rPr>
          <w:rFonts w:ascii="Arial" w:cs="Arial" w:eastAsia="Arial" w:hAnsi="Arial"/>
          <w:sz w:val="17"/>
          <w:szCs w:val="17"/>
          <w:b w:val="1"/>
          <w:bCs w:val="1"/>
          <w:i w:val="1"/>
          <w:iCs w:val="1"/>
          <w:color w:val="auto"/>
        </w:rPr>
        <w:t>Horizons</w:t>
      </w:r>
      <w:r>
        <w:rPr>
          <w:rFonts w:ascii="Arial" w:cs="Arial" w:eastAsia="Arial" w:hAnsi="Arial"/>
          <w:sz w:val="17"/>
          <w:szCs w:val="17"/>
          <w:color w:val="auto"/>
        </w:rPr>
        <w:t>”) such date that Horizons first ceases to be a Major Holder, (ii) as to Nantworks, LLC (“</w:t>
      </w:r>
      <w:r>
        <w:rPr>
          <w:rFonts w:ascii="Arial" w:cs="Arial" w:eastAsia="Arial" w:hAnsi="Arial"/>
          <w:sz w:val="17"/>
          <w:szCs w:val="17"/>
          <w:b w:val="1"/>
          <w:bCs w:val="1"/>
          <w:i w:val="1"/>
          <w:iCs w:val="1"/>
          <w:color w:val="auto"/>
        </w:rPr>
        <w:t>Nantworks</w:t>
      </w:r>
      <w:r>
        <w:rPr>
          <w:rFonts w:ascii="Arial" w:cs="Arial" w:eastAsia="Arial" w:hAnsi="Arial"/>
          <w:sz w:val="17"/>
          <w:szCs w:val="17"/>
          <w:color w:val="auto"/>
        </w:rPr>
        <w:t>”) such date that Nantworks first ceases to be a Major Holder, (iii) as to each Holder other than Horizons and Nantworks, such date, on or after the closing of the Company’s first registered public offering of Common Stock, on which all shares of Registrable Securities held by such Holder may immediately be sold under Rule 144 during any ninety (90) day period, and (iv) as to all Holders (including Horizons and Nantworks), five (5) years after the closing of the Initial Public Offering.</w:t>
      </w:r>
    </w:p>
    <w:p>
      <w:pPr>
        <w:spacing w:after="0" w:line="38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INFORMATION AND OTHER COVENANTS OF THE COMPANY</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hereby covenants and agrees, as follows:</w:t>
      </w:r>
    </w:p>
    <w:p>
      <w:pPr>
        <w:spacing w:after="0" w:line="32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Delivery of Financial Information and Inspection Rights.</w:t>
      </w:r>
    </w:p>
    <w:p>
      <w:pPr>
        <w:spacing w:after="0" w:line="121" w:lineRule="exact"/>
        <w:rPr>
          <w:sz w:val="20"/>
          <w:szCs w:val="20"/>
          <w:color w:val="auto"/>
        </w:rPr>
      </w:pPr>
    </w:p>
    <w:p>
      <w:pPr>
        <w:ind w:left="4" w:right="260" w:firstLine="877"/>
        <w:spacing w:after="0" w:line="308" w:lineRule="auto"/>
        <w:tabs>
          <w:tab w:leader="none" w:pos="1265" w:val="left"/>
        </w:tabs>
        <w:numPr>
          <w:ilvl w:val="1"/>
          <w:numId w:val="1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Delivery of Financial Information. </w:t>
      </w:r>
      <w:r>
        <w:rPr>
          <w:rFonts w:ascii="Arial" w:cs="Arial" w:eastAsia="Arial" w:hAnsi="Arial"/>
          <w:sz w:val="17"/>
          <w:szCs w:val="17"/>
          <w:color w:val="auto"/>
        </w:rPr>
        <w:t>The Company (and its subsidiaries where applicable) will furnish the following reports to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Major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has not reasonably determined that such Major Holder is a competitor of the Company:</w:t>
      </w:r>
    </w:p>
    <w:p>
      <w:pPr>
        <w:spacing w:after="0" w:line="146" w:lineRule="exact"/>
        <w:rPr>
          <w:rFonts w:ascii="Arial" w:cs="Arial" w:eastAsia="Arial" w:hAnsi="Arial"/>
          <w:sz w:val="17"/>
          <w:szCs w:val="17"/>
          <w:color w:val="auto"/>
        </w:rPr>
      </w:pPr>
    </w:p>
    <w:p>
      <w:pPr>
        <w:ind w:left="1784" w:hanging="352"/>
        <w:spacing w:after="0"/>
        <w:tabs>
          <w:tab w:leader="none" w:pos="1784" w:val="left"/>
        </w:tabs>
        <w:numPr>
          <w:ilvl w:val="2"/>
          <w:numId w:val="195"/>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and twenty</w:t>
      </w:r>
    </w:p>
    <w:p>
      <w:pPr>
        <w:spacing w:after="0" w:line="34" w:lineRule="exact"/>
        <w:rPr>
          <w:rFonts w:ascii="Arial" w:cs="Arial" w:eastAsia="Arial" w:hAnsi="Arial"/>
          <w:sz w:val="17"/>
          <w:szCs w:val="17"/>
          <w:color w:val="auto"/>
        </w:rPr>
      </w:pPr>
    </w:p>
    <w:p>
      <w:pPr>
        <w:ind w:left="4" w:right="100" w:hanging="4"/>
        <w:spacing w:after="0" w:line="253" w:lineRule="auto"/>
        <w:tabs>
          <w:tab w:leader="none" w:pos="4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days after the end of each fiscal year of the Company, a consolidated balance sheet of the Company and its subsidiaries, if any, as at the end of such fiscal year, and consolidated statements of income and cash flows of the Company and its subsidiaries, if any, for such year, prepared by the Company’s accountants in accordance with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audited by an accounting firm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requirement that such financials be audited may be waived by the Board including the waiver of at least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Directors (as defined in the Restated Certificate).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37" w:name="page238"/>
    <w:bookmarkEnd w:id="237"/>
    <w:p>
      <w:pPr>
        <w:jc w:val="both"/>
        <w:ind w:right="60" w:firstLine="1428"/>
        <w:spacing w:after="0" w:line="263" w:lineRule="auto"/>
        <w:tabs>
          <w:tab w:leader="none" w:pos="1832" w:val="left"/>
        </w:tabs>
        <w:numPr>
          <w:ilvl w:val="1"/>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but in any event within forty-five (45) days after the end of each of the first three quarters of each fiscal year of the Company, an unaudited income statement, statement of cash flows and balance sheet for such fiscal quarter and as of the end of such quarter all prepared in accordance with GAAP;</w:t>
      </w:r>
    </w:p>
    <w:p>
      <w:pPr>
        <w:spacing w:after="0" w:line="183" w:lineRule="exact"/>
        <w:rPr>
          <w:rFonts w:ascii="Arial" w:cs="Arial" w:eastAsia="Arial" w:hAnsi="Arial"/>
          <w:sz w:val="18"/>
          <w:szCs w:val="18"/>
          <w:color w:val="auto"/>
        </w:rPr>
      </w:pPr>
    </w:p>
    <w:p>
      <w:pPr>
        <w:ind w:right="300" w:firstLine="1428"/>
        <w:spacing w:after="0" w:line="308" w:lineRule="auto"/>
        <w:tabs>
          <w:tab w:leader="none" w:pos="1882"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after the end of each month, monthly management financial statements, including balance sheet and income statement and business summary of the Company’s status; and</w:t>
      </w:r>
    </w:p>
    <w:p>
      <w:pPr>
        <w:spacing w:after="0" w:line="146" w:lineRule="exact"/>
        <w:rPr>
          <w:rFonts w:ascii="Arial" w:cs="Arial" w:eastAsia="Arial" w:hAnsi="Arial"/>
          <w:sz w:val="17"/>
          <w:szCs w:val="17"/>
          <w:color w:val="auto"/>
        </w:rPr>
      </w:pPr>
    </w:p>
    <w:p>
      <w:pPr>
        <w:ind w:firstLine="1428"/>
        <w:spacing w:after="0" w:line="277" w:lineRule="auto"/>
        <w:tabs>
          <w:tab w:leader="none" w:pos="187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prior to the end of each fiscal year, an annual operating plan and budget for the next fiscal year.</w:t>
      </w:r>
    </w:p>
    <w:p>
      <w:pPr>
        <w:spacing w:after="0" w:line="170" w:lineRule="exact"/>
        <w:rPr>
          <w:rFonts w:ascii="Arial" w:cs="Arial" w:eastAsia="Arial" w:hAnsi="Arial"/>
          <w:sz w:val="18"/>
          <w:szCs w:val="18"/>
          <w:color w:val="auto"/>
        </w:rPr>
      </w:pPr>
    </w:p>
    <w:p>
      <w:pPr>
        <w:ind w:right="40" w:firstLine="877"/>
        <w:spacing w:after="0" w:line="273" w:lineRule="auto"/>
        <w:tabs>
          <w:tab w:leader="none" w:pos="1271" w:val="left"/>
        </w:tabs>
        <w:numPr>
          <w:ilvl w:val="0"/>
          <w:numId w:val="1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Inspection Rights. </w:t>
      </w:r>
      <w:r>
        <w:rPr>
          <w:rFonts w:ascii="Arial" w:cs="Arial" w:eastAsia="Arial" w:hAnsi="Arial"/>
          <w:sz w:val="17"/>
          <w:szCs w:val="17"/>
          <w:color w:val="auto"/>
        </w:rPr>
        <w:t>The Company (and its subsidiaries where applicable) shall permit each Major Holder, at such Major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expense, to inspect the Company’s properties, to examine its books of account and records and to discuss the Company’s affairs, finances and accounts with its officers, all at such reasonable times and upon reasonable advanced notice;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pursuant to this Section 3.1 to provide access to any information which it deems it reasonably considers to be a trade secret or similar confidential information (unless covered by an enforceable confidentiality agreement, in form acceptable to the Company), or the disclosure of which would adversely affect the attorney-client privilege between the Company and its counsel.</w:t>
      </w:r>
    </w:p>
    <w:p>
      <w:pPr>
        <w:spacing w:after="0" w:line="177" w:lineRule="exact"/>
        <w:rPr>
          <w:rFonts w:ascii="Arial" w:cs="Arial" w:eastAsia="Arial" w:hAnsi="Arial"/>
          <w:sz w:val="17"/>
          <w:szCs w:val="17"/>
          <w:color w:val="auto"/>
        </w:rPr>
      </w:pPr>
    </w:p>
    <w:p>
      <w:pPr>
        <w:ind w:right="20" w:firstLine="877"/>
        <w:spacing w:after="0" w:line="255" w:lineRule="auto"/>
        <w:tabs>
          <w:tab w:leader="none" w:pos="1261" w:val="left"/>
        </w:tabs>
        <w:numPr>
          <w:ilvl w:val="0"/>
          <w:numId w:val="1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Suspension of Information Rights. </w:t>
      </w:r>
      <w:r>
        <w:rPr>
          <w:rFonts w:ascii="Arial" w:cs="Arial" w:eastAsia="Arial" w:hAnsi="Arial"/>
          <w:sz w:val="18"/>
          <w:szCs w:val="18"/>
          <w:color w:val="auto"/>
        </w:rPr>
        <w:t>Anything in this Agreement to the contrary notwithstanding, the Company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where applicable) may cease providing the information set forth in this Section 3.1 during the period starting with the date forty-five (45) days prior to the Company’s good-faith estimate of the date of filing of a registration statement for an IPO if it reasonably concludes that it must do so to comply with the SEC rules applicable to such registration statement and related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covenants under this Section 3.1 shall be reinstated as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3.2 Confidentiality. </w:t>
      </w:r>
      <w:r>
        <w:rPr>
          <w:rFonts w:ascii="Arial" w:cs="Arial" w:eastAsia="Arial" w:hAnsi="Arial"/>
          <w:sz w:val="17"/>
          <w:szCs w:val="17"/>
          <w:color w:val="auto"/>
        </w:rPr>
        <w:t>Each Major Holder agrees that such Major Holder will keep confidential and will not disclose, divulge, or use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3.2 by such Major Holder), (b) is or has been independently developed or conceived by such Major Holder without use of the Company’s confidential information, or (c) is or has been made known or disclosed to such Major Holder by a third party without a breach of any obligation of confidentiality such third party may have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Major Holder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Major Holder, if such prospective purchaser agrees to be bound by the provisions of this Section 3.2; (iii) to any affiliate, partner, member, stockholder, or wholly owned subsidiary of such Major Holder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informs such person that such information is confidential and directs such person to maintain the confidentiality of such information; or (iv) as may otherwise be required by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promptly notifies the Company of such disclosure and takes reasonable steps to minimize the extent of any such required disclosure.</w:t>
      </w:r>
    </w:p>
    <w:p>
      <w:pPr>
        <w:spacing w:after="0" w:line="17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3.3 Directors’ and Officers’ Insurance</w:t>
      </w:r>
      <w:r>
        <w:rPr>
          <w:rFonts w:ascii="Arial" w:cs="Arial" w:eastAsia="Arial" w:hAnsi="Arial"/>
          <w:sz w:val="18"/>
          <w:szCs w:val="18"/>
          <w:color w:val="auto"/>
        </w:rPr>
        <w:t>. The Company has as of the date hereof or shall within ninety (90) days of the date hereof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obtain from financially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8" w:name="page239"/>
    <w:bookmarkEnd w:id="238"/>
    <w:p>
      <w:pPr>
        <w:jc w:val="both"/>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sound and reputable insurers directors and officers liability insurance in an amount and on terms and conditions satisfactory to the Board (including the satisfaction of a majority of the Series B, C, D Directors, as such term is defined in the Restated Certificate), but not coverage less than $1,000,000, and will use its commercially reasonable efforts to cause such insurance policy to be maintained until such time as the Board (including the satisfaction of a majority of the Series B, C, D Directors, as such term is defined in the Restated Certificate) determines that such insurance should be discontinued.</w:t>
      </w:r>
    </w:p>
    <w:p>
      <w:pPr>
        <w:spacing w:after="0" w:line="153"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3.4 No Use of Hillhouse’s Name</w:t>
      </w:r>
      <w:r>
        <w:rPr>
          <w:rFonts w:ascii="Arial" w:cs="Arial" w:eastAsia="Arial" w:hAnsi="Arial"/>
          <w:sz w:val="18"/>
          <w:szCs w:val="18"/>
          <w:color w:val="auto"/>
        </w:rPr>
        <w:t>. Without the prior written consent of Hillhouse ZM Holdings Limited (and except as may be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regulation) neither the Company nor any other Investor shall use or reference the name “Hillhouse,” “Gaoling” or “ ” in any public announcements or statements relating to the Series C Preferred Stock or the Company.”</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3.5 Termination of Covenants. </w:t>
      </w:r>
      <w:r>
        <w:rPr>
          <w:rFonts w:ascii="Arial" w:cs="Arial" w:eastAsia="Arial" w:hAnsi="Arial"/>
          <w:sz w:val="18"/>
          <w:szCs w:val="18"/>
          <w:color w:val="auto"/>
        </w:rPr>
        <w:t>The covenants set forth in this Section 3 (other than Section 3.2) shall terminate and be of no further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after the closing of the Company’s Initial Public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4.1 Right of First Refusal to Major Holders. </w:t>
      </w:r>
      <w:r>
        <w:rPr>
          <w:rFonts w:ascii="Arial" w:cs="Arial" w:eastAsia="Arial" w:hAnsi="Arial"/>
          <w:sz w:val="16"/>
          <w:szCs w:val="16"/>
          <w:color w:val="auto"/>
        </w:rPr>
        <w:t>The Company hereby grants to each Major Holder the right of first refusal to purchase its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New Securities (as defined in this Section 4.1(a)) which the Company may, from time to time, propose to sell and issue after the date of this Agreement. A Major Holder’s pro rata share, for purposes of this right of first refusal, is equal to the ratio of (x) the number of shares of Common Stock owned by such Major Holder immediately prior to the issuance of New Securities (assuming full conversion of the Shares and full conversion or exercise of all outstanding convertible securities, rights, options and warrants held by said Major Holder) to (y) the total number of shares of Common Stock owned by all Major Holders immediately prior to the issuance of New Securities (assuming full conversion of the Shares and full conversion or exercise of all outstanding convertible securities, rights, options and warrants). Each Major Holder shall have a right of over-allotment such that if any Major Holder fails to exercise its right hereunder to purchase its pro rata share of New Securities, the other Major Holders may purchase the non-purchasing Holder’s portion on a pro rata basis. This right of first refusal shall be subject to the following provisions.</w:t>
      </w:r>
    </w:p>
    <w:p>
      <w:pPr>
        <w:spacing w:after="0" w:line="170" w:lineRule="exact"/>
        <w:rPr>
          <w:sz w:val="20"/>
          <w:szCs w:val="20"/>
          <w:color w:val="auto"/>
        </w:rPr>
      </w:pPr>
    </w:p>
    <w:p>
      <w:pPr>
        <w:ind w:right="60" w:firstLine="877"/>
        <w:spacing w:after="0" w:line="286" w:lineRule="auto"/>
        <w:tabs>
          <w:tab w:leader="none" w:pos="112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does not include:</w:t>
      </w:r>
    </w:p>
    <w:p>
      <w:pPr>
        <w:spacing w:after="0" w:line="165" w:lineRule="exact"/>
        <w:rPr>
          <w:rFonts w:ascii="Arial" w:cs="Arial" w:eastAsia="Arial" w:hAnsi="Arial"/>
          <w:sz w:val="17"/>
          <w:szCs w:val="17"/>
          <w:color w:val="auto"/>
        </w:rPr>
      </w:pPr>
    </w:p>
    <w:p>
      <w:pPr>
        <w:ind w:left="1780" w:hanging="352"/>
        <w:spacing w:after="0"/>
        <w:tabs>
          <w:tab w:leader="none" w:pos="17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Shares and the Conversion Stock;</w:t>
      </w:r>
    </w:p>
    <w:p>
      <w:pPr>
        <w:spacing w:after="0" w:line="225" w:lineRule="exact"/>
        <w:rPr>
          <w:rFonts w:ascii="Arial" w:cs="Arial" w:eastAsia="Arial" w:hAnsi="Arial"/>
          <w:sz w:val="18"/>
          <w:szCs w:val="18"/>
          <w:color w:val="auto"/>
        </w:rPr>
      </w:pPr>
    </w:p>
    <w:p>
      <w:pPr>
        <w:ind w:right="80" w:firstLine="1428"/>
        <w:spacing w:after="0" w:line="263" w:lineRule="auto"/>
        <w:tabs>
          <w:tab w:leader="none" w:pos="18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securities issued or issuable to officers, employees, directors, consultants, placement agents, and other service providers of the Company (or any subsidiary) pursuant to stock grants, option plans, purchase plans, agreements or other employee stock incentive programs or arrangements approved by the Board and in accordance with the terms of the Restated Certificate;</w:t>
      </w:r>
    </w:p>
    <w:p>
      <w:pPr>
        <w:spacing w:after="0" w:line="183" w:lineRule="exact"/>
        <w:rPr>
          <w:rFonts w:ascii="Arial" w:cs="Arial" w:eastAsia="Arial" w:hAnsi="Arial"/>
          <w:sz w:val="18"/>
          <w:szCs w:val="18"/>
          <w:color w:val="auto"/>
        </w:rPr>
      </w:pPr>
    </w:p>
    <w:p>
      <w:pPr>
        <w:ind w:left="1880" w:hanging="452"/>
        <w:spacing w:after="0"/>
        <w:tabs>
          <w:tab w:leader="none" w:pos="18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securities issued pursuant to the conversion or exercise of any outstanding convertible or exercisable securities as of this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9" w:name="page240"/>
    <w:bookmarkEnd w:id="239"/>
    <w:p>
      <w:pPr>
        <w:ind w:right="440" w:firstLine="1428"/>
        <w:spacing w:after="0" w:line="277" w:lineRule="auto"/>
        <w:tabs>
          <w:tab w:leader="none" w:pos="18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issued or issuable as a dividend or distribution on Preferred Stock of the Company or pursuant to any event for which adjustment is made pursuant to paragraph 4(e), 4(f) or 4(g) of the Restated Certificate;</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securities offered pursuant to a bona fide, firmly underwritten public offering pursuant to a registration statement filed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ind w:right="600" w:firstLine="1428"/>
        <w:spacing w:after="0" w:line="342" w:lineRule="auto"/>
        <w:tabs>
          <w:tab w:leader="none" w:pos="187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securities issued or issuable pursuant to the acquisition of another corporation by the Company by merger, purchase of substantially all of the assets or other reorganization or to a joint venture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such issuances are approved by the Board;</w:t>
      </w:r>
    </w:p>
    <w:p>
      <w:pPr>
        <w:spacing w:after="0" w:line="123" w:lineRule="exact"/>
        <w:rPr>
          <w:rFonts w:ascii="Arial" w:cs="Arial" w:eastAsia="Arial" w:hAnsi="Arial"/>
          <w:sz w:val="16"/>
          <w:szCs w:val="16"/>
          <w:color w:val="auto"/>
        </w:rPr>
      </w:pPr>
    </w:p>
    <w:p>
      <w:pPr>
        <w:ind w:right="100" w:firstLine="1428"/>
        <w:spacing w:after="0" w:line="342" w:lineRule="auto"/>
        <w:tabs>
          <w:tab w:leader="none" w:pos="192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securities issued or issuable to banks, equipment lessors, real property lessors, financial institutions or other persons engaged in the business of making loans pursuant to a debt financing, commercial leasing or real property leasing transaction approved by the Board;</w:t>
      </w:r>
    </w:p>
    <w:p>
      <w:pPr>
        <w:spacing w:after="0" w:line="123" w:lineRule="exact"/>
        <w:rPr>
          <w:rFonts w:ascii="Arial" w:cs="Arial" w:eastAsia="Arial" w:hAnsi="Arial"/>
          <w:sz w:val="16"/>
          <w:szCs w:val="16"/>
          <w:color w:val="auto"/>
        </w:rPr>
      </w:pPr>
    </w:p>
    <w:p>
      <w:pPr>
        <w:ind w:left="1960" w:hanging="532"/>
        <w:spacing w:after="0"/>
        <w:tabs>
          <w:tab w:leader="none" w:pos="19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securities issued or issuable in connection with any settlement of any action, suit, proceeding or litigation approved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210" w:lineRule="exact"/>
        <w:rPr>
          <w:rFonts w:ascii="Arial" w:cs="Arial" w:eastAsia="Arial" w:hAnsi="Arial"/>
          <w:sz w:val="16"/>
          <w:szCs w:val="16"/>
          <w:color w:val="auto"/>
        </w:rPr>
      </w:pPr>
    </w:p>
    <w:p>
      <w:pPr>
        <w:ind w:right="300" w:firstLine="1428"/>
        <w:spacing w:after="0" w:line="277" w:lineRule="auto"/>
        <w:tabs>
          <w:tab w:leader="none" w:pos="18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securities issued or issuable in connection with sponsored research, collaboration, technology license, development, OEM, marketing or other similar agreements or strategic partnerships approved by the Board;</w:t>
      </w:r>
    </w:p>
    <w:p>
      <w:pPr>
        <w:spacing w:after="0" w:line="170" w:lineRule="exact"/>
        <w:rPr>
          <w:rFonts w:ascii="Arial" w:cs="Arial" w:eastAsia="Arial" w:hAnsi="Arial"/>
          <w:sz w:val="18"/>
          <w:szCs w:val="18"/>
          <w:color w:val="auto"/>
        </w:rPr>
      </w:pPr>
    </w:p>
    <w:p>
      <w:pPr>
        <w:ind w:right="160" w:firstLine="1428"/>
        <w:spacing w:after="0" w:line="277" w:lineRule="auto"/>
        <w:tabs>
          <w:tab w:leader="none" w:pos="182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securities of the Company which are otherwise excluded by the affirmative vote or consent of the holders of a majority of the Preferred Stock then outstanding, voting as a separate class on an as-converted basis; and</w:t>
      </w:r>
    </w:p>
    <w:p>
      <w:pPr>
        <w:spacing w:after="0" w:line="170" w:lineRule="exact"/>
        <w:rPr>
          <w:rFonts w:ascii="Arial" w:cs="Arial" w:eastAsia="Arial" w:hAnsi="Arial"/>
          <w:sz w:val="18"/>
          <w:szCs w:val="18"/>
          <w:color w:val="auto"/>
        </w:rPr>
      </w:pPr>
    </w:p>
    <w:p>
      <w:pPr>
        <w:ind w:right="620" w:firstLine="1428"/>
        <w:spacing w:after="0" w:line="277" w:lineRule="auto"/>
        <w:tabs>
          <w:tab w:leader="none" w:pos="18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right, option or warrant to acquire any security convertible into the securities excluded from the definition of New Securities pursuant to subsections (i) through (x) above.</w:t>
      </w:r>
    </w:p>
    <w:p>
      <w:pPr>
        <w:spacing w:after="0" w:line="170" w:lineRule="exact"/>
        <w:rPr>
          <w:rFonts w:ascii="Arial" w:cs="Arial" w:eastAsia="Arial" w:hAnsi="Arial"/>
          <w:sz w:val="18"/>
          <w:szCs w:val="18"/>
          <w:color w:val="auto"/>
        </w:rPr>
      </w:pPr>
    </w:p>
    <w:p>
      <w:pPr>
        <w:ind w:right="20" w:firstLine="877"/>
        <w:spacing w:after="0" w:line="296" w:lineRule="auto"/>
        <w:tabs>
          <w:tab w:leader="none" w:pos="127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In the event the Company proposes to undertake an issuance of New Securities, it shall give each Holder written notice of its intention, describing the type of New Securities, and their price and the general terms upon which the Company proposes to issue the same. Each Holder shall have ten (10) days after any such notice is mailed or delivered to agree to purchase such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New Securities and to indicate whether such Holder desires to exercise its over-allotment option for the price and upon the terms specified in the notice by giving written notice to the Company, in substantially the form attached as Schedule 1, and stating therein the quantity of New Securities to be purchased.</w:t>
      </w:r>
    </w:p>
    <w:p>
      <w:pPr>
        <w:spacing w:after="0" w:line="161" w:lineRule="exact"/>
        <w:rPr>
          <w:rFonts w:ascii="Arial" w:cs="Arial" w:eastAsia="Arial" w:hAnsi="Arial"/>
          <w:sz w:val="16"/>
          <w:szCs w:val="16"/>
          <w:color w:val="auto"/>
        </w:rPr>
      </w:pPr>
    </w:p>
    <w:p>
      <w:pPr>
        <w:ind w:firstLine="877"/>
        <w:spacing w:after="0" w:line="291" w:lineRule="auto"/>
        <w:tabs>
          <w:tab w:leader="none" w:pos="126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the event the Holders fail to exercise fully the right of first refusal and over-allotment rights, if any, within said ten (10) day period (the “</w:t>
      </w:r>
      <w:r>
        <w:rPr>
          <w:rFonts w:ascii="Arial" w:cs="Arial" w:eastAsia="Arial" w:hAnsi="Arial"/>
          <w:sz w:val="16"/>
          <w:szCs w:val="16"/>
          <w:b w:val="1"/>
          <w:bCs w:val="1"/>
          <w:i w:val="1"/>
          <w:iCs w:val="1"/>
          <w:color w:val="auto"/>
        </w:rPr>
        <w:t>Election Period</w:t>
      </w:r>
      <w:r>
        <w:rPr>
          <w:rFonts w:ascii="Arial" w:cs="Arial" w:eastAsia="Arial" w:hAnsi="Arial"/>
          <w:sz w:val="16"/>
          <w:szCs w:val="16"/>
          <w:color w:val="auto"/>
        </w:rPr>
        <w:t>”), the Company shall have ninety (90) days thereafter to sell or enter into an agreement (pursuant to which the sale of New Securities covered thereby shall be closed, if at all, within ninety (90) days from the date of said agreement) to sell that portion of the New Securities with respect to which the Holders’ right of first refusal option set forth in this Section 4.1 was not exercised, at a price and upon terms no more favorable to the purchasers thereof than specified in the Company’s notice to Holders delivered pursuant to Section 4.1(b). In the event the Company has not sold within such ninety (90) day period following the Election Period, or such ninety (90) day period following the date of said agreement, the Company shall not thereafter issue or sell any New Securities, without first again offering such securities to the Holders in the manner provided in this Section 4.1.</w:t>
      </w:r>
    </w:p>
    <w:p>
      <w:pPr>
        <w:spacing w:after="0" w:line="166" w:lineRule="exact"/>
        <w:rPr>
          <w:rFonts w:ascii="Arial" w:cs="Arial" w:eastAsia="Arial" w:hAnsi="Arial"/>
          <w:sz w:val="16"/>
          <w:szCs w:val="16"/>
          <w:color w:val="auto"/>
        </w:rPr>
      </w:pPr>
    </w:p>
    <w:p>
      <w:pPr>
        <w:ind w:left="1260" w:hanging="383"/>
        <w:spacing w:after="0"/>
        <w:tabs>
          <w:tab w:leader="none" w:pos="12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right of first refusal granted under this Agreement shall expire upon, and shall not be applicable to, the Company’s Initial Public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b w:val="1"/>
          <w:bCs w:val="1"/>
          <w:color w:val="auto"/>
        </w:rPr>
        <w:t xml:space="preserve">5.1 Amendment. </w:t>
      </w:r>
      <w:r>
        <w:rPr>
          <w:rFonts w:ascii="Arial" w:cs="Arial" w:eastAsia="Arial" w:hAnsi="Arial"/>
          <w:sz w:val="16"/>
          <w:szCs w:val="16"/>
          <w:color w:val="auto"/>
        </w:rPr>
        <w:t>Except as expressly provided herein, neither this Agreement nor any term hereof may be amended, waived, discharged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other than by a written instrument referencing this Agreement and signed by the Company and the Holders holding a majority of the Registrable Securities then outstanding (excluding any such shares that have been sold to the public or pursuant to Rule 144 and any of such shares held by any Holders whose rights to request registration or inclusion in any registration pursuant to Section 2 have terminated in accordance with</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Holders purchasing shares of Series D Preferred in an Additional Closing (as defined in the Purchase Agreement) may become parties to this Agreement, by executing a counterpart of this Agreement and adding such person’s or entity’s name to the appropriate exhibit to this Agreement without any amendment of this Agreement pursuant to this paragraph or any consent or approval of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any amendment or waiver of this Agreement which, on its face (without reference to any information outside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adversely changes the express rights of a specific Investor, which rights are not applicable to all Investors or to all Major Investors generally, shall not be effective against the adversely affected Investor without that Investor’s written consent (provided, that, for clarity, the amendment of this Agreement to make Investors that purchase new or additional shares of preferred stock of the Company (including shares of a new series of preferred stock that are senior to or pari passu with any existing series of preferred stock of the Company) parties to this Agreement or to add such new or additional shares to this Agreement as “Shares” or “Registrable Securities” shall not be an amendment that adversely changes the express rights of a specific Investor under this Agreement, and in such cases no consent of any Investor shall be required under this proviso clause). Notwithstanding anything to the contrary in this Section 5.1, any such amendment, waiver, discharge or termination that, on its face (without reference to any information outside the terms of this Agreement), adversely changes the express rights of Founder under this Agreement in a manner that is different from the corresponding effect, if any, on any other Holder, shall not be effective without the written consent of Founder. Any amendment, waiver, discharge or termination effected in accordance with this paragraph shall be binding upon each Holder and each future holder of all such securities of Holder.</w:t>
      </w:r>
    </w:p>
    <w:p>
      <w:pPr>
        <w:spacing w:after="0" w:line="174"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5.2 Notices. </w:t>
      </w:r>
      <w:r>
        <w:rPr>
          <w:rFonts w:ascii="Arial" w:cs="Arial" w:eastAsia="Arial" w:hAnsi="Arial"/>
          <w:sz w:val="18"/>
          <w:szCs w:val="18"/>
          <w:color w:val="auto"/>
        </w:rPr>
        <w:t>All notices and other communications required or permitted hereunder shall be in writing and shall be mailed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postage prepaid, sent by facsimile or electronic mail (if to an Investor or Holder) or otherwise delivered by hand, messenger or courier service addressed:</w:t>
      </w:r>
    </w:p>
    <w:p>
      <w:pPr>
        <w:spacing w:after="0" w:line="180" w:lineRule="exact"/>
        <w:rPr>
          <w:sz w:val="20"/>
          <w:szCs w:val="20"/>
          <w:color w:val="auto"/>
        </w:rPr>
      </w:pPr>
    </w:p>
    <w:p>
      <w:pPr>
        <w:ind w:right="100" w:firstLine="877"/>
        <w:spacing w:after="0" w:line="277" w:lineRule="auto"/>
        <w:tabs>
          <w:tab w:leader="none" w:pos="126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to an Investor, to the Investor’s address, facsimile number or electronic mail address as shown in the Company’s records, as may be updated in accordance with the provisions hereof;</w:t>
      </w:r>
    </w:p>
    <w:p>
      <w:pPr>
        <w:spacing w:after="0" w:line="170" w:lineRule="exact"/>
        <w:rPr>
          <w:rFonts w:ascii="Arial" w:cs="Arial" w:eastAsia="Arial" w:hAnsi="Arial"/>
          <w:sz w:val="18"/>
          <w:szCs w:val="18"/>
          <w:color w:val="auto"/>
        </w:rPr>
      </w:pPr>
    </w:p>
    <w:p>
      <w:pPr>
        <w:ind w:right="220" w:firstLine="877"/>
        <w:spacing w:after="0" w:line="263" w:lineRule="auto"/>
        <w:tabs>
          <w:tab w:leader="none" w:pos="127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to any Holder, to such address, facsimile number or electronic mail address as shown in the Company’s records, or, until any such Holder so furnishes an address, facsimile number or electronic mail address to the Company, then to the address of the last holder of such shares for which the Company has contact information in its records; or</w:t>
      </w:r>
    </w:p>
    <w:p>
      <w:pPr>
        <w:spacing w:after="0" w:line="183" w:lineRule="exact"/>
        <w:rPr>
          <w:rFonts w:ascii="Arial" w:cs="Arial" w:eastAsia="Arial" w:hAnsi="Arial"/>
          <w:sz w:val="18"/>
          <w:szCs w:val="18"/>
          <w:color w:val="auto"/>
        </w:rPr>
      </w:pPr>
    </w:p>
    <w:p>
      <w:pPr>
        <w:ind w:right="80" w:firstLine="877"/>
        <w:spacing w:after="0" w:line="259" w:lineRule="auto"/>
        <w:tabs>
          <w:tab w:leader="none" w:pos="126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of the Company at 4633 Old Ironsides Drive, Suite 478, Santa Clara CA 95054, or at such other current address as the Company shall have furnished to the Investors or Holders, with a copy (which shall not constitute notice) to Brian Patterson, c/o Gunderson Dettmer Stough Villeneuve Franklin &amp; Hachigian, LLP, One Bush Street, Suite 1200 San Francisco, CA 94104.</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(i) if delivered by hand, messenger or courier service, when delivered (or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41" w:name="page242"/>
    <w:bookmarkEnd w:id="241"/>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when directed to the relevant electronic mail address, if sent during normal business hours of the recipient, or if not sent during normal business hours of the recipient, then on the recipient’s next business day.</w:t>
      </w:r>
    </w:p>
    <w:p>
      <w:pPr>
        <w:spacing w:after="0" w:line="18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Subject to the limitations set forth in Delaware General Corporation Law §232(e), each Investor and Holder consents to the delivery of any notice to stockholders given by the Company under the Delaware General Corporation Law or the Company’s certificate of incorporation or bylaws by</w:t>
      </w:r>
    </w:p>
    <w:p>
      <w:pPr>
        <w:ind w:left="4" w:right="80" w:hanging="4"/>
        <w:spacing w:after="0" w:line="252" w:lineRule="auto"/>
        <w:tabs>
          <w:tab w:leader="none" w:pos="21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facsimile telecommunication to the facsimile number set forth on Exhibit A (or to any other facsimile number for the Investor or Holder in the Company’s records), (ii) electronic mail to the electronic mail address set forth on Exhibit A (or to any other electronic mail address for the Investor or Holder in the Company’s records), (iii) posting on an electronic network together with separate notice to the Investor or Holder of such specific posting or (iv) any other form of electronic transmission (as defined in the Delaware General Corporation Law) directed to the Investor or Holder. This consent may be revoked by an Investor or Holder by written notice to the Company and may be deemed revoked in the circumstances specified in Delaware General Corporation Law §232.</w:t>
      </w:r>
    </w:p>
    <w:p>
      <w:pPr>
        <w:spacing w:after="0" w:line="190" w:lineRule="exact"/>
        <w:rPr>
          <w:sz w:val="20"/>
          <w:szCs w:val="20"/>
          <w:color w:val="auto"/>
        </w:rPr>
      </w:pPr>
    </w:p>
    <w:p>
      <w:pPr>
        <w:ind w:left="4" w:right="220" w:firstLine="440"/>
        <w:spacing w:after="0" w:line="312" w:lineRule="auto"/>
        <w:rPr>
          <w:sz w:val="20"/>
          <w:szCs w:val="20"/>
          <w:color w:val="auto"/>
        </w:rPr>
      </w:pPr>
      <w:r>
        <w:rPr>
          <w:rFonts w:ascii="Arial" w:cs="Arial" w:eastAsia="Arial" w:hAnsi="Arial"/>
          <w:sz w:val="17"/>
          <w:szCs w:val="17"/>
          <w:b w:val="1"/>
          <w:bCs w:val="1"/>
          <w:color w:val="auto"/>
        </w:rPr>
        <w:t xml:space="preserve">5.3 Governing Law. </w:t>
      </w:r>
      <w:r>
        <w:rPr>
          <w:rFonts w:ascii="Arial" w:cs="Arial" w:eastAsia="Arial" w:hAnsi="Arial"/>
          <w:sz w:val="17"/>
          <w:szCs w:val="17"/>
          <w:color w:val="auto"/>
        </w:rPr>
        <w:t>This Agreement shall be governed in all respects by the internal laws of the State of California as applied to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among California residents to be performed entirely within California, without regard to principles of conflicts of law.</w:t>
      </w:r>
    </w:p>
    <w:p>
      <w:pPr>
        <w:spacing w:after="0" w:line="140"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5.4 Successors and Assigns. </w:t>
      </w:r>
      <w:r>
        <w:rPr>
          <w:rFonts w:ascii="Arial" w:cs="Arial" w:eastAsia="Arial" w:hAnsi="Arial"/>
          <w:sz w:val="18"/>
          <w:szCs w:val="18"/>
          <w:color w:val="auto"/>
        </w:rPr>
        <w:t>Except as otherwise set forth herein, this Agreement, and any and all rights, duties and obligations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assigned, transferred, delegated or sublicensed by any Investor without the prior written consent of the Company. Any attempt by an Investor without such permission, if such permission is required and not subject to an exception provided for elsewhere herein, to assign, transfer, delegate or sublicense any rights, duties or obligations that arise under this Agreement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187" w:lineRule="exact"/>
        <w:rPr>
          <w:sz w:val="20"/>
          <w:szCs w:val="20"/>
          <w:color w:val="auto"/>
        </w:rPr>
      </w:pPr>
    </w:p>
    <w:p>
      <w:pPr>
        <w:ind w:left="4" w:firstLine="440"/>
        <w:spacing w:after="0" w:line="281" w:lineRule="auto"/>
        <w:rPr>
          <w:sz w:val="20"/>
          <w:szCs w:val="20"/>
          <w:color w:val="auto"/>
        </w:rPr>
      </w:pPr>
      <w:r>
        <w:rPr>
          <w:rFonts w:ascii="Arial" w:cs="Arial" w:eastAsia="Arial" w:hAnsi="Arial"/>
          <w:sz w:val="17"/>
          <w:szCs w:val="17"/>
          <w:b w:val="1"/>
          <w:bCs w:val="1"/>
          <w:color w:val="auto"/>
        </w:rPr>
        <w:t xml:space="preserve">5.5 Entire Agreement. </w:t>
      </w:r>
      <w:r>
        <w:rPr>
          <w:rFonts w:ascii="Arial" w:cs="Arial" w:eastAsia="Arial" w:hAnsi="Arial"/>
          <w:sz w:val="17"/>
          <w:szCs w:val="17"/>
          <w:color w:val="auto"/>
        </w:rPr>
        <w:t>This Agreement and the exhibits hereto constitute the full and entire understanding and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regard to the subjects hereof and supersede and replace any prior agreements with respect thereto, including without limitation the Prior Agreement (which is amended and restated in its entirety by this Agreement). No party hereto shall be liable or bound to any other party in any manner with regard to the subjects hereof or thereof by any warranties, representations or covenants except as specifically set forth herein.</w:t>
      </w:r>
    </w:p>
    <w:p>
      <w:pPr>
        <w:spacing w:after="0" w:line="165" w:lineRule="exact"/>
        <w:rPr>
          <w:sz w:val="20"/>
          <w:szCs w:val="20"/>
          <w:color w:val="auto"/>
        </w:rPr>
      </w:pPr>
    </w:p>
    <w:p>
      <w:pPr>
        <w:ind w:left="4" w:right="120" w:firstLine="440"/>
        <w:spacing w:after="0" w:line="272" w:lineRule="auto"/>
        <w:rPr>
          <w:sz w:val="20"/>
          <w:szCs w:val="20"/>
          <w:color w:val="auto"/>
        </w:rPr>
      </w:pPr>
      <w:r>
        <w:rPr>
          <w:rFonts w:ascii="Arial" w:cs="Arial" w:eastAsia="Arial" w:hAnsi="Arial"/>
          <w:sz w:val="17"/>
          <w:szCs w:val="17"/>
          <w:b w:val="1"/>
          <w:bCs w:val="1"/>
          <w:color w:val="auto"/>
        </w:rPr>
        <w:t xml:space="preserve">5.6 Delays or Omissions. </w:t>
      </w:r>
      <w:r>
        <w:rPr>
          <w:rFonts w:ascii="Arial" w:cs="Arial" w:eastAsia="Arial" w:hAnsi="Arial"/>
          <w:sz w:val="17"/>
          <w:szCs w:val="17"/>
          <w:color w:val="auto"/>
        </w:rPr>
        <w:t>Except as expressly provided herein, no delay or omission to exercise any right, power or remedy accruing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42" w:name="page243"/>
    <w:bookmarkEnd w:id="242"/>
    <w:p>
      <w:pPr>
        <w:ind w:right="16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Severability. </w:t>
      </w:r>
      <w:r>
        <w:rPr>
          <w:rFonts w:ascii="Arial" w:cs="Arial" w:eastAsia="Arial" w:hAnsi="Arial"/>
          <w:sz w:val="18"/>
          <w:szCs w:val="18"/>
          <w:color w:val="auto"/>
        </w:rPr>
        <w:t>If any provision of this Agreement becomes or is declared by a court of competent jurisdiction to be illegal, unenforceable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8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5.8 Titles and Subtitles. </w:t>
      </w:r>
      <w:r>
        <w:rPr>
          <w:rFonts w:ascii="Arial" w:cs="Arial" w:eastAsia="Arial" w:hAnsi="Arial"/>
          <w:sz w:val="18"/>
          <w:szCs w:val="18"/>
          <w:color w:val="auto"/>
        </w:rPr>
        <w:t>The titles and subtitles used in this Agreement are used for convenience only and are not to be considered in construing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interpreting this Agreement. All references in this Agreement to sections, paragraphs and exhibits shall, unless otherwise provided, refer to sections and paragraphs hereof and exhibits attached hereto.</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5.9 Counterparts. </w:t>
      </w:r>
      <w:r>
        <w:rPr>
          <w:rFonts w:ascii="Arial" w:cs="Arial" w:eastAsia="Arial" w:hAnsi="Arial"/>
          <w:sz w:val="18"/>
          <w:szCs w:val="18"/>
          <w:color w:val="auto"/>
        </w:rPr>
        <w:t>This Agreement may be executed in any number of counterparts, each of which shall be enforceable against the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such counterparts, and all of which together shall constitute one instrument.</w:t>
      </w:r>
    </w:p>
    <w:p>
      <w:pPr>
        <w:spacing w:after="0" w:line="162" w:lineRule="exact"/>
        <w:rPr>
          <w:sz w:val="20"/>
          <w:szCs w:val="20"/>
          <w:color w:val="auto"/>
        </w:rPr>
      </w:pPr>
    </w:p>
    <w:p>
      <w:pPr>
        <w:jc w:val="both"/>
        <w:ind w:right="100" w:firstLine="440"/>
        <w:spacing w:after="0" w:line="289" w:lineRule="auto"/>
        <w:rPr>
          <w:sz w:val="20"/>
          <w:szCs w:val="20"/>
          <w:color w:val="auto"/>
        </w:rPr>
      </w:pPr>
      <w:r>
        <w:rPr>
          <w:rFonts w:ascii="Arial" w:cs="Arial" w:eastAsia="Arial" w:hAnsi="Arial"/>
          <w:sz w:val="17"/>
          <w:szCs w:val="17"/>
          <w:b w:val="1"/>
          <w:bCs w:val="1"/>
          <w:color w:val="auto"/>
        </w:rPr>
        <w:t xml:space="preserve">5.10 Electronic Execution and Delivery. </w:t>
      </w:r>
      <w:r>
        <w:rPr>
          <w:rFonts w:ascii="Arial" w:cs="Arial" w:eastAsia="Arial" w:hAnsi="Arial"/>
          <w:sz w:val="17"/>
          <w:szCs w:val="17"/>
          <w:color w:val="auto"/>
        </w:rPr>
        <w:t>A facsimile, telecopy, PDF or other reproduction of this Agreement may be executed by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delivered by such party by electronic mail, facsimile or any similar electronic transmission device pursuant to which the signature of or on behalf of such party can be seen. Such execution and delivery shall be considered valid, binding and effective for all purposes.</w:t>
      </w:r>
    </w:p>
    <w:p>
      <w:pPr>
        <w:spacing w:after="0" w:line="158"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5.11 Jurisdiction; Venue. </w:t>
      </w:r>
      <w:r>
        <w:rPr>
          <w:rFonts w:ascii="Arial" w:cs="Arial" w:eastAsia="Arial" w:hAnsi="Arial"/>
          <w:sz w:val="18"/>
          <w:szCs w:val="18"/>
          <w:color w:val="auto"/>
        </w:rPr>
        <w:t>With respect to any disputes arising out of or related to this Agreement, the parties consent to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and venue in, the state courts in Santa Clara County in the State of California (or in the event of exclusive federal jurisdiction, the courts of the Northern District of California).</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5.12 Further Assurances. </w:t>
      </w:r>
      <w:r>
        <w:rPr>
          <w:rFonts w:ascii="Arial" w:cs="Arial" w:eastAsia="Arial" w:hAnsi="Arial"/>
          <w:sz w:val="18"/>
          <w:szCs w:val="18"/>
          <w:color w:val="auto"/>
        </w:rPr>
        <w:t>Each party hereto agrees to execute and deliver, by the proper exercise of its corporate,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other powers, all such other and additional instruments and documents and do all such other acts and things as may be necessary to more fully effectuate this Agreement.</w:t>
      </w:r>
    </w:p>
    <w:p>
      <w:pPr>
        <w:spacing w:after="0" w:line="176"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5.13 Termination Upon Change of Control. </w:t>
      </w:r>
      <w:r>
        <w:rPr>
          <w:rFonts w:ascii="Arial" w:cs="Arial" w:eastAsia="Arial" w:hAnsi="Arial"/>
          <w:sz w:val="18"/>
          <w:szCs w:val="18"/>
          <w:color w:val="auto"/>
        </w:rPr>
        <w:t>Notwithstanding anything to the contrary herein, this Agreement (excluding any then-existing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shall terminate upon the closing of a Liquidation Event (as defined in the Company’s Restated Certificate) or a liquidation, dissolution or winding up on the Company.</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5.14 Conflict. </w:t>
      </w:r>
      <w:r>
        <w:rPr>
          <w:rFonts w:ascii="Arial" w:cs="Arial" w:eastAsia="Arial" w:hAnsi="Arial"/>
          <w:sz w:val="18"/>
          <w:szCs w:val="18"/>
          <w:color w:val="auto"/>
        </w:rPr>
        <w:t>In the event of any conflict between the terms of this Agreement and the Company’s certificate of incorporation or its bylaws,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Company’s certificate of incorporation or its bylaws, as the case may be, will control.</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5.15 Attorneys’ Fees. </w:t>
      </w:r>
      <w:r>
        <w:rPr>
          <w:rFonts w:ascii="Arial" w:cs="Arial" w:eastAsia="Arial" w:hAnsi="Arial"/>
          <w:sz w:val="18"/>
          <w:szCs w:val="18"/>
          <w:color w:val="auto"/>
        </w:rPr>
        <w:t>In the event that any suit or action is instituted to enforce any provision in this Agreement,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 xml:space="preserve">5.16 Aggregation of Stock. </w:t>
      </w:r>
      <w:r>
        <w:rPr>
          <w:rFonts w:ascii="Arial" w:cs="Arial" w:eastAsia="Arial" w:hAnsi="Arial"/>
          <w:sz w:val="18"/>
          <w:szCs w:val="18"/>
          <w:color w:val="auto"/>
        </w:rPr>
        <w:t>All securities held or acquired by affiliated entities (including affiliated venture capital funds) or persons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aggregated together for purposes of determining the availability of any rights under this Agreement. For further clarity, Bucantini Enterprises Limited and Puccini World Limited shall be deemed affiliates of one another for purposes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43" w:name="page244"/>
    <w:bookmarkEnd w:id="243"/>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5.17 Jury Trial. </w:t>
      </w:r>
      <w:r>
        <w:rPr>
          <w:rFonts w:ascii="Arial" w:cs="Arial" w:eastAsia="Arial" w:hAnsi="Arial"/>
          <w:sz w:val="16"/>
          <w:szCs w:val="16"/>
          <w:color w:val="auto"/>
        </w:rPr>
        <w:t>EACH OF THE PARTIES HERETO HEREBY IRREVOCABLY WAIVES,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LAW, ANY AND ALL RIGHT TO TRIAL BY JURY IN ANY LEGAL PROCEEDING (WHETHER SOUNDING IN CONTRACT, TORT OR OTHERWISE) ARISING OUT OF OR RELATED TO THIS AGREEMENT. If the waiver of jury trial set forth in this section is not enforceable, then any claim or cause of action arising out of or relating to this Agreement shall be settled by judicial reference pursuant to California Code of Civil Procedure Section 638 et seq. before a referee sitting without a jury, such referee to be mutually acceptable to the parties or, if no agreement is reached, by a referee appointed by the Presiding Judge of the California Superior Court for Santa Clara County. This paragraph shall not restrict a party from exercising remedies under the Uniform Commercial Code or from exercising pre-judgment remedies under applicable law.</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40" w:top="270" w:right="57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Eric S. Yuan</w:t>
      </w:r>
    </w:p>
    <w:p>
      <w:pPr>
        <w:spacing w:after="0" w:line="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President and Chief Executive Officer</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640"/>
          </w:cols>
          <w:pgMar w:left="880" w:top="274" w:right="137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FOUNDER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i w:val="1"/>
          <w:iCs w:val="1"/>
          <w:color w:val="auto"/>
        </w:rPr>
        <w:t>(Print name of Founder)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186055</wp:posOffset>
            </wp:positionV>
            <wp:extent cx="27946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194945</wp:posOffset>
            </wp:positionV>
            <wp:extent cx="27946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AME Cloud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Bucantini Enterprises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Digital Mobile Venture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186055</wp:posOffset>
            </wp:positionV>
            <wp:extent cx="27946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194945</wp:posOffset>
            </wp:positionV>
            <wp:extent cx="27946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27"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50" w:name="page251"/>
    <w:bookmarkEnd w:id="2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860"/>
          </w:cols>
          <w:pgMar w:left="880" w:top="274" w:right="1159" w:bottom="1440" w:gutter="0" w:footer="0" w:header="0"/>
        </w:sectPr>
      </w:pPr>
    </w:p>
    <w:bookmarkStart w:id="251" w:name="page252"/>
    <w:bookmarkEnd w:id="2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&amp; Zoë Scheinman Trust Dated 2/23/01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580"/>
          </w:cols>
          <w:pgMar w:left="880" w:top="274" w:right="4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OPPORTUNITY, L.P.</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580"/>
          </w:cols>
          <w:pgMar w:left="880" w:top="274" w:right="439" w:bottom="1440" w:gutter="0" w:footer="0" w:header="0"/>
        </w:sectPr>
      </w:pPr>
    </w:p>
    <w:bookmarkStart w:id="254" w:name="page255"/>
    <w:bookmarkEnd w:id="2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Hillhouse ZM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40"/>
          </w:cols>
          <w:pgMar w:left="880" w:top="274" w:right="979" w:bottom="1440" w:gutter="0" w:footer="0" w:header="0"/>
        </w:sectPr>
      </w:pPr>
    </w:p>
    <w:bookmarkStart w:id="255" w:name="page256"/>
    <w:bookmarkEnd w:id="2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Puccini World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40"/>
          </w:cols>
          <w:pgMar w:left="880" w:top="274" w:right="97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QUALCOMM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 &amp;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40"/>
          </w:cols>
          <w:pgMar w:left="880" w:top="274" w:right="979"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Qualcomm Global Trading Pte.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(Singapore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5715</wp:posOffset>
            </wp:positionV>
            <wp:extent cx="27946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FUND VII,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VII PRINCIPALS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 Cayman Islands exempted limited partnership</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U.S. GROWTH VII MANAGEMENT,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General Partner of Each</w:t>
      </w:r>
    </w:p>
    <w:p>
      <w:pPr>
        <w:spacing w:after="0" w:line="224"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Cayman Islands exempted company, its General Partner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Pat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Pat Grady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540"/>
          </w:cols>
          <w:pgMar w:left="880" w:top="274" w:right="47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FUND II,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II PRINCIPALS 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Each a Cayman Islands exempted limited partnership</w:t>
      </w:r>
    </w:p>
    <w:p>
      <w:pPr>
        <w:spacing w:after="0" w:line="222"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GLOBAL GROWTH II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MANAGEMENT,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a Cayman Islands exempted company, its General Partner</w:t>
      </w:r>
    </w:p>
    <w:p>
      <w:pPr>
        <w:spacing w:after="0" w:line="24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Doug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Doug Leone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320"/>
          </w:cols>
          <w:pgMar w:left="880" w:top="274" w:right="699" w:bottom="1440" w:gutter="0" w:footer="0" w:header="0"/>
        </w:sectPr>
      </w:pPr>
    </w:p>
    <w:bookmarkStart w:id="260" w:name="page261"/>
    <w:bookmarkEnd w:id="2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61" w:name="page262"/>
    <w:bookmarkEnd w:id="26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20"/>
          </w:cols>
          <w:pgMar w:left="880" w:top="274" w:right="89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INVESTORS</w:t>
      </w:r>
    </w:p>
    <w:p>
      <w:pPr>
        <w:spacing w:after="0" w:line="25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Yi-Chun Chen</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Yi-Ting Chen</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Farzad Nazem &amp; Noosheen Hashemi</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Living Trust Dated 07/10/95</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QUALCOMM Incorporated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The Vandana Shah and Praful Shah</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Revocable Living Trust</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Kailua Venture Group LLC</w:t>
      </w:r>
    </w:p>
    <w:p>
      <w:pPr>
        <w:sectPr>
          <w:pgSz w:w="11900" w:h="16838" w:orient="portrait"/>
          <w:cols w:equalWidth="0" w:num="1">
            <w:col w:w="9019"/>
          </w:cols>
          <w:pgMar w:left="1440" w:top="270" w:right="1440" w:bottom="1440" w:gutter="0" w:footer="0" w:header="0"/>
        </w:sectPr>
      </w:pPr>
    </w:p>
    <w:bookmarkStart w:id="264" w:name="page265"/>
    <w:bookmarkEnd w:id="264"/>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Eternal Bliss Limited Partnership</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IT-Farm Nozomi Investment Limited</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Partnership</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Dan &amp; Zoë Scheinman Trust Dated 2/23/01</w:t>
      </w:r>
    </w:p>
    <w:p>
      <w:pPr>
        <w:spacing w:after="0" w:line="26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Changbin Wang</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Gary Griffiths</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Yuqing Xu</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Haiping Jin</w:t>
      </w:r>
    </w:p>
    <w:p>
      <w:pPr>
        <w:sectPr>
          <w:pgSz w:w="11900" w:h="16838" w:orient="portrait"/>
          <w:cols w:equalWidth="0" w:num="1">
            <w:col w:w="9019"/>
          </w:cols>
          <w:pgMar w:left="1440" w:top="270" w:right="1440" w:bottom="1440" w:gutter="0" w:footer="0" w:header="0"/>
        </w:sectPr>
      </w:pPr>
    </w:p>
    <w:bookmarkStart w:id="265" w:name="page266"/>
    <w:bookmarkEnd w:id="26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Three Kingdoms Capital Partners, L.P.</w:t>
      </w:r>
    </w:p>
    <w:p>
      <w:pPr>
        <w:spacing w:after="0" w:line="2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Subrah S. Iyar 2012 GRAT #3</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Steven Li</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Velchamy Sankarlingam</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WS Investment Company, LLC (2011A)</w:t>
      </w:r>
    </w:p>
    <w:p>
      <w:pPr>
        <w:spacing w:after="0" w:line="26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William P. Tai</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The Michael and Martha Everett Living</w:t>
      </w:r>
    </w:p>
    <w:p>
      <w:pPr>
        <w:spacing w:after="0" w:line="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Trust</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JV Trust dtd 9/27/2002</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HE Venture Capital Fund, LP</w:t>
      </w:r>
    </w:p>
    <w:p>
      <w:pPr>
        <w:sectPr>
          <w:pgSz w:w="11900" w:h="16838" w:orient="portrait"/>
          <w:cols w:equalWidth="0" w:num="1">
            <w:col w:w="9019"/>
          </w:cols>
          <w:pgMar w:left="1440" w:top="270" w:right="1440" w:bottom="1440" w:gutter="0" w:footer="0" w:header="0"/>
        </w:sectPr>
      </w:pPr>
    </w:p>
    <w:bookmarkStart w:id="266" w:name="page267"/>
    <w:bookmarkEnd w:id="266"/>
    <w:p>
      <w:pPr>
        <w:ind w:left="4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TEEC Angel Fund, LP</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Steven Sun</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Heil 1998 Revocable Trust</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Zhang/Gao Family Trust, 3/28/2000</w:t>
      </w:r>
    </w:p>
    <w:p>
      <w:pPr>
        <w:sectPr>
          <w:pgSz w:w="11900" w:h="16838" w:orient="portrait"/>
          <w:cols w:equalWidth="0" w:num="1">
            <w:col w:w="9019"/>
          </w:cols>
          <w:pgMar w:left="1440" w:top="270"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INVESTORS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Three Kingdoms Capital Partners, L.P.</w:t>
      </w:r>
    </w:p>
    <w:p>
      <w:pPr>
        <w:spacing w:after="0" w:line="262"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Harbor Pacific Capital Partners I, LP</w:t>
      </w:r>
    </w:p>
    <w:p>
      <w:pPr>
        <w:spacing w:after="0" w:line="2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Nantworks, LLC</w:t>
      </w:r>
    </w:p>
    <w:p>
      <w:pPr>
        <w:sectPr>
          <w:pgSz w:w="11900" w:h="16838" w:orient="portrait"/>
          <w:cols w:equalWidth="0" w:num="1">
            <w:col w:w="9019"/>
          </w:cols>
          <w:pgMar w:left="1440" w:top="270" w:right="1440"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INVESTORS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Emergence Capital Partners III, L.P.</w:t>
      </w:r>
    </w:p>
    <w:p>
      <w:pPr>
        <w:spacing w:after="0" w:line="2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Bart Swanson</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Harbor Pacific Capital Partners I, LP</w:t>
      </w:r>
    </w:p>
    <w:p>
      <w:pPr>
        <w:spacing w:after="0" w:line="2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Nantworks, LLC</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QUALCOMM Incorporated</w:t>
      </w:r>
    </w:p>
    <w:p>
      <w:pPr>
        <w:sectPr>
          <w:pgSz w:w="11900" w:h="16838" w:orient="portrait"/>
          <w:cols w:equalWidth="0" w:num="1">
            <w:col w:w="9019"/>
          </w:cols>
          <w:pgMar w:left="1440" w:top="270" w:right="1440"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- 4</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SERIES D INVESTORS</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U.S. Growth Fund VII, L.P</w:t>
      </w:r>
      <w:r>
        <w:rPr>
          <w:rFonts w:ascii="Arial" w:cs="Arial" w:eastAsia="Arial" w:hAnsi="Arial"/>
          <w:sz w:val="18"/>
          <w:szCs w:val="18"/>
          <w:color w:val="auto"/>
        </w:rPr>
        <w:t>.</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Sequoia Capital U.S. Growth VII Principals Fund, L.P.</w:t>
      </w:r>
    </w:p>
    <w:p>
      <w:pPr>
        <w:spacing w:after="0" w:line="25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Global Growth Fund II, L.P.</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Sequoia Capital Global Growth II Principals Fund, L.P</w:t>
      </w:r>
      <w:r>
        <w:rPr>
          <w:rFonts w:ascii="Arial" w:cs="Arial" w:eastAsia="Arial" w:hAnsi="Arial"/>
          <w:sz w:val="16"/>
          <w:szCs w:val="16"/>
          <w:color w:val="auto"/>
        </w:rPr>
        <w:t>.</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AME Cloud Ventures, LLC</w:t>
      </w:r>
    </w:p>
    <w:p>
      <w:pPr>
        <w:sectPr>
          <w:pgSz w:w="11900" w:h="16838" w:orient="portrait"/>
          <w:cols w:equalWidth="0" w:num="1">
            <w:col w:w="9019"/>
          </w:cols>
          <w:pgMar w:left="1440" w:top="270" w:right="1440" w:bottom="1440" w:gutter="0" w:footer="0" w:header="0"/>
        </w:sectPr>
      </w:pPr>
    </w:p>
    <w:bookmarkStart w:id="270" w:name="page271"/>
    <w:bookmarkEnd w:id="270"/>
    <w:p>
      <w:pPr>
        <w:jc w:val="center"/>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Emergence Capital Partners III Opportunity, L.P.</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Qualcomm Global Trading Pte. Ltd.</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(Singapore company)</w:t>
      </w:r>
    </w:p>
    <w:p>
      <w:pPr>
        <w:spacing w:after="0" w:line="22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SF Growth Fund</w:t>
      </w:r>
    </w:p>
    <w:p>
      <w:pPr>
        <w:sectPr>
          <w:pgSz w:w="11900" w:h="16838" w:orient="portrait"/>
          <w:cols w:equalWidth="0" w:num="1">
            <w:col w:w="9019"/>
          </w:cols>
          <w:pgMar w:left="1440" w:top="270" w:right="1440" w:bottom="1440" w:gutter="0" w:footer="0" w:header="0"/>
        </w:sectPr>
      </w:pPr>
    </w:p>
    <w:bookmarkStart w:id="271" w:name="page272"/>
    <w:bookmarkEnd w:id="271"/>
    <w:tbl>
      <w:tblPr>
        <w:tblLayout w:type="fixed"/>
        <w:tblInd w:w="76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5320" w:type="dxa"/>
            <w:vAlign w:val="bottom"/>
            <w:gridSpan w:val="3"/>
          </w:tcPr>
          <w:p>
            <w:pPr>
              <w:jc w:val="right"/>
              <w:ind w:right="3220"/>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5320" w:type="dxa"/>
            <w:vAlign w:val="bottom"/>
            <w:gridSpan w:val="3"/>
          </w:tcPr>
          <w:p>
            <w:pPr>
              <w:jc w:val="right"/>
              <w:ind w:right="3260"/>
              <w:spacing w:after="0"/>
              <w:rPr>
                <w:sz w:val="20"/>
                <w:szCs w:val="20"/>
                <w:color w:val="auto"/>
              </w:rPr>
            </w:pPr>
            <w:r>
              <w:rPr>
                <w:rFonts w:ascii="Arial" w:cs="Arial" w:eastAsia="Arial" w:hAnsi="Arial"/>
                <w:sz w:val="18"/>
                <w:szCs w:val="18"/>
                <w:b w:val="1"/>
                <w:bCs w:val="1"/>
                <w:color w:val="auto"/>
              </w:rPr>
              <w:t>FOUNDER</w:t>
            </w:r>
          </w:p>
        </w:tc>
        <w:tc>
          <w:tcPr>
            <w:tcW w:w="0" w:type="dxa"/>
            <w:vAlign w:val="bottom"/>
          </w:tcPr>
          <w:p>
            <w:pPr>
              <w:spacing w:after="0"/>
              <w:rPr>
                <w:sz w:val="1"/>
                <w:szCs w:val="1"/>
                <w:color w:val="auto"/>
              </w:rPr>
            </w:pPr>
          </w:p>
        </w:tc>
      </w:tr>
      <w:tr>
        <w:trPr>
          <w:trHeight w:val="391"/>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Eric S. Yuan</w:t>
            </w:r>
          </w:p>
        </w:tc>
        <w:tc>
          <w:tcPr>
            <w:tcW w:w="2560" w:type="dxa"/>
            <w:vAlign w:val="bottom"/>
          </w:tcPr>
          <w:p>
            <w:pPr>
              <w:spacing w:after="0"/>
              <w:rPr>
                <w:sz w:val="24"/>
                <w:szCs w:val="24"/>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Number of Shares of Common Stock Owned</w:t>
            </w:r>
          </w:p>
        </w:tc>
        <w:tc>
          <w:tcPr>
            <w:tcW w:w="0" w:type="dxa"/>
            <w:vAlign w:val="bottom"/>
          </w:tcPr>
          <w:p>
            <w:pPr>
              <w:spacing w:after="0"/>
              <w:rPr>
                <w:sz w:val="1"/>
                <w:szCs w:val="1"/>
                <w:color w:val="auto"/>
              </w:rPr>
            </w:pPr>
          </w:p>
        </w:tc>
      </w:tr>
      <w:tr>
        <w:trPr>
          <w:trHeight w:val="224"/>
        </w:trPr>
        <w:tc>
          <w:tcPr>
            <w:tcW w:w="212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2" w:name="page273"/>
    <w:bookmarkEnd w:id="27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NOTICE AND WAIVER/ELECTION OF</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RIGHT OF FIRST REFUSAL</w:t>
      </w:r>
    </w:p>
    <w:p>
      <w:pPr>
        <w:spacing w:after="0" w:line="207"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b w:val="1"/>
          <w:bCs w:val="1"/>
          <w:color w:val="auto"/>
        </w:rPr>
        <w:t xml:space="preserve">I do hereby waive or exercise, as indicated below, my rights of first refusal under the Third Amended and Restated Investors’ Rights Agreement dated as of December 1, 2016 (the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w:t>
      </w:r>
    </w:p>
    <w:p>
      <w:pPr>
        <w:spacing w:after="0" w:line="54"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 xml:space="preserve">Waiver of 10 days’ notice period in which to exercise right of first refusal: </w:t>
      </w:r>
      <w:r>
        <w:rPr>
          <w:rFonts w:ascii="Arial" w:cs="Arial" w:eastAsia="Arial" w:hAnsi="Arial"/>
          <w:sz w:val="16"/>
          <w:szCs w:val="16"/>
          <w:b w:val="1"/>
          <w:bCs w:val="1"/>
          <w:color w:val="auto"/>
        </w:rPr>
        <w:t>(please check only one)</w:t>
      </w:r>
    </w:p>
    <w:p>
      <w:pPr>
        <w:spacing w:after="0" w:line="131" w:lineRule="exact"/>
        <w:rPr>
          <w:sz w:val="20"/>
          <w:szCs w:val="20"/>
          <w:color w:val="auto"/>
        </w:rPr>
      </w:pPr>
    </w:p>
    <w:p>
      <w:pPr>
        <w:ind w:left="1424" w:right="280" w:hanging="547"/>
        <w:spacing w:after="0" w:line="282" w:lineRule="auto"/>
        <w:tabs>
          <w:tab w:leader="none" w:pos="11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WAIVE</w:t>
      </w:r>
      <w:r>
        <w:rPr>
          <w:rFonts w:ascii="Arial" w:cs="Arial" w:eastAsia="Arial" w:hAnsi="Arial"/>
          <w:sz w:val="18"/>
          <w:szCs w:val="18"/>
          <w:color w:val="auto"/>
        </w:rPr>
        <w:t xml:space="preserve"> in full, on behalf of all Holders, the 10-day notice period provided to exercise my right of first refusal granted under the Agreement.</w:t>
      </w:r>
    </w:p>
    <w:p>
      <w:pPr>
        <w:spacing w:after="0" w:line="67" w:lineRule="exact"/>
        <w:rPr>
          <w:sz w:val="20"/>
          <w:szCs w:val="20"/>
          <w:color w:val="auto"/>
        </w:rPr>
      </w:pPr>
    </w:p>
    <w:p>
      <w:pPr>
        <w:ind w:left="1124" w:hanging="247"/>
        <w:spacing w:after="0"/>
        <w:tabs>
          <w:tab w:leader="none" w:pos="112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DO NOT WAIVE</w:t>
      </w:r>
      <w:r>
        <w:rPr>
          <w:rFonts w:ascii="Arial" w:cs="Arial" w:eastAsia="Arial" w:hAnsi="Arial"/>
          <w:sz w:val="18"/>
          <w:szCs w:val="18"/>
          <w:color w:val="auto"/>
        </w:rPr>
        <w:t xml:space="preserve"> the notice period described above.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Issuance and Sale of New Securities: </w:t>
      </w:r>
      <w:r>
        <w:rPr>
          <w:rFonts w:ascii="Arial" w:cs="Arial" w:eastAsia="Arial" w:hAnsi="Arial"/>
          <w:sz w:val="18"/>
          <w:szCs w:val="18"/>
          <w:b w:val="1"/>
          <w:bCs w:val="1"/>
          <w:color w:val="auto"/>
        </w:rPr>
        <w:t>(please check only one)</w:t>
      </w:r>
    </w:p>
    <w:p>
      <w:pPr>
        <w:spacing w:after="0" w:line="131" w:lineRule="exact"/>
        <w:rPr>
          <w:sz w:val="20"/>
          <w:szCs w:val="20"/>
          <w:color w:val="auto"/>
        </w:rPr>
      </w:pPr>
    </w:p>
    <w:p>
      <w:pPr>
        <w:ind w:left="1124" w:hanging="247"/>
        <w:spacing w:after="0"/>
        <w:tabs>
          <w:tab w:leader="none" w:pos="11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WAIVE</w:t>
      </w:r>
      <w:r>
        <w:rPr>
          <w:rFonts w:ascii="Arial" w:cs="Arial" w:eastAsia="Arial" w:hAnsi="Arial"/>
          <w:sz w:val="18"/>
          <w:szCs w:val="18"/>
          <w:color w:val="auto"/>
        </w:rPr>
        <w:t xml:space="preserve"> in full the right of first refusal granted under the Agreement with respect to the issuance of the New Securities.</w:t>
      </w:r>
    </w:p>
    <w:p>
      <w:pPr>
        <w:spacing w:after="0" w:line="131" w:lineRule="exact"/>
        <w:rPr>
          <w:sz w:val="20"/>
          <w:szCs w:val="20"/>
          <w:color w:val="auto"/>
        </w:rPr>
      </w:pPr>
    </w:p>
    <w:tbl>
      <w:tblPr>
        <w:tblLayout w:type="fixed"/>
        <w:tblInd w:w="884" w:type="dxa"/>
        <w:tblCellMar>
          <w:top w:w="0" w:type="dxa"/>
          <w:left w:w="0" w:type="dxa"/>
          <w:bottom w:w="0" w:type="dxa"/>
          <w:right w:w="0" w:type="dxa"/>
        </w:tblCellMar>
      </w:tblPr>
      <w:tr>
        <w:trPr>
          <w:trHeight w:val="220"/>
        </w:trPr>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provide amount</w:t>
            </w:r>
            <w:r>
              <w:rPr>
                <w:rFonts w:ascii="Arial" w:cs="Arial" w:eastAsia="Arial" w:hAnsi="Arial"/>
                <w:sz w:val="18"/>
                <w:szCs w:val="18"/>
                <w:color w:val="auto"/>
              </w:rPr>
              <w:t>) in New Securities proposed to be issued by Zoom Video</w:t>
            </w:r>
          </w:p>
        </w:tc>
      </w:tr>
      <w:tr>
        <w:trPr>
          <w:trHeight w:val="216"/>
        </w:trPr>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gridSpan w:val="5"/>
          </w:tcPr>
          <w:p>
            <w:pPr>
              <w:ind w:left="120"/>
              <w:spacing w:after="0"/>
              <w:rPr>
                <w:sz w:val="20"/>
                <w:szCs w:val="20"/>
                <w:color w:val="auto"/>
              </w:rPr>
            </w:pPr>
            <w:r>
              <w:rPr>
                <w:rFonts w:ascii="Arial" w:cs="Arial" w:eastAsia="Arial" w:hAnsi="Arial"/>
                <w:sz w:val="18"/>
                <w:szCs w:val="18"/>
                <w:color w:val="auto"/>
                <w:w w:val="93"/>
              </w:rPr>
              <w:t xml:space="preserve">Communications, Inc., a Delaware corporation, representing LESS than my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portion of the aggregate of $[</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 in New</w:t>
            </w:r>
          </w:p>
        </w:tc>
      </w:tr>
      <w:tr>
        <w:trPr>
          <w:trHeight w:val="230"/>
        </w:trPr>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3"/>
          </w:tcPr>
          <w:p>
            <w:pPr>
              <w:ind w:left="120"/>
              <w:spacing w:after="0"/>
              <w:rPr>
                <w:sz w:val="20"/>
                <w:szCs w:val="20"/>
                <w:color w:val="auto"/>
              </w:rPr>
            </w:pPr>
            <w:r>
              <w:rPr>
                <w:rFonts w:ascii="Arial" w:cs="Arial" w:eastAsia="Arial" w:hAnsi="Arial"/>
                <w:sz w:val="18"/>
                <w:szCs w:val="18"/>
                <w:color w:val="auto"/>
              </w:rPr>
              <w:t>Securities being offered in the financing.</w:t>
            </w:r>
          </w:p>
        </w:tc>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3"/>
        </w:trPr>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w w:val="90"/>
              </w:rPr>
              <w:t>in New Securities proposed to be issued by Zoom Video Communications, Inc., a Delaware</w:t>
            </w:r>
          </w:p>
        </w:tc>
      </w:tr>
      <w:tr>
        <w:trPr>
          <w:trHeight w:val="230"/>
        </w:trPr>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3"/>
          </w:tcPr>
          <w:p>
            <w:pPr>
              <w:ind w:left="120"/>
              <w:spacing w:after="0"/>
              <w:rPr>
                <w:sz w:val="20"/>
                <w:szCs w:val="20"/>
                <w:color w:val="auto"/>
              </w:rPr>
            </w:pPr>
            <w:r>
              <w:rPr>
                <w:rFonts w:ascii="Arial" w:cs="Arial" w:eastAsia="Arial" w:hAnsi="Arial"/>
                <w:sz w:val="18"/>
                <w:szCs w:val="18"/>
                <w:color w:val="auto"/>
                <w:w w:val="93"/>
              </w:rPr>
              <w:t xml:space="preserve">corporation, representing my FULL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portion of the aggregate of $[</w:t>
            </w:r>
          </w:p>
        </w:tc>
        <w:tc>
          <w:tcPr>
            <w:tcW w:w="200" w:type="dxa"/>
            <w:vAlign w:val="bottom"/>
          </w:tcPr>
          <w:p>
            <w:pPr>
              <w:spacing w:after="0"/>
              <w:rPr>
                <w:sz w:val="20"/>
                <w:szCs w:val="20"/>
                <w:color w:val="auto"/>
              </w:rPr>
            </w:pPr>
          </w:p>
        </w:tc>
        <w:tc>
          <w:tcPr>
            <w:tcW w:w="38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 in New Securities being offered in the financing.</w:t>
            </w:r>
          </w:p>
        </w:tc>
      </w:tr>
      <w:tr>
        <w:trPr>
          <w:trHeight w:val="323"/>
        </w:trPr>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 xml:space="preserve">ELECT TO PARTICIPATE </w:t>
            </w:r>
            <w:r>
              <w:rPr>
                <w:rFonts w:ascii="Arial" w:cs="Arial" w:eastAsia="Arial" w:hAnsi="Arial"/>
                <w:sz w:val="18"/>
                <w:szCs w:val="18"/>
                <w:color w:val="auto"/>
                <w:w w:val="96"/>
              </w:rPr>
              <w:t>in my full</w:t>
            </w:r>
            <w:r>
              <w:rPr>
                <w:rFonts w:ascii="Arial" w:cs="Arial" w:eastAsia="Arial" w:hAnsi="Arial"/>
                <w:sz w:val="18"/>
                <w:szCs w:val="18"/>
                <w:b w:val="1"/>
                <w:bCs w:val="1"/>
                <w:color w:val="auto"/>
                <w:w w:val="96"/>
              </w:rPr>
              <w:t xml:space="preserve"> </w:t>
            </w:r>
            <w:r>
              <w:rPr>
                <w:rFonts w:ascii="Arial" w:cs="Arial" w:eastAsia="Arial" w:hAnsi="Arial"/>
                <w:sz w:val="18"/>
                <w:szCs w:val="18"/>
                <w:i w:val="1"/>
                <w:iCs w:val="1"/>
                <w:color w:val="auto"/>
                <w:w w:val="96"/>
              </w:rPr>
              <w:t>pro rata</w:t>
            </w: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portion of the aggregate of $</w:t>
            </w:r>
          </w:p>
        </w:tc>
        <w:tc>
          <w:tcPr>
            <w:tcW w:w="3800" w:type="dxa"/>
            <w:vAlign w:val="bottom"/>
            <w:gridSpan w:val="2"/>
          </w:tcPr>
          <w:p>
            <w:pPr>
              <w:jc w:val="right"/>
              <w:ind w:right="50"/>
              <w:spacing w:after="0"/>
              <w:rPr>
                <w:sz w:val="20"/>
                <w:szCs w:val="20"/>
                <w:color w:val="auto"/>
              </w:rPr>
            </w:pPr>
            <w:r>
              <w:rPr>
                <w:rFonts w:ascii="Arial" w:cs="Arial" w:eastAsia="Arial" w:hAnsi="Arial"/>
                <w:sz w:val="18"/>
                <w:szCs w:val="18"/>
                <w:color w:val="auto"/>
              </w:rPr>
              <w:t>in New Securities being made available in the</w:t>
            </w:r>
          </w:p>
        </w:tc>
      </w:tr>
      <w:tr>
        <w:trPr>
          <w:trHeight w:val="216"/>
        </w:trPr>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Arial" w:cs="Arial" w:eastAsia="Arial" w:hAnsi="Arial"/>
                <w:sz w:val="18"/>
                <w:szCs w:val="18"/>
                <w:color w:val="auto"/>
                <w:w w:val="96"/>
              </w:rPr>
              <w:t>financing AND, to the extent available, the greater of (x) an additional $</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please provide amount</w:t>
            </w:r>
            <w:r>
              <w:rPr>
                <w:rFonts w:ascii="Arial" w:cs="Arial" w:eastAsia="Arial" w:hAnsi="Arial"/>
                <w:sz w:val="18"/>
                <w:szCs w:val="18"/>
                <w:color w:val="auto"/>
                <w:w w:val="95"/>
              </w:rPr>
              <w:t xml:space="preserve">) or (y) my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w:t>
            </w:r>
          </w:p>
        </w:tc>
      </w:tr>
      <w:tr>
        <w:trPr>
          <w:trHeight w:val="216"/>
        </w:trPr>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0" w:type="dxa"/>
            <w:vAlign w:val="bottom"/>
            <w:gridSpan w:val="6"/>
          </w:tcPr>
          <w:p>
            <w:pPr>
              <w:ind w:left="120"/>
              <w:spacing w:after="0"/>
              <w:rPr>
                <w:sz w:val="20"/>
                <w:szCs w:val="20"/>
                <w:color w:val="auto"/>
              </w:rPr>
            </w:pPr>
            <w:r>
              <w:rPr>
                <w:rFonts w:ascii="Arial" w:cs="Arial" w:eastAsia="Arial" w:hAnsi="Arial"/>
                <w:sz w:val="18"/>
                <w:szCs w:val="18"/>
                <w:color w:val="auto"/>
                <w:w w:val="91"/>
              </w:rPr>
              <w:t>any remaining investment amount available in the event other Holders do not exercise their full rights of first refusal with respect to</w:t>
            </w:r>
          </w:p>
        </w:tc>
      </w:tr>
      <w:tr>
        <w:trPr>
          <w:trHeight w:val="230"/>
        </w:trPr>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the $[</w:t>
            </w: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 in New Securities being offered in the financing.</w:t>
            </w:r>
          </w:p>
        </w:tc>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7704"/>
        <w:spacing w:after="0"/>
        <w:rPr>
          <w:sz w:val="20"/>
          <w:szCs w:val="20"/>
          <w:color w:val="auto"/>
        </w:rPr>
      </w:pPr>
      <w:r>
        <w:rPr>
          <w:rFonts w:ascii="Arial" w:cs="Arial" w:eastAsia="Arial" w:hAnsi="Arial"/>
          <w:sz w:val="18"/>
          <w:szCs w:val="18"/>
          <w:i w:val="1"/>
          <w:iCs w:val="1"/>
          <w:color w:val="auto"/>
        </w:rPr>
        <w:t>(Print investor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288925</wp:posOffset>
            </wp:positionV>
            <wp:extent cx="32143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84"/>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288925</wp:posOffset>
            </wp:positionV>
            <wp:extent cx="32143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24"/>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288925</wp:posOffset>
            </wp:positionV>
            <wp:extent cx="32143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84"/>
        <w:spacing w:after="0"/>
        <w:rPr>
          <w:sz w:val="20"/>
          <w:szCs w:val="20"/>
          <w:color w:val="auto"/>
        </w:rPr>
      </w:pPr>
      <w:r>
        <w:rPr>
          <w:rFonts w:ascii="Arial" w:cs="Arial" w:eastAsia="Arial" w:hAnsi="Arial"/>
          <w:sz w:val="18"/>
          <w:szCs w:val="18"/>
          <w:i w:val="1"/>
          <w:iCs w:val="1"/>
          <w:color w:val="auto"/>
        </w:rPr>
        <w:t>(Print title of signatory, if signing for an entity)</w:t>
      </w:r>
    </w:p>
    <w:p>
      <w:pPr>
        <w:spacing w:after="0" w:line="333"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b w:val="1"/>
          <w:bCs w:val="1"/>
          <w:i w:val="1"/>
          <w:iCs w:val="1"/>
          <w:color w:val="auto"/>
        </w:rPr>
        <w:t>This is neither a commitment to purchase nor a commitment to issue the New Securities described above. Such issuance can only be made by way of definitive documentation related to such issuance. The company will supply you with such definitive documentation upon request or if you indicate that you would like to exercise your first offer rights in whole or in part.</w:t>
      </w:r>
    </w:p>
    <w:p>
      <w:pPr>
        <w:sectPr>
          <w:pgSz w:w="11900" w:h="16838" w:orient="portrait"/>
          <w:cols w:equalWidth="0" w:num="1">
            <w:col w:w="10964"/>
          </w:cols>
          <w:pgMar w:left="436" w:top="270" w:right="4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GLOBAL SHARE PLAN</w:t>
      </w:r>
    </w:p>
    <w:p>
      <w:pPr>
        <w:spacing w:after="0" w:line="229" w:lineRule="exact"/>
        <w:rPr>
          <w:sz w:val="20"/>
          <w:szCs w:val="20"/>
          <w:color w:val="auto"/>
        </w:rPr>
      </w:pPr>
    </w:p>
    <w:p>
      <w:pPr>
        <w:ind w:right="120" w:firstLine="436"/>
        <w:spacing w:after="0" w:line="263" w:lineRule="auto"/>
        <w:tabs>
          <w:tab w:leader="none" w:pos="75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for positions of substantial responsibility, to provide additional incentives to selected Employees, Directors, and Consultants and to promote the success of the Company’s business. The Plan permits the grant of Options and Restricted Shares as the Administrator may determine.</w:t>
      </w:r>
    </w:p>
    <w:p>
      <w:pPr>
        <w:spacing w:after="0" w:line="183" w:lineRule="exact"/>
        <w:rPr>
          <w:rFonts w:ascii="Arial" w:cs="Arial" w:eastAsia="Arial" w:hAnsi="Arial"/>
          <w:sz w:val="18"/>
          <w:szCs w:val="18"/>
          <w:color w:val="auto"/>
        </w:rPr>
      </w:pPr>
    </w:p>
    <w:p>
      <w:pPr>
        <w:ind w:left="760" w:hanging="324"/>
        <w:spacing w:after="0"/>
        <w:tabs>
          <w:tab w:leader="none" w:pos="7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Plan, the following terms shall have the following meanings:</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shall be administering the Plan in accordance with Section 4 hereof.</w:t>
      </w:r>
    </w:p>
    <w:p>
      <w:pPr>
        <w:spacing w:after="0" w:line="236" w:lineRule="exact"/>
        <w:rPr>
          <w:rFonts w:ascii="Arial" w:cs="Arial" w:eastAsia="Arial" w:hAnsi="Arial"/>
          <w:sz w:val="17"/>
          <w:szCs w:val="17"/>
          <w:color w:val="auto"/>
        </w:rPr>
      </w:pPr>
    </w:p>
    <w:p>
      <w:pPr>
        <w:ind w:right="60" w:firstLine="877"/>
        <w:spacing w:after="0" w:line="272" w:lineRule="auto"/>
        <w:tabs>
          <w:tab w:leader="none" w:pos="127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any applicable legal requirements relating to the administration of and the issuance of securities under equity securities-based compensation plans, including, without limitation, the requirements of U.S. state corporate laws, U.S. federal and state securities laws, U.S. federal law, the Code, the laws of the People’s Republic of China, and the requirements of any stock exchange or quotation system upon which the Shares may then be listed or quoted and the applicable laws, rules and regulations of any other country or jurisdiction where Awards are, or will be, granted under the Plan. For all purposes of this Plan, references to statutes shall be deemed to include any rules and regulations promulgated pursuant to authority set forth in such statutes and references to statutes and regulations shall be deemed to include any successor statutes or regulations, to the extent reasonably appropriate as determined by the Administrator.</w:t>
      </w:r>
    </w:p>
    <w:p>
      <w:pPr>
        <w:spacing w:after="0" w:line="177" w:lineRule="exact"/>
        <w:rPr>
          <w:rFonts w:ascii="Arial" w:cs="Arial" w:eastAsia="Arial" w:hAnsi="Arial"/>
          <w:sz w:val="17"/>
          <w:szCs w:val="17"/>
          <w:color w:val="auto"/>
        </w:rPr>
      </w:pPr>
    </w:p>
    <w:p>
      <w:pPr>
        <w:ind w:left="1260" w:hanging="383"/>
        <w:spacing w:after="0"/>
        <w:tabs>
          <w:tab w:leader="none" w:pos="12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or Restricted Shares.</w:t>
      </w:r>
    </w:p>
    <w:p>
      <w:pPr>
        <w:spacing w:after="0" w:line="225" w:lineRule="exact"/>
        <w:rPr>
          <w:rFonts w:ascii="Arial" w:cs="Arial" w:eastAsia="Arial" w:hAnsi="Arial"/>
          <w:sz w:val="18"/>
          <w:szCs w:val="18"/>
          <w:color w:val="auto"/>
        </w:rPr>
      </w:pPr>
    </w:p>
    <w:p>
      <w:pPr>
        <w:ind w:right="140" w:firstLine="877"/>
        <w:spacing w:after="0" w:line="311" w:lineRule="auto"/>
        <w:tabs>
          <w:tab w:leader="none" w:pos="127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 written or electronic agreement between the Company and a Participant, the form(s) of which shall be approved from time to time by the Administrator, evidencing the terms and conditions of an individual Award granted under the Plan, and includes any documents attached to or incorporated into the Award Agreement. The Award Agreement is subject to the terms and conditions of the Plan.</w:t>
      </w:r>
    </w:p>
    <w:p>
      <w:pPr>
        <w:spacing w:after="0" w:line="148" w:lineRule="exact"/>
        <w:rPr>
          <w:rFonts w:ascii="Arial" w:cs="Arial" w:eastAsia="Arial" w:hAnsi="Arial"/>
          <w:sz w:val="16"/>
          <w:szCs w:val="16"/>
          <w:color w:val="auto"/>
        </w:rPr>
      </w:pPr>
    </w:p>
    <w:p>
      <w:pPr>
        <w:ind w:left="1260" w:hanging="383"/>
        <w:spacing w:after="0"/>
        <w:tabs>
          <w:tab w:leader="none" w:pos="12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40" w:hanging="363"/>
        <w:spacing w:after="0"/>
        <w:tabs>
          <w:tab w:leader="none" w:pos="12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869"/>
        <w:spacing w:after="0" w:line="277" w:lineRule="auto"/>
        <w:tabs>
          <w:tab w:leader="none" w:pos="2222" w:val="left"/>
        </w:tabs>
        <w:numPr>
          <w:ilvl w:val="2"/>
          <w:numId w:val="207"/>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w:t>
      </w:r>
    </w:p>
    <w:p>
      <w:pPr>
        <w:sectPr>
          <w:pgSz w:w="11900" w:h="16838" w:orient="portrait"/>
          <w:cols w:equalWidth="0" w:num="1">
            <w:col w:w="11020"/>
          </w:cols>
          <w:pgMar w:left="440" w:top="121" w:right="439" w:bottom="1440" w:gutter="0" w:footer="0" w:header="0"/>
        </w:sectPr>
      </w:pPr>
    </w:p>
    <w:bookmarkStart w:id="274" w:name="page275"/>
    <w:bookmarkEnd w:id="274"/>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share capital of the Company that, together with the share capital held by such Person, constitutes more than 50% of the total voting power of the share capital of the Company, except that any change in the ownership of the share capital of the Company as a result of a private financing of the Company that is approved by the Board will not be considered a Change in Control; or</w:t>
      </w:r>
    </w:p>
    <w:p>
      <w:pPr>
        <w:spacing w:after="0" w:line="149" w:lineRule="exact"/>
        <w:rPr>
          <w:sz w:val="20"/>
          <w:szCs w:val="20"/>
          <w:color w:val="auto"/>
        </w:rPr>
      </w:pPr>
    </w:p>
    <w:p>
      <w:pPr>
        <w:ind w:firstLine="1869"/>
        <w:spacing w:after="0" w:line="296" w:lineRule="auto"/>
        <w:tabs>
          <w:tab w:leader="none" w:pos="2272"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a class of securities registered pursuant to Section 12 of the Exchange Act, a change in the effective control of the Company which occurs on the date that a majority of members of the Board are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61" w:lineRule="exact"/>
        <w:rPr>
          <w:rFonts w:ascii="Arial" w:cs="Arial" w:eastAsia="Arial" w:hAnsi="Arial"/>
          <w:sz w:val="16"/>
          <w:szCs w:val="16"/>
          <w:color w:val="auto"/>
        </w:rPr>
      </w:pPr>
    </w:p>
    <w:p>
      <w:pPr>
        <w:ind w:right="140" w:firstLine="1869"/>
        <w:spacing w:after="0" w:line="255" w:lineRule="auto"/>
        <w:tabs>
          <w:tab w:leader="none" w:pos="2322"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Change in Ownership of a Substantial Portion of the Company’s Assets</w:t>
      </w:r>
      <w:r>
        <w:rPr>
          <w:rFonts w:ascii="Arial" w:cs="Arial" w:eastAsia="Arial" w:hAnsi="Arial"/>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92" w:lineRule="exact"/>
        <w:rPr>
          <w:sz w:val="20"/>
          <w:szCs w:val="20"/>
          <w:color w:val="auto"/>
        </w:rPr>
      </w:pPr>
    </w:p>
    <w:p>
      <w:pPr>
        <w:ind w:right="40" w:firstLine="877"/>
        <w:spacing w:after="0" w:line="277" w:lineRule="auto"/>
        <w:tabs>
          <w:tab w:leader="none" w:pos="12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260" w:firstLine="877"/>
        <w:spacing w:after="0" w:line="277" w:lineRule="auto"/>
        <w:tabs>
          <w:tab w:leader="none" w:pos="12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75" w:name="page276"/>
    <w:bookmarkEnd w:id="275"/>
    <w:p>
      <w:pPr>
        <w:ind w:left="1224" w:hanging="343"/>
        <w:spacing w:after="0"/>
        <w:tabs>
          <w:tab w:leader="none" w:pos="1224" w:val="left"/>
        </w:tabs>
        <w:numPr>
          <w:ilvl w:val="1"/>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Zoom Video Communications, Inc., a Delaware corporation, or any successor corporation thereto.</w:t>
      </w:r>
    </w:p>
    <w:p>
      <w:pPr>
        <w:spacing w:after="0" w:line="225" w:lineRule="exact"/>
        <w:rPr>
          <w:rFonts w:ascii="Arial" w:cs="Arial" w:eastAsia="Arial" w:hAnsi="Arial"/>
          <w:sz w:val="18"/>
          <w:szCs w:val="18"/>
          <w:color w:val="auto"/>
        </w:rPr>
      </w:pPr>
    </w:p>
    <w:p>
      <w:pPr>
        <w:ind w:left="1224" w:hanging="343"/>
        <w:spacing w:after="0"/>
        <w:tabs>
          <w:tab w:leader="none" w:pos="122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who is engaged by the Company or any Parent or Subsidiary to render consulting or advisory services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to such entity.</w:t>
      </w:r>
    </w:p>
    <w:p>
      <w:pPr>
        <w:spacing w:after="0" w:line="210" w:lineRule="exact"/>
        <w:rPr>
          <w:rFonts w:ascii="Arial" w:cs="Arial" w:eastAsia="Arial" w:hAnsi="Arial"/>
          <w:sz w:val="16"/>
          <w:szCs w:val="16"/>
          <w:color w:val="auto"/>
        </w:rPr>
      </w:pPr>
    </w:p>
    <w:p>
      <w:pPr>
        <w:ind w:left="1264" w:hanging="383"/>
        <w:spacing w:after="0"/>
        <w:tabs>
          <w:tab w:leader="none" w:pos="126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an Award is granted to a Participant in accordance with Section 14 hereof.</w:t>
      </w:r>
    </w:p>
    <w:p>
      <w:pPr>
        <w:spacing w:after="0" w:line="225" w:lineRule="exact"/>
        <w:rPr>
          <w:rFonts w:ascii="Arial" w:cs="Arial" w:eastAsia="Arial" w:hAnsi="Arial"/>
          <w:sz w:val="18"/>
          <w:szCs w:val="18"/>
          <w:color w:val="auto"/>
        </w:rPr>
      </w:pPr>
    </w:p>
    <w:p>
      <w:pPr>
        <w:ind w:left="1224" w:hanging="343"/>
        <w:spacing w:after="0"/>
        <w:tabs>
          <w:tab w:leader="none" w:pos="122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4" w:firstLine="877"/>
        <w:spacing w:after="0" w:line="263" w:lineRule="auto"/>
        <w:tabs>
          <w:tab w:leader="none" w:pos="132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3" w:lineRule="exact"/>
        <w:rPr>
          <w:rFonts w:ascii="Arial" w:cs="Arial" w:eastAsia="Arial" w:hAnsi="Arial"/>
          <w:sz w:val="18"/>
          <w:szCs w:val="18"/>
          <w:color w:val="auto"/>
        </w:rPr>
      </w:pPr>
    </w:p>
    <w:p>
      <w:pPr>
        <w:ind w:left="4" w:right="180" w:firstLine="877"/>
        <w:spacing w:after="0" w:line="263" w:lineRule="auto"/>
        <w:tabs>
          <w:tab w:leader="none" w:pos="127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Neither service as a Director nor payment of a director’s fee by the Company or any Parent or Subsidiary shall be sufficient to constitute “employment” by the Company or any Parent or Subsidiary.</w:t>
      </w:r>
    </w:p>
    <w:p>
      <w:pPr>
        <w:spacing w:after="0" w:line="183" w:lineRule="exact"/>
        <w:rPr>
          <w:rFonts w:ascii="Arial" w:cs="Arial" w:eastAsia="Arial" w:hAnsi="Arial"/>
          <w:sz w:val="18"/>
          <w:szCs w:val="18"/>
          <w:color w:val="auto"/>
        </w:rPr>
      </w:pPr>
    </w:p>
    <w:p>
      <w:pPr>
        <w:ind w:left="4" w:right="920" w:firstLine="877"/>
        <w:spacing w:after="0" w:line="277" w:lineRule="auto"/>
        <w:tabs>
          <w:tab w:leader="none" w:pos="127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amount for which one Share may be purchased upon exercise of an Option, as specified by the Administrator in the applicable Award Agreement in accordance with Section 6(d) hereof.</w:t>
      </w:r>
    </w:p>
    <w:p>
      <w:pPr>
        <w:spacing w:after="0" w:line="170" w:lineRule="exact"/>
        <w:rPr>
          <w:rFonts w:ascii="Arial" w:cs="Arial" w:eastAsia="Arial" w:hAnsi="Arial"/>
          <w:sz w:val="18"/>
          <w:szCs w:val="18"/>
          <w:color w:val="auto"/>
        </w:rPr>
      </w:pPr>
    </w:p>
    <w:p>
      <w:pPr>
        <w:ind w:left="1264" w:hanging="383"/>
        <w:spacing w:after="0"/>
        <w:tabs>
          <w:tab w:leader="none" w:pos="126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rFonts w:ascii="Arial" w:cs="Arial" w:eastAsia="Arial" w:hAnsi="Arial"/>
          <w:sz w:val="16"/>
          <w:szCs w:val="16"/>
          <w:color w:val="auto"/>
        </w:rPr>
      </w:pPr>
    </w:p>
    <w:p>
      <w:pPr>
        <w:ind w:left="4" w:firstLine="877"/>
        <w:spacing w:after="0" w:line="291" w:lineRule="auto"/>
        <w:tabs>
          <w:tab w:leader="none" w:pos="127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or Purchase Prices and different terms), awards of a different type, and/or cash,</w:t>
      </w:r>
    </w:p>
    <w:p>
      <w:pPr>
        <w:ind w:left="4" w:right="560" w:hanging="4"/>
        <w:spacing w:after="0" w:line="255" w:lineRule="auto"/>
        <w:tabs>
          <w:tab w:leader="none" w:pos="26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Participants would have the opportunity to transfer any outstanding Awards to a financial institution or other person or entity selected by the Administrator, and/or (iii) the Exercise Price or Purchase Price of an outstanding Award is reduced or increased. The terms and conditions of any Exchange Program will be determined by the Administrator in its sole discretion.</w:t>
      </w:r>
    </w:p>
    <w:p>
      <w:pPr>
        <w:spacing w:after="0" w:line="189" w:lineRule="exact"/>
        <w:rPr>
          <w:rFonts w:ascii="Arial" w:cs="Arial" w:eastAsia="Arial" w:hAnsi="Arial"/>
          <w:sz w:val="18"/>
          <w:szCs w:val="18"/>
          <w:color w:val="auto"/>
        </w:rPr>
      </w:pPr>
    </w:p>
    <w:p>
      <w:pPr>
        <w:ind w:left="1244" w:hanging="363"/>
        <w:spacing w:after="0"/>
        <w:tabs>
          <w:tab w:leader="none" w:pos="124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the Shares determined as follows:</w:t>
      </w:r>
    </w:p>
    <w:p>
      <w:pPr>
        <w:spacing w:after="0" w:line="225" w:lineRule="exact"/>
        <w:rPr>
          <w:rFonts w:ascii="Arial" w:cs="Arial" w:eastAsia="Arial" w:hAnsi="Arial"/>
          <w:sz w:val="18"/>
          <w:szCs w:val="18"/>
          <w:color w:val="auto"/>
        </w:rPr>
      </w:pPr>
    </w:p>
    <w:p>
      <w:pPr>
        <w:ind w:left="4" w:right="20" w:firstLine="1428"/>
        <w:spacing w:after="0" w:line="257" w:lineRule="auto"/>
        <w:tabs>
          <w:tab w:leader="none" w:pos="1786" w:val="left"/>
        </w:tabs>
        <w:numPr>
          <w:ilvl w:val="2"/>
          <w:numId w:val="211"/>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New York Stock Exchange, the Nasdaq Global Select Market, the Nasdaq Global Market or the Nasdaq Capital Market of The Nasdaq Stock Market, the Fair Market Value shall be the closing sales price for the Shares (or if no closing sales price was reported on that date, as applicable, on the last trading date such closing sales price was reported) as quoted on such exchange or system on the day of determination, as reported in The Wall Street Journal or such other source as the Administrator deems reliable;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76" w:name="page277"/>
    <w:bookmarkEnd w:id="276"/>
    <w:p>
      <w:pPr>
        <w:ind w:right="140" w:firstLine="1428"/>
        <w:spacing w:after="0" w:line="259" w:lineRule="auto"/>
        <w:tabs>
          <w:tab w:leader="none" w:pos="1832" w:val="left"/>
        </w:tabs>
        <w:numPr>
          <w:ilvl w:val="1"/>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Shares are regularly quoted by a recognized securities dealer but selling prices are not reported, the Fair Market Value shall be the mean of the high bid and low asked prices for the Shares on the day of determination (or, if no bids and asks were reported on that date, as applicable, on the last trading date such bids and asks were reported), as reported in The Wall Street Journal or any other source as the Administrator deems reliable; or</w:t>
      </w:r>
    </w:p>
    <w:p>
      <w:pPr>
        <w:spacing w:after="0" w:line="186" w:lineRule="exact"/>
        <w:rPr>
          <w:rFonts w:ascii="Arial" w:cs="Arial" w:eastAsia="Arial" w:hAnsi="Arial"/>
          <w:sz w:val="18"/>
          <w:szCs w:val="18"/>
          <w:color w:val="auto"/>
        </w:rPr>
      </w:pPr>
    </w:p>
    <w:p>
      <w:pPr>
        <w:ind w:right="100" w:firstLine="1428"/>
        <w:spacing w:after="0" w:line="277" w:lineRule="auto"/>
        <w:tabs>
          <w:tab w:leader="none" w:pos="188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Fair Market Value thereof shall be determined in good faith by the Administrator in accordance with Applicable Law.</w:t>
      </w:r>
    </w:p>
    <w:p>
      <w:pPr>
        <w:spacing w:after="0" w:line="170" w:lineRule="exact"/>
        <w:rPr>
          <w:rFonts w:ascii="Arial" w:cs="Arial" w:eastAsia="Arial" w:hAnsi="Arial"/>
          <w:sz w:val="18"/>
          <w:szCs w:val="18"/>
          <w:color w:val="auto"/>
        </w:rPr>
      </w:pPr>
    </w:p>
    <w:p>
      <w:pPr>
        <w:ind w:right="100" w:firstLine="877"/>
        <w:spacing w:after="0" w:line="277" w:lineRule="auto"/>
        <w:tabs>
          <w:tab w:leader="none" w:pos="125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1220" w:hanging="343"/>
        <w:spacing w:after="0"/>
        <w:tabs>
          <w:tab w:leader="none" w:pos="12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color w:val="auto"/>
        </w:rPr>
      </w:pPr>
    </w:p>
    <w:p>
      <w:pPr>
        <w:jc w:val="both"/>
        <w:ind w:right="80" w:firstLine="877"/>
        <w:spacing w:after="0" w:line="263" w:lineRule="auto"/>
        <w:tabs>
          <w:tab w:leader="none" w:pos="127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that is granted pursuant to the Plan in accordance with Section 6 hereof. An Option that is not designated as a Reg. S Option is, unless the Administrator provides otherwise, intended to comply with and qualify under Rule 701 promulgated under the Securities Act.</w:t>
      </w:r>
    </w:p>
    <w:p>
      <w:pPr>
        <w:spacing w:after="0" w:line="183" w:lineRule="exact"/>
        <w:rPr>
          <w:rFonts w:ascii="Arial" w:cs="Arial" w:eastAsia="Arial" w:hAnsi="Arial"/>
          <w:sz w:val="18"/>
          <w:szCs w:val="18"/>
          <w:color w:val="auto"/>
        </w:rPr>
      </w:pPr>
    </w:p>
    <w:p>
      <w:pPr>
        <w:ind w:left="1260" w:hanging="383"/>
        <w:spacing w:after="0"/>
        <w:tabs>
          <w:tab w:leader="none" w:pos="12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with respect to the Company, whether now or hereafter existing, as defined in Section 424(e)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ind w:right="60" w:firstLine="877"/>
        <w:spacing w:after="0" w:line="277" w:lineRule="auto"/>
        <w:tabs>
          <w:tab w:leader="none" w:pos="13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 or the holder of Shares issuable or issued pursuant to the exercise of an Award.</w:t>
      </w:r>
    </w:p>
    <w:p>
      <w:pPr>
        <w:spacing w:after="0" w:line="170" w:lineRule="exact"/>
        <w:rPr>
          <w:rFonts w:ascii="Arial" w:cs="Arial" w:eastAsia="Arial" w:hAnsi="Arial"/>
          <w:sz w:val="18"/>
          <w:szCs w:val="18"/>
          <w:color w:val="auto"/>
        </w:rPr>
      </w:pPr>
    </w:p>
    <w:p>
      <w:pPr>
        <w:ind w:firstLine="877"/>
        <w:spacing w:after="0" w:line="263" w:lineRule="auto"/>
        <w:tabs>
          <w:tab w:leader="none" w:pos="127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Restricted Shares are subject to restrictions and therefore, the Restricted Shares are subject to a substantial risk of forfeiture. Such restrictions may be based on the passage of time, the achievement of target levels of performance, or the occurrence of other events as determined by the Administrator.</w:t>
      </w:r>
    </w:p>
    <w:p>
      <w:pPr>
        <w:spacing w:after="0" w:line="183" w:lineRule="exact"/>
        <w:rPr>
          <w:rFonts w:ascii="Arial" w:cs="Arial" w:eastAsia="Arial" w:hAnsi="Arial"/>
          <w:sz w:val="18"/>
          <w:szCs w:val="18"/>
          <w:color w:val="auto"/>
        </w:rPr>
      </w:pPr>
    </w:p>
    <w:p>
      <w:pPr>
        <w:ind w:left="1260" w:hanging="383"/>
        <w:spacing w:after="0"/>
        <w:tabs>
          <w:tab w:leader="none" w:pos="1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Second Amended and Restated 2011 Global Share Plan, as amended from time to time.</w:t>
      </w:r>
    </w:p>
    <w:p>
      <w:pPr>
        <w:spacing w:after="0" w:line="225" w:lineRule="exact"/>
        <w:rPr>
          <w:rFonts w:ascii="Arial" w:cs="Arial" w:eastAsia="Arial" w:hAnsi="Arial"/>
          <w:sz w:val="18"/>
          <w:szCs w:val="18"/>
          <w:color w:val="auto"/>
        </w:rPr>
      </w:pPr>
    </w:p>
    <w:p>
      <w:pPr>
        <w:ind w:right="100" w:firstLine="877"/>
        <w:spacing w:after="0" w:line="277" w:lineRule="auto"/>
        <w:tabs>
          <w:tab w:leader="none" w:pos="126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amount of consideration, if any, for which one Share may be acquired pursuant to an Award of Restricted Shares, as specified by the Administrator in the applicable Award Agreement in accordance with Section 7(d) hereof.</w:t>
      </w:r>
    </w:p>
    <w:p>
      <w:pPr>
        <w:spacing w:after="0" w:line="170" w:lineRule="exact"/>
        <w:rPr>
          <w:sz w:val="20"/>
          <w:szCs w:val="20"/>
          <w:color w:val="auto"/>
        </w:rPr>
      </w:pPr>
    </w:p>
    <w:p>
      <w:pPr>
        <w:ind w:right="60" w:firstLine="877"/>
        <w:spacing w:after="0" w:line="277" w:lineRule="auto"/>
        <w:tabs>
          <w:tab w:leader="none" w:pos="134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S Option</w:t>
      </w:r>
      <w:r>
        <w:rPr>
          <w:rFonts w:ascii="Arial" w:cs="Arial" w:eastAsia="Arial" w:hAnsi="Arial"/>
          <w:sz w:val="18"/>
          <w:szCs w:val="18"/>
          <w:color w:val="auto"/>
        </w:rPr>
        <w:t>” means an Option that (i) is granted to a Service Provider who is not a U.S. Person, and (ii) is not intended to qualify under Rule 701 promulgated under the Securities Act.</w:t>
      </w:r>
    </w:p>
    <w:p>
      <w:pPr>
        <w:spacing w:after="0" w:line="170" w:lineRule="exact"/>
        <w:rPr>
          <w:rFonts w:ascii="Arial" w:cs="Arial" w:eastAsia="Arial" w:hAnsi="Arial"/>
          <w:sz w:val="18"/>
          <w:szCs w:val="18"/>
          <w:color w:val="auto"/>
        </w:rPr>
      </w:pPr>
    </w:p>
    <w:p>
      <w:pPr>
        <w:ind w:right="240" w:firstLine="877"/>
        <w:spacing w:after="0" w:line="277" w:lineRule="auto"/>
        <w:tabs>
          <w:tab w:leader="none" w:pos="136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S Restricted Shares</w:t>
      </w:r>
      <w:r>
        <w:rPr>
          <w:rFonts w:ascii="Arial" w:cs="Arial" w:eastAsia="Arial" w:hAnsi="Arial"/>
          <w:sz w:val="18"/>
          <w:szCs w:val="18"/>
          <w:color w:val="auto"/>
        </w:rPr>
        <w:t>” means an Award of Restricted Shares that (i) is granted to a Service Provider who is not a U.S. Person, and (ii) is not intended to qualify under Rule 701 promulgated under the Securities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77" w:name="page278"/>
    <w:bookmarkEnd w:id="277"/>
    <w:p>
      <w:pPr>
        <w:ind w:left="-120" w:right="60" w:firstLine="877"/>
        <w:spacing w:after="0" w:line="263" w:lineRule="auto"/>
        <w:tabs>
          <w:tab w:leader="none" w:pos="1221"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issued pursuant to an Award of Restricted Shares under Section 7 hereof or issued pursuant to the early exercise of an Option. Restricted Shares that are not designated as Reg. S Restricted Shares are, unless the Administrator provides otherwise, intended to comply with and qualify under Rule 701 promulgated under the Securities Act.</w:t>
      </w:r>
    </w:p>
    <w:p>
      <w:pPr>
        <w:spacing w:after="0" w:line="183" w:lineRule="exact"/>
        <w:rPr>
          <w:rFonts w:ascii="Arial" w:cs="Arial" w:eastAsia="Arial" w:hAnsi="Arial"/>
          <w:sz w:val="18"/>
          <w:szCs w:val="18"/>
          <w:color w:val="auto"/>
        </w:rPr>
      </w:pPr>
    </w:p>
    <w:p>
      <w:pPr>
        <w:ind w:left="1240" w:hanging="48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color w:val="auto"/>
        </w:rPr>
      </w:pPr>
    </w:p>
    <w:p>
      <w:pPr>
        <w:ind w:left="1220" w:hanging="463"/>
        <w:spacing w:after="0"/>
        <w:tabs>
          <w:tab w:leader="none" w:pos="12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1180" w:hanging="423"/>
        <w:spacing w:after="0"/>
        <w:tabs>
          <w:tab w:leader="none" w:pos="1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of the Company, as adjusted in accordance with Section 12 hereof.</w:t>
      </w:r>
    </w:p>
    <w:p>
      <w:pPr>
        <w:spacing w:after="0" w:line="225" w:lineRule="exact"/>
        <w:rPr>
          <w:rFonts w:ascii="Arial" w:cs="Arial" w:eastAsia="Arial" w:hAnsi="Arial"/>
          <w:sz w:val="18"/>
          <w:szCs w:val="18"/>
          <w:color w:val="auto"/>
        </w:rPr>
      </w:pPr>
    </w:p>
    <w:p>
      <w:pPr>
        <w:ind w:left="1240" w:hanging="483"/>
        <w:spacing w:after="0"/>
        <w:tabs>
          <w:tab w:leader="none" w:pos="12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means any agreement between a Participant and the Company or Stockholders of the Company or both.</w:t>
      </w:r>
    </w:p>
    <w:p>
      <w:pPr>
        <w:spacing w:after="0" w:line="248" w:lineRule="exact"/>
        <w:rPr>
          <w:rFonts w:ascii="Arial" w:cs="Arial" w:eastAsia="Arial" w:hAnsi="Arial"/>
          <w:sz w:val="16"/>
          <w:szCs w:val="16"/>
          <w:color w:val="auto"/>
        </w:rPr>
      </w:pPr>
    </w:p>
    <w:p>
      <w:pPr>
        <w:ind w:left="1240" w:hanging="48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an owner of Shares.</w:t>
      </w:r>
    </w:p>
    <w:p>
      <w:pPr>
        <w:spacing w:after="0" w:line="225" w:lineRule="exact"/>
        <w:rPr>
          <w:rFonts w:ascii="Arial" w:cs="Arial" w:eastAsia="Arial" w:hAnsi="Arial"/>
          <w:sz w:val="18"/>
          <w:szCs w:val="18"/>
          <w:color w:val="auto"/>
        </w:rPr>
      </w:pPr>
    </w:p>
    <w:p>
      <w:pPr>
        <w:ind w:left="-120" w:right="620" w:firstLine="877"/>
        <w:spacing w:after="0" w:line="277" w:lineRule="auto"/>
        <w:tabs>
          <w:tab w:leader="none" w:pos="116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with respect to the Company, whether now or hereafter existing, as defined in Section 424(f) of the Code.</w:t>
      </w:r>
    </w:p>
    <w:p>
      <w:pPr>
        <w:spacing w:after="0" w:line="170" w:lineRule="exact"/>
        <w:rPr>
          <w:rFonts w:ascii="Arial" w:cs="Arial" w:eastAsia="Arial" w:hAnsi="Arial"/>
          <w:sz w:val="18"/>
          <w:szCs w:val="18"/>
          <w:color w:val="auto"/>
        </w:rPr>
      </w:pPr>
    </w:p>
    <w:p>
      <w:pPr>
        <w:ind w:left="-120" w:firstLine="877"/>
        <w:spacing w:after="0" w:line="263" w:lineRule="auto"/>
        <w:tabs>
          <w:tab w:leader="none" w:pos="116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Owner</w:t>
      </w:r>
      <w:r>
        <w:rPr>
          <w:rFonts w:ascii="Arial" w:cs="Arial" w:eastAsia="Arial" w:hAnsi="Arial"/>
          <w:sz w:val="18"/>
          <w:szCs w:val="18"/>
          <w:color w:val="auto"/>
        </w:rPr>
        <w:t>” means a Service Provider who owns more than 10% of the total combined voting power of all classes of outstanding securities of the Company or any Parent or Subsidiary. In determining ownership of securities, the attribution rules of Section 424(d) of the Code shall apply.</w:t>
      </w:r>
    </w:p>
    <w:p>
      <w:pPr>
        <w:spacing w:after="0" w:line="183" w:lineRule="exact"/>
        <w:rPr>
          <w:rFonts w:ascii="Arial" w:cs="Arial" w:eastAsia="Arial" w:hAnsi="Arial"/>
          <w:sz w:val="18"/>
          <w:szCs w:val="18"/>
          <w:color w:val="auto"/>
        </w:rPr>
      </w:pPr>
    </w:p>
    <w:p>
      <w:pPr>
        <w:ind w:left="-120" w:right="20" w:firstLine="877"/>
        <w:spacing w:after="0" w:line="277" w:lineRule="auto"/>
        <w:tabs>
          <w:tab w:leader="none" w:pos="124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w:t>
      </w:r>
    </w:p>
    <w:p>
      <w:pPr>
        <w:spacing w:after="0" w:line="170" w:lineRule="exact"/>
        <w:rPr>
          <w:rFonts w:ascii="Arial" w:cs="Arial" w:eastAsia="Arial" w:hAnsi="Arial"/>
          <w:sz w:val="18"/>
          <w:szCs w:val="18"/>
          <w:color w:val="auto"/>
        </w:rPr>
      </w:pPr>
    </w:p>
    <w:p>
      <w:pPr>
        <w:ind w:left="1160" w:hanging="403"/>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has the meaning accorded to it in Rule 902(k) of the Securities Act, and currently includes:</w:t>
      </w:r>
    </w:p>
    <w:p>
      <w:pPr>
        <w:spacing w:after="0" w:line="225" w:lineRule="exact"/>
        <w:rPr>
          <w:rFonts w:ascii="Arial" w:cs="Arial" w:eastAsia="Arial" w:hAnsi="Arial"/>
          <w:sz w:val="18"/>
          <w:szCs w:val="18"/>
          <w:color w:val="auto"/>
        </w:rPr>
      </w:pPr>
    </w:p>
    <w:p>
      <w:pPr>
        <w:ind w:left="1660" w:hanging="352"/>
        <w:spacing w:after="0"/>
        <w:tabs>
          <w:tab w:leader="none" w:pos="1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1700" w:hanging="392"/>
        <w:spacing w:after="0"/>
        <w:tabs>
          <w:tab w:leader="none" w:pos="17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1760" w:hanging="452"/>
        <w:spacing w:after="0"/>
        <w:tabs>
          <w:tab w:leader="none" w:pos="17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1740" w:hanging="432"/>
        <w:spacing w:after="0"/>
        <w:tabs>
          <w:tab w:leader="none" w:pos="17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1700" w:hanging="392"/>
        <w:spacing w:after="0"/>
        <w:tabs>
          <w:tab w:leader="none" w:pos="17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left="-120" w:right="380" w:firstLine="1428"/>
        <w:spacing w:after="0" w:line="277" w:lineRule="auto"/>
        <w:tabs>
          <w:tab w:leader="none" w:pos="175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left="-120" w:right="380" w:firstLine="1428"/>
        <w:spacing w:after="0" w:line="277" w:lineRule="auto"/>
        <w:tabs>
          <w:tab w:leader="none" w:pos="180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560" w:top="274" w:right="559" w:bottom="1440" w:gutter="0" w:footer="0" w:header="0"/>
        </w:sectPr>
      </w:pPr>
    </w:p>
    <w:bookmarkStart w:id="278" w:name="page279"/>
    <w:bookmarkEnd w:id="278"/>
    <w:p>
      <w:pPr>
        <w:ind w:left="1940" w:hanging="532"/>
        <w:spacing w:after="0"/>
        <w:tabs>
          <w:tab w:leader="none" w:pos="19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partnership or corporation if:</w:t>
      </w:r>
    </w:p>
    <w:p>
      <w:pPr>
        <w:spacing w:after="0" w:line="225" w:lineRule="exact"/>
        <w:rPr>
          <w:rFonts w:ascii="Arial" w:cs="Arial" w:eastAsia="Arial" w:hAnsi="Arial"/>
          <w:sz w:val="18"/>
          <w:szCs w:val="18"/>
          <w:color w:val="auto"/>
        </w:rPr>
      </w:pPr>
    </w:p>
    <w:p>
      <w:pPr>
        <w:ind w:left="2280" w:hanging="431"/>
        <w:spacing w:after="0"/>
        <w:tabs>
          <w:tab w:leader="none" w:pos="2280" w:val="left"/>
        </w:tabs>
        <w:numPr>
          <w:ilvl w:val="3"/>
          <w:numId w:val="216"/>
        </w:numPr>
        <w:rPr>
          <w:rFonts w:ascii="Arial" w:cs="Arial" w:eastAsia="Arial" w:hAnsi="Arial"/>
          <w:sz w:val="18"/>
          <w:szCs w:val="18"/>
          <w:color w:val="auto"/>
        </w:rPr>
      </w:pPr>
      <w:r>
        <w:rPr>
          <w:rFonts w:ascii="Arial" w:cs="Arial" w:eastAsia="Arial" w:hAnsi="Arial"/>
          <w:sz w:val="18"/>
          <w:szCs w:val="18"/>
          <w:color w:val="auto"/>
        </w:rPr>
        <w:t>organized or incorporated under the laws of any foreign jurisdiction; and</w:t>
      </w:r>
    </w:p>
    <w:p>
      <w:pPr>
        <w:spacing w:after="0" w:line="225" w:lineRule="exact"/>
        <w:rPr>
          <w:rFonts w:ascii="Arial" w:cs="Arial" w:eastAsia="Arial" w:hAnsi="Arial"/>
          <w:sz w:val="18"/>
          <w:szCs w:val="18"/>
          <w:color w:val="auto"/>
        </w:rPr>
      </w:pPr>
    </w:p>
    <w:p>
      <w:pPr>
        <w:ind w:left="-20" w:right="100" w:firstLine="1869"/>
        <w:spacing w:after="0" w:line="263" w:lineRule="auto"/>
        <w:tabs>
          <w:tab w:leader="none" w:pos="2272" w:val="left"/>
        </w:tabs>
        <w:numPr>
          <w:ilvl w:val="3"/>
          <w:numId w:val="216"/>
        </w:numPr>
        <w:rPr>
          <w:rFonts w:ascii="Arial" w:cs="Arial" w:eastAsia="Arial" w:hAnsi="Arial"/>
          <w:sz w:val="18"/>
          <w:szCs w:val="18"/>
          <w:color w:val="auto"/>
        </w:rPr>
      </w:pPr>
      <w:r>
        <w:rPr>
          <w:rFonts w:ascii="Arial" w:cs="Arial" w:eastAsia="Arial" w:hAnsi="Arial"/>
          <w:sz w:val="18"/>
          <w:szCs w:val="18"/>
          <w:color w:val="auto"/>
        </w:rPr>
        <w:t>formed by a U.S. Person principally for the purpose of investing in securities not registered under the Securities Act, unless it is organized or incorporated, and owned, by accredited investors (as defined in Rule 501(a) promulgated under the Securities Act) who are not natural persons, estates or trusts.</w:t>
      </w:r>
    </w:p>
    <w:p>
      <w:pPr>
        <w:spacing w:after="0" w:line="291" w:lineRule="exact"/>
        <w:rPr>
          <w:rFonts w:ascii="Arial" w:cs="Arial" w:eastAsia="Arial" w:hAnsi="Arial"/>
          <w:sz w:val="18"/>
          <w:szCs w:val="18"/>
          <w:color w:val="auto"/>
        </w:rPr>
      </w:pPr>
    </w:p>
    <w:p>
      <w:pPr>
        <w:ind w:left="740" w:hanging="324"/>
        <w:spacing w:after="0"/>
        <w:tabs>
          <w:tab w:leader="none" w:pos="7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rFonts w:ascii="Arial" w:cs="Arial" w:eastAsia="Arial" w:hAnsi="Arial"/>
          <w:sz w:val="18"/>
          <w:szCs w:val="18"/>
          <w:color w:val="auto"/>
        </w:rPr>
      </w:pPr>
    </w:p>
    <w:p>
      <w:pPr>
        <w:ind w:left="-20" w:right="120" w:firstLine="877"/>
        <w:spacing w:after="0" w:line="257" w:lineRule="auto"/>
        <w:tabs>
          <w:tab w:leader="none" w:pos="1241"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Basic Limitation</w:t>
      </w:r>
      <w:r>
        <w:rPr>
          <w:rFonts w:ascii="Arial" w:cs="Arial" w:eastAsia="Arial" w:hAnsi="Arial"/>
          <w:sz w:val="18"/>
          <w:szCs w:val="18"/>
          <w:color w:val="auto"/>
        </w:rPr>
        <w:t>. Subject to the provisions of Section 12 hereof, the maximum aggregate number of Shares that may be subject to Awards and sold under the Plan shall not exceed 71,240,000 Shares. The Shares may be authorized but unissued, or reacquired Shares. The number of Shares that are subject to Awards outstanding under the Plan at any time shall not exceed the aggregate number of Shares that then remain available for issuance under the Plan. The Company, during the term of the Plan, shall at all times reserve and keep available sufficient Shares to satisfy the requirements of outstanding Awards granted under the Plan.</w:t>
      </w:r>
    </w:p>
    <w:p>
      <w:pPr>
        <w:spacing w:after="0" w:line="187" w:lineRule="exact"/>
        <w:rPr>
          <w:rFonts w:ascii="Arial" w:cs="Arial" w:eastAsia="Arial" w:hAnsi="Arial"/>
          <w:sz w:val="18"/>
          <w:szCs w:val="18"/>
          <w:color w:val="auto"/>
        </w:rPr>
      </w:pPr>
    </w:p>
    <w:p>
      <w:pPr>
        <w:ind w:left="-20" w:firstLine="877"/>
        <w:spacing w:after="0" w:line="269" w:lineRule="auto"/>
        <w:tabs>
          <w:tab w:leader="none" w:pos="1251"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If an Award expires, becomes unexercisable, or is cancelled, forfeited to or repurchased by the Company due to the failure to vest, or otherwise terminated without having been exercised or settled in full, as the case may be, or is surrendered pursuant to an Exchange Program, the Shares allocable to the unexercised (or forfeited or repurchased) portion of the Award shall again become available for future grant or sale under the Plan (unless the Plan has terminated). Shares that actually have been issued under the Plan, upon exercise of an Option or delivery under a Restricted Share, shall not be returned to the Plan and shall not become available for future distribution under the Plan, except that in the event that Shares issued under the Plan are reacquired by the Company pursuant to any forfeiture provision, right of repurchase or redemption, or are used to satisfy the Exercise Price or Purchase Price for the Award or any tax withholding obligations related to an Award, such Shares shall again become available for future grant or sale under the Plan. Notwithstanding the foregoing and, subject to adjustment provided in Section 12, the maximum number of Shares that may be issued upon the exercise of Incentive Stock Options will equal the aggregate Share number stated in Section 3(a) hereof, plus, to the extent allowable under Section 422 of the Code and the Treasury Regulations promulgated thereunder, any Shares that become available for issuance under the Plan under this Section 3(b).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279" w:name="page280"/>
    <w:bookmarkEnd w:id="279"/>
    <w:p>
      <w:pPr>
        <w:ind w:left="760" w:hanging="324"/>
        <w:spacing w:after="0"/>
        <w:tabs>
          <w:tab w:leader="none" w:pos="7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hanging="383"/>
        <w:spacing w:after="0"/>
        <w:tabs>
          <w:tab w:leader="none" w:pos="126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2"/>
          <w:numId w:val="218"/>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40" w:firstLine="1428"/>
        <w:spacing w:after="0" w:line="277" w:lineRule="auto"/>
        <w:tabs>
          <w:tab w:leader="none" w:pos="1832"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shall be administered by the Board or a Committee appointed by the Board, which Committee shall be constituted to comply with Applicable Law.</w:t>
      </w:r>
    </w:p>
    <w:p>
      <w:pPr>
        <w:spacing w:after="0" w:line="170" w:lineRule="exact"/>
        <w:rPr>
          <w:rFonts w:ascii="Arial" w:cs="Arial" w:eastAsia="Arial" w:hAnsi="Arial"/>
          <w:sz w:val="18"/>
          <w:szCs w:val="18"/>
          <w:color w:val="auto"/>
        </w:rPr>
      </w:pPr>
    </w:p>
    <w:p>
      <w:pPr>
        <w:jc w:val="both"/>
        <w:ind w:right="460" w:firstLine="877"/>
        <w:spacing w:after="0" w:line="263" w:lineRule="auto"/>
        <w:tabs>
          <w:tab w:leader="none" w:pos="127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and subject to the approval of any relevant authorities, the Administrator shall have the authority in its discretion:</w:t>
      </w:r>
    </w:p>
    <w:p>
      <w:pPr>
        <w:spacing w:after="0" w:line="183" w:lineRule="exact"/>
        <w:rPr>
          <w:rFonts w:ascii="Arial" w:cs="Arial" w:eastAsia="Arial" w:hAnsi="Arial"/>
          <w:sz w:val="18"/>
          <w:szCs w:val="18"/>
          <w:color w:val="auto"/>
        </w:rPr>
      </w:pPr>
    </w:p>
    <w:p>
      <w:pPr>
        <w:ind w:left="1780" w:hanging="352"/>
        <w:spacing w:after="0"/>
        <w:tabs>
          <w:tab w:leader="none" w:pos="17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sz w:val="20"/>
          <w:szCs w:val="20"/>
          <w:color w:val="auto"/>
        </w:rPr>
      </w:pPr>
    </w:p>
    <w:p>
      <w:pPr>
        <w:ind w:left="1820" w:hanging="392"/>
        <w:spacing w:after="0"/>
        <w:tabs>
          <w:tab w:leader="none" w:pos="1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from time to time be granted hereunder;</w:t>
      </w:r>
    </w:p>
    <w:p>
      <w:pPr>
        <w:spacing w:after="0" w:line="225" w:lineRule="exact"/>
        <w:rPr>
          <w:rFonts w:ascii="Arial" w:cs="Arial" w:eastAsia="Arial" w:hAnsi="Arial"/>
          <w:sz w:val="18"/>
          <w:szCs w:val="18"/>
          <w:color w:val="auto"/>
        </w:rPr>
      </w:pPr>
    </w:p>
    <w:p>
      <w:pPr>
        <w:ind w:left="1880" w:hanging="452"/>
        <w:spacing w:after="0"/>
        <w:tabs>
          <w:tab w:leader="none" w:pos="18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860" w:hanging="432"/>
        <w:spacing w:after="0"/>
        <w:tabs>
          <w:tab w:leader="none" w:pos="1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approve the form(s) of agreement, including, without limitation, the Award Agreement, for use under the Plan;</w:t>
      </w:r>
    </w:p>
    <w:p>
      <w:pPr>
        <w:spacing w:after="0" w:line="225" w:lineRule="exact"/>
        <w:rPr>
          <w:rFonts w:ascii="Arial" w:cs="Arial" w:eastAsia="Arial" w:hAnsi="Arial"/>
          <w:sz w:val="18"/>
          <w:szCs w:val="18"/>
          <w:color w:val="auto"/>
        </w:rPr>
      </w:pPr>
    </w:p>
    <w:p>
      <w:pPr>
        <w:ind w:firstLine="1428"/>
        <w:spacing w:after="0" w:line="257" w:lineRule="auto"/>
        <w:tabs>
          <w:tab w:leader="none" w:pos="182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including, but not limited to, the Exercise Price, the Purchase Price, the time or times when Options may be exercised (which may be based on performance criteria), the time or times when repurchase or redemption rights shall lapse, any vesting acceleration or waiver of forfeiture restrictions, and any restriction or limitation regarding any Award or the Shares relating thereto, based in each case on such factors as the Administrator, in its sole discretion, shall determine;</w:t>
      </w:r>
    </w:p>
    <w:p>
      <w:pPr>
        <w:spacing w:after="0" w:line="187" w:lineRule="exact"/>
        <w:rPr>
          <w:rFonts w:ascii="Arial" w:cs="Arial" w:eastAsia="Arial" w:hAnsi="Arial"/>
          <w:sz w:val="18"/>
          <w:szCs w:val="18"/>
          <w:color w:val="auto"/>
        </w:rPr>
      </w:pPr>
    </w:p>
    <w:p>
      <w:pPr>
        <w:ind w:left="1860" w:hanging="432"/>
        <w:spacing w:after="0"/>
        <w:tabs>
          <w:tab w:leader="none" w:pos="1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1920" w:hanging="492"/>
        <w:spacing w:after="0"/>
        <w:tabs>
          <w:tab w:leader="none" w:pos="19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w:t>
      </w:r>
    </w:p>
    <w:p>
      <w:pPr>
        <w:spacing w:after="0" w:line="3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sub-plans established for the purpose of satisfying applicable laws of jurisdictions other than the United States or for qualifying for favorable tax treatment under applicable foreign laws;</w:t>
      </w:r>
    </w:p>
    <w:p>
      <w:pPr>
        <w:spacing w:after="0" w:line="185" w:lineRule="exact"/>
        <w:rPr>
          <w:sz w:val="20"/>
          <w:szCs w:val="20"/>
          <w:color w:val="auto"/>
        </w:rPr>
      </w:pPr>
    </w:p>
    <w:p>
      <w:pPr>
        <w:ind w:right="40" w:firstLine="1428"/>
        <w:spacing w:after="0" w:line="259" w:lineRule="auto"/>
        <w:tabs>
          <w:tab w:leader="none" w:pos="19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hereof and Participant consent if the modification or amendment is to the Participant’s detriment), including, without limitation, the discretionary authority to extend the post-termination exercisability of an Option longer than is otherwise provided for in an Award Agreement or accelerate the vesting or exercisability of an Option or lapsing of a repurchase or redemption right or forfeiture provision to which Restricted Shares may be subject;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80" w:name="page281"/>
    <w:bookmarkEnd w:id="280"/>
    <w:p>
      <w:pPr>
        <w:ind w:left="1864" w:hanging="432"/>
        <w:spacing w:after="0"/>
        <w:tabs>
          <w:tab w:leader="none" w:pos="1864" w:val="left"/>
        </w:tabs>
        <w:numPr>
          <w:ilvl w:val="3"/>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allow Participants to satisfy withholding tax obligations in a manner prescribed in Section 8;</w:t>
      </w:r>
    </w:p>
    <w:p>
      <w:pPr>
        <w:spacing w:after="0" w:line="225" w:lineRule="exact"/>
        <w:rPr>
          <w:rFonts w:ascii="Arial" w:cs="Arial" w:eastAsia="Arial" w:hAnsi="Arial"/>
          <w:sz w:val="18"/>
          <w:szCs w:val="18"/>
          <w:color w:val="auto"/>
        </w:rPr>
      </w:pPr>
    </w:p>
    <w:p>
      <w:pPr>
        <w:ind w:left="1824" w:hanging="392"/>
        <w:spacing w:after="0"/>
        <w:tabs>
          <w:tab w:leader="none" w:pos="1824" w:val="left"/>
        </w:tabs>
        <w:numPr>
          <w:ilvl w:val="3"/>
          <w:numId w:val="22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 and</w:t>
      </w:r>
    </w:p>
    <w:p>
      <w:pPr>
        <w:spacing w:after="0" w:line="225" w:lineRule="exact"/>
        <w:rPr>
          <w:rFonts w:ascii="Arial" w:cs="Arial" w:eastAsia="Arial" w:hAnsi="Arial"/>
          <w:sz w:val="18"/>
          <w:szCs w:val="18"/>
          <w:color w:val="auto"/>
        </w:rPr>
      </w:pPr>
    </w:p>
    <w:p>
      <w:pPr>
        <w:ind w:left="4" w:right="660" w:firstLine="1428"/>
        <w:spacing w:after="0" w:line="277" w:lineRule="auto"/>
        <w:tabs>
          <w:tab w:leader="none" w:pos="1876" w:val="left"/>
        </w:tabs>
        <w:numPr>
          <w:ilvl w:val="3"/>
          <w:numId w:val="223"/>
        </w:numPr>
        <w:rPr>
          <w:rFonts w:ascii="Arial" w:cs="Arial" w:eastAsia="Arial" w:hAnsi="Arial"/>
          <w:sz w:val="18"/>
          <w:szCs w:val="18"/>
          <w:color w:val="auto"/>
        </w:rPr>
      </w:pPr>
      <w:r>
        <w:rPr>
          <w:rFonts w:ascii="Arial" w:cs="Arial" w:eastAsia="Arial" w:hAnsi="Arial"/>
          <w:sz w:val="18"/>
          <w:szCs w:val="18"/>
          <w:color w:val="auto"/>
        </w:rPr>
        <w:t>to make any other determination and take any other action that the Administrator deems necessary or desirable for the administration of the Plan.</w:t>
      </w:r>
    </w:p>
    <w:p>
      <w:pPr>
        <w:spacing w:after="0" w:line="170" w:lineRule="exact"/>
        <w:rPr>
          <w:rFonts w:ascii="Arial" w:cs="Arial" w:eastAsia="Arial" w:hAnsi="Arial"/>
          <w:sz w:val="18"/>
          <w:szCs w:val="18"/>
          <w:color w:val="auto"/>
        </w:rPr>
      </w:pPr>
    </w:p>
    <w:p>
      <w:pPr>
        <w:ind w:left="4" w:right="140" w:firstLine="877"/>
        <w:spacing w:after="0" w:line="342" w:lineRule="auto"/>
        <w:tabs>
          <w:tab w:leader="none" w:pos="1265" w:val="left"/>
        </w:tabs>
        <w:numPr>
          <w:ilvl w:val="2"/>
          <w:numId w:val="224"/>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Officers</w:t>
      </w:r>
      <w:r>
        <w:rPr>
          <w:rFonts w:ascii="Arial" w:cs="Arial" w:eastAsia="Arial" w:hAnsi="Arial"/>
          <w:sz w:val="16"/>
          <w:szCs w:val="16"/>
          <w:color w:val="auto"/>
        </w:rPr>
        <w:t>. Subject to Applicable Law, the Administrator may delegate limited authority to specified officers of the Company to execute on behalf of the Company any instrument required to effect an Award previously granted by the Administrator.</w:t>
      </w:r>
    </w:p>
    <w:p>
      <w:pPr>
        <w:spacing w:after="0" w:line="123" w:lineRule="exact"/>
        <w:rPr>
          <w:rFonts w:ascii="Arial" w:cs="Arial" w:eastAsia="Arial" w:hAnsi="Arial"/>
          <w:sz w:val="16"/>
          <w:szCs w:val="16"/>
          <w:color w:val="auto"/>
        </w:rPr>
      </w:pPr>
    </w:p>
    <w:p>
      <w:pPr>
        <w:ind w:left="4" w:right="20" w:firstLine="877"/>
        <w:spacing w:after="0" w:line="277" w:lineRule="auto"/>
        <w:tabs>
          <w:tab w:leader="none" w:pos="1275" w:val="left"/>
        </w:tabs>
        <w:numPr>
          <w:ilvl w:val="2"/>
          <w:numId w:val="224"/>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All decisions, determinations, and interpretations of the Administrator shall be final and binding on all Participants and any other holders of Awards.</w:t>
      </w:r>
    </w:p>
    <w:p>
      <w:pPr>
        <w:spacing w:after="0" w:line="278" w:lineRule="exact"/>
        <w:rPr>
          <w:rFonts w:ascii="Arial" w:cs="Arial" w:eastAsia="Arial" w:hAnsi="Arial"/>
          <w:sz w:val="18"/>
          <w:szCs w:val="18"/>
          <w:color w:val="auto"/>
        </w:rPr>
      </w:pPr>
    </w:p>
    <w:p>
      <w:pPr>
        <w:ind w:left="764" w:hanging="324"/>
        <w:spacing w:after="0"/>
        <w:tabs>
          <w:tab w:leader="none" w:pos="764"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877"/>
        <w:spacing w:after="0" w:line="273" w:lineRule="auto"/>
        <w:tabs>
          <w:tab w:leader="none" w:pos="1265" w:val="left"/>
        </w:tabs>
        <w:numPr>
          <w:ilvl w:val="2"/>
          <w:numId w:val="225"/>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Only Service Providers that are not U.S. Persons, or trusts established in connection with any employee benefit plan of the Company (including the Plan) for the benefit of a Service Provider, shall be eligible for the grant of Reg. S Options and Reg. S Restricted Shares. Nonstatutory Stock Options that are not designated as Reg. S Options and Restricted Shares that are not designated as Reg. S Restricted Shares may be granted to Service Providers only. Incentive Stock Options may be granted to Employees only. Any Awards granted to Consultants that are intended to comply with and qualify under Rule 701 promulgated under the Securities Act may only be granted to natural persons who meet the requirements set forth under Rule 701(c)(1)(ii) and (iii) of the Securities Act.</w:t>
      </w:r>
    </w:p>
    <w:p>
      <w:pPr>
        <w:spacing w:after="0" w:line="177" w:lineRule="exact"/>
        <w:rPr>
          <w:rFonts w:ascii="Arial" w:cs="Arial" w:eastAsia="Arial" w:hAnsi="Arial"/>
          <w:sz w:val="17"/>
          <w:szCs w:val="17"/>
          <w:color w:val="auto"/>
        </w:rPr>
      </w:pPr>
    </w:p>
    <w:p>
      <w:pPr>
        <w:ind w:left="1264" w:hanging="383"/>
        <w:spacing w:after="0"/>
        <w:tabs>
          <w:tab w:leader="none" w:pos="1264" w:val="left"/>
        </w:tabs>
        <w:numPr>
          <w:ilvl w:val="2"/>
          <w:numId w:val="225"/>
        </w:numPr>
        <w:rPr>
          <w:rFonts w:ascii="Arial" w:cs="Arial" w:eastAsia="Arial" w:hAnsi="Arial"/>
          <w:sz w:val="16"/>
          <w:szCs w:val="16"/>
          <w:color w:val="auto"/>
        </w:rPr>
      </w:pPr>
      <w:r>
        <w:rPr>
          <w:rFonts w:ascii="Arial" w:cs="Arial" w:eastAsia="Arial" w:hAnsi="Arial"/>
          <w:sz w:val="16"/>
          <w:szCs w:val="16"/>
          <w:u w:val="single" w:color="auto"/>
          <w:color w:val="auto"/>
        </w:rPr>
        <w:t>Stockholders with Ten-Percent Holdings</w:t>
      </w:r>
      <w:r>
        <w:rPr>
          <w:rFonts w:ascii="Arial" w:cs="Arial" w:eastAsia="Arial" w:hAnsi="Arial"/>
          <w:sz w:val="16"/>
          <w:szCs w:val="16"/>
          <w:color w:val="auto"/>
        </w:rPr>
        <w:t>. A Ten Percent Owner shall not be eligible for the grant of an Incentive Stock Option unless</w:t>
      </w:r>
    </w:p>
    <w:p>
      <w:pPr>
        <w:spacing w:after="0" w:line="46" w:lineRule="exact"/>
        <w:rPr>
          <w:rFonts w:ascii="Arial" w:cs="Arial" w:eastAsia="Arial" w:hAnsi="Arial"/>
          <w:sz w:val="16"/>
          <w:szCs w:val="16"/>
          <w:color w:val="auto"/>
        </w:rPr>
      </w:pPr>
    </w:p>
    <w:p>
      <w:pPr>
        <w:ind w:left="4" w:right="220" w:hanging="4"/>
        <w:spacing w:after="0" w:line="260" w:lineRule="auto"/>
        <w:tabs>
          <w:tab w:leader="none" w:pos="21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Exercise Price is at least 110% of the Fair Market Value on the Date of Grant, and (ii) the Incentive Stock Option by its terms is not exercisable after the expiration of five (5) years from the Date of Grant.</w:t>
      </w:r>
    </w:p>
    <w:p>
      <w:pPr>
        <w:spacing w:after="0" w:line="185" w:lineRule="exact"/>
        <w:rPr>
          <w:rFonts w:ascii="Arial" w:cs="Arial" w:eastAsia="Arial" w:hAnsi="Arial"/>
          <w:sz w:val="18"/>
          <w:szCs w:val="18"/>
          <w:color w:val="auto"/>
        </w:rPr>
      </w:pPr>
    </w:p>
    <w:p>
      <w:pPr>
        <w:ind w:left="4" w:firstLine="877"/>
        <w:spacing w:after="0" w:line="277" w:lineRule="auto"/>
        <w:tabs>
          <w:tab w:leader="none" w:pos="1265" w:val="left"/>
        </w:tabs>
        <w:numPr>
          <w:ilvl w:val="2"/>
          <w:numId w:val="226"/>
        </w:numPr>
        <w:rPr>
          <w:rFonts w:ascii="Arial" w:cs="Arial" w:eastAsia="Arial" w:hAnsi="Arial"/>
          <w:sz w:val="18"/>
          <w:szCs w:val="18"/>
          <w:color w:val="auto"/>
        </w:rPr>
      </w:pPr>
      <w:r>
        <w:rPr>
          <w:rFonts w:ascii="Arial" w:cs="Arial" w:eastAsia="Arial" w:hAnsi="Arial"/>
          <w:sz w:val="18"/>
          <w:szCs w:val="18"/>
          <w:u w:val="single" w:color="auto"/>
          <w:color w:val="auto"/>
        </w:rPr>
        <w:t>Service Providers Located in California</w:t>
      </w:r>
      <w:r>
        <w:rPr>
          <w:rFonts w:ascii="Arial" w:cs="Arial" w:eastAsia="Arial" w:hAnsi="Arial"/>
          <w:sz w:val="18"/>
          <w:szCs w:val="18"/>
          <w:color w:val="auto"/>
        </w:rPr>
        <w:t xml:space="preserve">. Notwithstanding any contrary provision of the Plan, a Service Provider located in California is eligible to receive only Awards that comply with the California Award Terms and Conditions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ind w:left="764" w:hanging="324"/>
        <w:spacing w:after="0"/>
        <w:tabs>
          <w:tab w:leader="none" w:pos="764"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877"/>
        <w:spacing w:after="0" w:line="259" w:lineRule="auto"/>
        <w:tabs>
          <w:tab w:leader="none" w:pos="1265" w:val="left"/>
        </w:tabs>
        <w:numPr>
          <w:ilvl w:val="2"/>
          <w:numId w:val="227"/>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of an Option under the Plan shall be evidenced by an Award Agreement between the Participant and the Company. Each Option shall be subject to all applicable terms and conditions of the Plan and may be subject to any other terms and conditions that are not inconsistent with the Plan and that the Administrator deems appropriate for inclusion in an Award Agreement. The provisions of the various Award Agreements entered into under the Plan need not be identical.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281" w:name="page282"/>
    <w:bookmarkEnd w:id="281"/>
    <w:p>
      <w:pPr>
        <w:ind w:left="4" w:right="20" w:firstLine="877"/>
        <w:spacing w:after="0" w:line="291" w:lineRule="auto"/>
        <w:tabs>
          <w:tab w:leader="none" w:pos="1275"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Type of Option</w:t>
      </w:r>
      <w:r>
        <w:rPr>
          <w:rFonts w:ascii="Arial" w:cs="Arial" w:eastAsia="Arial" w:hAnsi="Arial"/>
          <w:sz w:val="16"/>
          <w:szCs w:val="16"/>
          <w:color w:val="auto"/>
        </w:rPr>
        <w:t>. Each Option shall be designated in the Award Agreement as either an Incentive Stock Option or a Nonstatutory Stock Option. However, notwithstanding a designation of an Option as an Incentive Stock Option, to the extent that the aggregate Fair Market Value of the Shares with respect to which Incentive Stock Options are exercisable for the first time by a Participant during any calendar year (under all plans of the Company and any Parent or Subsidiary) exceeds US$100,000, such Options shall be treated as Nonstatutory Stock Options. For purposes of this Section 6(b), Incentive Stock Options shall be taken into account in the order in which they were granted. The Fair Market Value of the Shares shall be determined as of the Date of Grant, and calculation will be performed in accordance with Section 422 of the Code and the Treasury Regulations promulgated thereunder. Each Option also may be designated as a Reg. S Option or as an Option other than a Reg. S Option.</w:t>
      </w:r>
    </w:p>
    <w:p>
      <w:pPr>
        <w:spacing w:after="0" w:line="166" w:lineRule="exact"/>
        <w:rPr>
          <w:rFonts w:ascii="Arial" w:cs="Arial" w:eastAsia="Arial" w:hAnsi="Arial"/>
          <w:sz w:val="16"/>
          <w:szCs w:val="16"/>
          <w:color w:val="auto"/>
        </w:rPr>
      </w:pPr>
    </w:p>
    <w:p>
      <w:pPr>
        <w:ind w:left="4" w:right="100" w:firstLine="877"/>
        <w:spacing w:after="0" w:line="277" w:lineRule="auto"/>
        <w:tabs>
          <w:tab w:leader="none" w:pos="1265"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specify the number of Shares that are subject to the Option and shall provide for the adjustment of such number in accordance with Section 12 hereof.</w:t>
      </w:r>
    </w:p>
    <w:p>
      <w:pPr>
        <w:spacing w:after="0" w:line="170" w:lineRule="exact"/>
        <w:rPr>
          <w:rFonts w:ascii="Arial" w:cs="Arial" w:eastAsia="Arial" w:hAnsi="Arial"/>
          <w:sz w:val="18"/>
          <w:szCs w:val="18"/>
          <w:color w:val="auto"/>
        </w:rPr>
      </w:pPr>
    </w:p>
    <w:p>
      <w:pPr>
        <w:ind w:left="4" w:right="20" w:firstLine="877"/>
        <w:spacing w:after="0" w:line="291" w:lineRule="auto"/>
        <w:tabs>
          <w:tab w:leader="none" w:pos="1275"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Award Agreement shall specify the Exercise Price. The Exercise Price of an Incentive Stock Option shall not be less than 100% of the Fair Market Value per Share on the Date of Grant, and a higher percentage may be required by Section 5(b) hereof. The Exercise Price of a Nonstatutory Stock Option may be less than 100% of the Fair Market Value per Share on the Date of Grant. Subject to the preceding provisions of this Section 6(d), the Exercise Price of any Option shall be determined by the Administrator in its sole discretion. The Exercise Price shall be payable in accordance with Section 9 hereof and the applicable Award Agreement. Notwithstanding anything to the contrary in the foregoing or in Section 5(b), in the event of a transaction described in Section 424(a) of the Code, then, consistent with Section 424(a) of the Code, Incentive Stock Options may be issued at an Exercise Price other than as required by the foregoing provisions of this Section 6(d) and Section 5(b).</w:t>
      </w:r>
    </w:p>
    <w:p>
      <w:pPr>
        <w:spacing w:after="0" w:line="166" w:lineRule="exact"/>
        <w:rPr>
          <w:rFonts w:ascii="Arial" w:cs="Arial" w:eastAsia="Arial" w:hAnsi="Arial"/>
          <w:sz w:val="16"/>
          <w:szCs w:val="16"/>
          <w:color w:val="auto"/>
        </w:rPr>
      </w:pPr>
    </w:p>
    <w:p>
      <w:pPr>
        <w:ind w:left="1264" w:hanging="383"/>
        <w:spacing w:after="0"/>
        <w:tabs>
          <w:tab w:leader="none" w:pos="1264"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Award Agreement shall specify the term of the Option; provided, however, that the term shall not exceed ten</w:t>
      </w:r>
    </w:p>
    <w:p>
      <w:pPr>
        <w:spacing w:after="0" w:line="46" w:lineRule="exact"/>
        <w:rPr>
          <w:rFonts w:ascii="Arial" w:cs="Arial" w:eastAsia="Arial" w:hAnsi="Arial"/>
          <w:sz w:val="16"/>
          <w:szCs w:val="16"/>
          <w:color w:val="auto"/>
        </w:rPr>
      </w:pPr>
    </w:p>
    <w:p>
      <w:pPr>
        <w:ind w:left="4" w:hanging="4"/>
        <w:spacing w:after="0" w:line="260" w:lineRule="auto"/>
        <w:tabs>
          <w:tab w:leader="none" w:pos="34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years from the Date of Grant, and a shorter term may be required by Section 5(b) hereof. Subject to the preceding sentence, the Administrator in its sole discretion shall determine when an Option is to expire.</w:t>
      </w:r>
    </w:p>
    <w:p>
      <w:pPr>
        <w:spacing w:after="0" w:line="185" w:lineRule="exact"/>
        <w:rPr>
          <w:rFonts w:ascii="Arial" w:cs="Arial" w:eastAsia="Arial" w:hAnsi="Arial"/>
          <w:sz w:val="18"/>
          <w:szCs w:val="18"/>
          <w:color w:val="auto"/>
        </w:rPr>
      </w:pPr>
    </w:p>
    <w:p>
      <w:pPr>
        <w:ind w:left="4" w:right="140" w:firstLine="877"/>
        <w:spacing w:after="0" w:line="277" w:lineRule="auto"/>
        <w:tabs>
          <w:tab w:leader="none" w:pos="1245"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Award Agreement shall specify the date when all or any installment of the Option is to become exercisable. The exercisability provisions of any Award Agreement shall be determined by the Administrator in its sole discretion.</w:t>
      </w:r>
    </w:p>
    <w:p>
      <w:pPr>
        <w:spacing w:after="0" w:line="170" w:lineRule="exact"/>
        <w:rPr>
          <w:rFonts w:ascii="Arial" w:cs="Arial" w:eastAsia="Arial" w:hAnsi="Arial"/>
          <w:sz w:val="18"/>
          <w:szCs w:val="18"/>
          <w:color w:val="auto"/>
        </w:rPr>
      </w:pPr>
    </w:p>
    <w:p>
      <w:pPr>
        <w:ind w:left="4" w:right="260" w:firstLine="877"/>
        <w:spacing w:after="0" w:line="263" w:lineRule="auto"/>
        <w:tabs>
          <w:tab w:leader="none" w:pos="1275"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Any Option granted hereunder shall be exercisable according to the terms hereof at such times and under such conditions as may be determined by the Administrator and as set forth in the Award Agreement; provided, however, that an Option shall not be exercised for a fraction of a Share.</w:t>
      </w:r>
    </w:p>
    <w:p>
      <w:pPr>
        <w:spacing w:after="0" w:line="184" w:lineRule="exact"/>
        <w:rPr>
          <w:sz w:val="20"/>
          <w:szCs w:val="20"/>
          <w:color w:val="auto"/>
        </w:rPr>
      </w:pPr>
    </w:p>
    <w:p>
      <w:pPr>
        <w:ind w:left="4" w:right="180" w:firstLine="1428"/>
        <w:spacing w:after="0" w:line="277" w:lineRule="auto"/>
        <w:tabs>
          <w:tab w:leader="none" w:pos="177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 Option shall be deemed exercised when the Company receives (A) written or electronic notice of exercise (in accordance with the Award Agreement) from the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4"/>
          </w:cols>
          <w:pgMar w:left="436" w:top="274" w:right="519" w:bottom="1440" w:gutter="0" w:footer="0" w:header="0"/>
        </w:sectPr>
      </w:pPr>
    </w:p>
    <w:bookmarkStart w:id="282" w:name="page283"/>
    <w:bookmarkEnd w:id="28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entitled to exercise the Option, (B) full payment for the Shares with respect to which the Option is exercised, together with any applicable tax withholding, and (C) all representations, indemnifications, and documents requested by the Administrator, including, without limitation, any Shareholders Agreement. Full payment may consist of any consideration and method of payment authorized by the Administrator in accordance with Section 9 hereof and permitted by the Award Agreement and the Plan.</w:t>
      </w:r>
    </w:p>
    <w:p>
      <w:pPr>
        <w:spacing w:after="0" w:line="187" w:lineRule="exact"/>
        <w:rPr>
          <w:sz w:val="20"/>
          <w:szCs w:val="20"/>
          <w:color w:val="auto"/>
        </w:rPr>
      </w:pPr>
    </w:p>
    <w:p>
      <w:pPr>
        <w:ind w:right="20" w:firstLine="1428"/>
        <w:spacing w:after="0" w:line="293" w:lineRule="auto"/>
        <w:tabs>
          <w:tab w:leader="none" w:pos="183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Shares issued upon exercise of an Option shall be issued in the name of the Participant or, if requested by the Participant, in the name of the Participant and his or her spouse. Subject to the provisions of Sections 8, 9, 15, and 16, the Company shall issue (or cause to be issued) certificates evidencing the issued Shares promptly after the Option is exercised. Notwithstanding the foregoing, the Administrator in its discretion may require the Company to retain possession of any certificate evidencing Shares acquired upon the exercise of an Option if those Shares remain subject to forfeiture, repurchase or redemption under the provisions of the Award Agreement, any Shareholders Agreement, or any other agreement between the Company and the Participant, or if those Shares are collateral for a loan or obligation due to the Company.</w:t>
      </w:r>
    </w:p>
    <w:p>
      <w:pPr>
        <w:spacing w:after="0" w:line="164" w:lineRule="exact"/>
        <w:rPr>
          <w:rFonts w:ascii="Arial" w:cs="Arial" w:eastAsia="Arial" w:hAnsi="Arial"/>
          <w:sz w:val="16"/>
          <w:szCs w:val="16"/>
          <w:color w:val="auto"/>
        </w:rPr>
      </w:pPr>
    </w:p>
    <w:p>
      <w:pPr>
        <w:ind w:right="120" w:firstLine="1428"/>
        <w:spacing w:after="0" w:line="342" w:lineRule="auto"/>
        <w:tabs>
          <w:tab w:leader="none" w:pos="188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Exercise of an Option in any manner shall result in a decrease in the number of Shares thereafter available, both for purposes of the Plan (in accordance with Section 3(b)) and for sale under the Option, by the number of Shares as to which the Option is exercised.</w:t>
      </w:r>
    </w:p>
    <w:p>
      <w:pPr>
        <w:spacing w:after="0" w:line="231" w:lineRule="exact"/>
        <w:rPr>
          <w:rFonts w:ascii="Arial" w:cs="Arial" w:eastAsia="Arial" w:hAnsi="Arial"/>
          <w:sz w:val="16"/>
          <w:szCs w:val="16"/>
          <w:color w:val="auto"/>
        </w:rPr>
      </w:pPr>
    </w:p>
    <w:p>
      <w:pPr>
        <w:ind w:left="1260" w:hanging="383"/>
        <w:spacing w:after="0"/>
        <w:tabs>
          <w:tab w:leader="none" w:pos="12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Termination of Service (other than by death)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28"/>
        <w:spacing w:after="0" w:line="277" w:lineRule="auto"/>
        <w:tabs>
          <w:tab w:leader="none" w:pos="178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a Participant ceases to be a Service Provider for any reason other than because of death, then the Participant’s Options shall expire on the earliest of the following occasions:</w:t>
      </w:r>
    </w:p>
    <w:p>
      <w:pPr>
        <w:spacing w:after="0" w:line="170" w:lineRule="exact"/>
        <w:rPr>
          <w:rFonts w:ascii="Arial" w:cs="Arial" w:eastAsia="Arial" w:hAnsi="Arial"/>
          <w:sz w:val="18"/>
          <w:szCs w:val="18"/>
          <w:color w:val="auto"/>
        </w:rPr>
      </w:pPr>
    </w:p>
    <w:p>
      <w:pPr>
        <w:ind w:left="2300" w:hanging="431"/>
        <w:spacing w:after="0"/>
        <w:tabs>
          <w:tab w:leader="none" w:pos="230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expiration date determined by Section 6(e) hereof;</w:t>
      </w:r>
    </w:p>
    <w:p>
      <w:pPr>
        <w:spacing w:after="0" w:line="225" w:lineRule="exact"/>
        <w:rPr>
          <w:rFonts w:ascii="Arial" w:cs="Arial" w:eastAsia="Arial" w:hAnsi="Arial"/>
          <w:sz w:val="18"/>
          <w:szCs w:val="18"/>
          <w:color w:val="auto"/>
        </w:rPr>
      </w:pPr>
    </w:p>
    <w:p>
      <w:pPr>
        <w:ind w:right="120" w:firstLine="1869"/>
        <w:spacing w:after="0" w:line="259" w:lineRule="auto"/>
        <w:tabs>
          <w:tab w:leader="none" w:pos="2289"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thirtieth (30</w:t>
      </w:r>
      <w:r>
        <w:rPr>
          <w:rFonts w:ascii="Arial" w:cs="Arial" w:eastAsia="Arial" w:hAnsi="Arial"/>
          <w:sz w:val="15"/>
          <w:szCs w:val="15"/>
          <w:color w:val="auto"/>
        </w:rPr>
        <w:t>th</w:t>
      </w:r>
      <w:r>
        <w:rPr>
          <w:rFonts w:ascii="Arial" w:cs="Arial" w:eastAsia="Arial" w:hAnsi="Arial"/>
          <w:sz w:val="18"/>
          <w:szCs w:val="18"/>
          <w:color w:val="auto"/>
        </w:rPr>
        <w:t>) day following the termination of the Participant’s relationship as a Service Provider for any reason other than Disability, or such other date as the Administrator may determine and specify in the Award Agreement, provided that no Option that is exercised after the expiration of the three-month period immediately following the termination of the Participant’s relationship as an Employee shall be treated as an Incentive Stock Option; or</w:t>
      </w:r>
    </w:p>
    <w:p>
      <w:pPr>
        <w:spacing w:after="0" w:line="186" w:lineRule="exact"/>
        <w:rPr>
          <w:rFonts w:ascii="Arial" w:cs="Arial" w:eastAsia="Arial" w:hAnsi="Arial"/>
          <w:sz w:val="18"/>
          <w:szCs w:val="18"/>
          <w:color w:val="auto"/>
        </w:rPr>
      </w:pPr>
    </w:p>
    <w:p>
      <w:pPr>
        <w:ind w:firstLine="1869"/>
        <w:spacing w:after="0" w:line="259" w:lineRule="auto"/>
        <w:tabs>
          <w:tab w:leader="none" w:pos="2289"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last day of the six-month period following the termination of the Participant’s relationship as a Service Provider by reason of Disability, or such other date as the Administrator may determine and specify in the Award Agreement; provided that no Option that is exercised after the expiration of the twelve-month period immediately following the termination of the Participant’s relationship as an Employee shall be treated as an Incentive Stock Option.</w:t>
      </w:r>
    </w:p>
    <w:p>
      <w:pPr>
        <w:spacing w:after="0" w:line="186" w:lineRule="exact"/>
        <w:rPr>
          <w:rFonts w:ascii="Arial" w:cs="Arial" w:eastAsia="Arial" w:hAnsi="Arial"/>
          <w:sz w:val="18"/>
          <w:szCs w:val="18"/>
          <w:color w:val="auto"/>
        </w:rPr>
      </w:pPr>
    </w:p>
    <w:p>
      <w:pPr>
        <w:ind w:right="100" w:firstLine="1428"/>
        <w:spacing w:after="0" w:line="259" w:lineRule="auto"/>
        <w:tabs>
          <w:tab w:leader="none" w:pos="183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Following the termination of the Participant’s relationship as a Service Provider, the Participant may exercise all or part of the Participant’s Option at any time before the expiration of the Option as set forth in Section 6(h)(i) hereof, but only to the extent that the Option was vested and exercisable as of the date of termination of the Participant’s relationship as a Service Provider (or became vested and exercisable as a result of the termination). Unless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83" w:name="page284"/>
    <w:bookmarkEnd w:id="28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 provides otherwise in an Award Agreement, the balance of the Shares subject to the Option shall be forfeited on the date of termination of the Participant’s relationship as a Service Provider. In the event that the Participant dies after the termination of the Participant’s relationship as a Service Provider but before the expiration of the Participant’s Option as set forth in Section 6(h)(i) hereof, all or part of the Option may be exercised (prior to expiration) by the executors or administrators of the Participant’s estate or by any person who has acquired the Option directly from the Participant by beneficiary designation, bequest, or inheritance, but only to the extent that the Option was vested and exercisable as of the termination date of the Participant’s relationship as a Service Provider (or became vested and exercisable as a result of the termination). Any Shares subject to the portion of the Option that are vested as of the termination date of the Participant’s relationship as a Service Provider but that are not purchased prior to the expiration of the Option pursuant to this Section 6(h) shall be forfeited immediately following the Option’s expiration.</w:t>
      </w:r>
    </w:p>
    <w:p>
      <w:pPr>
        <w:spacing w:after="0" w:line="273" w:lineRule="exact"/>
        <w:rPr>
          <w:sz w:val="20"/>
          <w:szCs w:val="20"/>
          <w:color w:val="auto"/>
        </w:rPr>
      </w:pPr>
    </w:p>
    <w:p>
      <w:pPr>
        <w:ind w:left="1220" w:hanging="343"/>
        <w:spacing w:after="0"/>
        <w:tabs>
          <w:tab w:leader="none" w:pos="122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If a Participant dies while a Service Provider, then the Participant’s Option shall expire on the earlier of the following dates:</w:t>
      </w:r>
    </w:p>
    <w:p>
      <w:pPr>
        <w:spacing w:after="0" w:line="236" w:lineRule="exact"/>
        <w:rPr>
          <w:rFonts w:ascii="Arial" w:cs="Arial" w:eastAsia="Arial" w:hAnsi="Arial"/>
          <w:sz w:val="17"/>
          <w:szCs w:val="17"/>
          <w:color w:val="auto"/>
        </w:rPr>
      </w:pPr>
    </w:p>
    <w:p>
      <w:pPr>
        <w:ind w:left="2300" w:hanging="431"/>
        <w:spacing w:after="0"/>
        <w:tabs>
          <w:tab w:leader="none" w:pos="230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The expiration date determined by Section 6(e) hereof;</w:t>
      </w:r>
    </w:p>
    <w:p>
      <w:pPr>
        <w:spacing w:after="0" w:line="225" w:lineRule="exact"/>
        <w:rPr>
          <w:rFonts w:ascii="Arial" w:cs="Arial" w:eastAsia="Arial" w:hAnsi="Arial"/>
          <w:sz w:val="18"/>
          <w:szCs w:val="18"/>
          <w:color w:val="auto"/>
        </w:rPr>
      </w:pPr>
    </w:p>
    <w:p>
      <w:pPr>
        <w:ind w:right="920" w:firstLine="1869"/>
        <w:spacing w:after="0" w:line="277" w:lineRule="auto"/>
        <w:tabs>
          <w:tab w:leader="none" w:pos="2289" w:val="left"/>
        </w:tabs>
        <w:numPr>
          <w:ilvl w:val="2"/>
          <w:numId w:val="233"/>
        </w:numPr>
        <w:rPr>
          <w:rFonts w:ascii="Arial" w:cs="Arial" w:eastAsia="Arial" w:hAnsi="Arial"/>
          <w:sz w:val="18"/>
          <w:szCs w:val="18"/>
          <w:color w:val="auto"/>
        </w:rPr>
      </w:pPr>
      <w:r>
        <w:rPr>
          <w:rFonts w:ascii="Arial" w:cs="Arial" w:eastAsia="Arial" w:hAnsi="Arial"/>
          <w:sz w:val="18"/>
          <w:szCs w:val="18"/>
          <w:color w:val="auto"/>
        </w:rPr>
        <w:t>The last day of the six-month period immediately following the Participant’s death, or such other date as the Administrator may determine and specify in the Award Agreement.</w:t>
      </w:r>
    </w:p>
    <w:p>
      <w:pPr>
        <w:spacing w:after="0" w:line="170" w:lineRule="exact"/>
        <w:rPr>
          <w:rFonts w:ascii="Arial" w:cs="Arial" w:eastAsia="Arial" w:hAnsi="Arial"/>
          <w:sz w:val="18"/>
          <w:szCs w:val="18"/>
          <w:color w:val="auto"/>
        </w:rPr>
      </w:pPr>
    </w:p>
    <w:p>
      <w:pPr>
        <w:ind w:right="40" w:firstLine="1428"/>
        <w:spacing w:after="0" w:line="273" w:lineRule="auto"/>
        <w:tabs>
          <w:tab w:leader="none" w:pos="182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All or part of the Participant’s Option may be exercised at any time before the expiration of the Option as set forth in Section 6(i)(i) hereof by the executors or administrators of the Participant’s estate or by any person who has acquired the Option directly from the Participant by beneficiary designation, bequest, or inheritance, but only to the extent that the Option was vested and exercisable as of the date of the Participant’s death or had become vested and exercisable as a result of the death. The balance of the Shares subject to the Option shall be forfeited upon the Participant’s death. Any Shares subject to the portion of the Option that are vested as of the Participant’s death but that are not purchased prior to the expiration of the Option pursuant to this Section 6(i) shall be forfeited immediately following the Option’s expiration.</w:t>
      </w:r>
    </w:p>
    <w:p>
      <w:pPr>
        <w:spacing w:after="0" w:line="178" w:lineRule="exact"/>
        <w:rPr>
          <w:sz w:val="20"/>
          <w:szCs w:val="20"/>
          <w:color w:val="auto"/>
        </w:rPr>
      </w:pPr>
    </w:p>
    <w:p>
      <w:pPr>
        <w:jc w:val="both"/>
        <w:ind w:right="340" w:firstLine="877"/>
        <w:spacing w:after="0" w:line="259" w:lineRule="auto"/>
        <w:tabs>
          <w:tab w:leader="none" w:pos="1231"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Shares issued upon exercise of an Option shall be subject to such forfeiture conditions, rights of repurchase or redemption, rights of first refusal, and other transfer restrictions as the Administrator may determine. The restrictions described in the preceding sentence shall be set forth in the applicable Award Agreement and shall apply in addition to any restrictions that may apply to holders of Shares generally.</w:t>
      </w:r>
    </w:p>
    <w:p>
      <w:pPr>
        <w:spacing w:after="0" w:line="294" w:lineRule="exact"/>
        <w:rPr>
          <w:rFonts w:ascii="Arial" w:cs="Arial" w:eastAsia="Arial" w:hAnsi="Arial"/>
          <w:sz w:val="18"/>
          <w:szCs w:val="18"/>
          <w:color w:val="auto"/>
        </w:rPr>
      </w:pPr>
    </w:p>
    <w:p>
      <w:pPr>
        <w:ind w:left="760" w:hanging="324"/>
        <w:spacing w:after="0"/>
        <w:tabs>
          <w:tab w:leader="none" w:pos="7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Restricted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877"/>
        <w:spacing w:after="0" w:line="259" w:lineRule="auto"/>
        <w:tabs>
          <w:tab w:leader="none" w:pos="1261"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Restricted Share granted under the Plan shall be evidenced by an Award Agreement between the Participant and the Company, which will specify the Period of Restriction, the number of Shares granted, and such other terms and conditions as the Administrator, in its sole discretion, will determine. Each Restricted Share shall be subject to all applicable terms and conditions of the Plan and may be subject to any other terms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4" w:name="page285"/>
    <w:bookmarkEnd w:id="28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that are not inconsistent with the Plan and that the Administrator deems appropriate for inclusion in an Award Agreement. Unless the Administrator determines otherwise, the Company as escrow agent will hold the Restricted Shares until the restrictions on such Shares have lapsed. The provisions of the various Award Agreements entered into under the Plan need not be identical.</w:t>
      </w:r>
    </w:p>
    <w:p>
      <w:pPr>
        <w:spacing w:after="0" w:line="184" w:lineRule="exact"/>
        <w:rPr>
          <w:sz w:val="20"/>
          <w:szCs w:val="20"/>
          <w:color w:val="auto"/>
        </w:rPr>
      </w:pPr>
    </w:p>
    <w:p>
      <w:pPr>
        <w:ind w:right="120" w:firstLine="877"/>
        <w:spacing w:after="0" w:line="263"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Type of Restricted Share</w:t>
      </w:r>
      <w:r>
        <w:rPr>
          <w:rFonts w:ascii="Arial" w:cs="Arial" w:eastAsia="Arial" w:hAnsi="Arial"/>
          <w:sz w:val="18"/>
          <w:szCs w:val="18"/>
          <w:color w:val="auto"/>
        </w:rPr>
        <w:t>. Each Restricted Share may be designated as a Reg. S Restricted Share or as a Restricted Share other than a Reg. S Restricted Share. If the Award Agreement does not specify the type of Restricted Share, the Restricted Share will not be treated as a Reg. S Restricted Share.</w:t>
      </w:r>
    </w:p>
    <w:p>
      <w:pPr>
        <w:spacing w:after="0" w:line="183" w:lineRule="exact"/>
        <w:rPr>
          <w:rFonts w:ascii="Arial" w:cs="Arial" w:eastAsia="Arial" w:hAnsi="Arial"/>
          <w:sz w:val="18"/>
          <w:szCs w:val="18"/>
          <w:color w:val="auto"/>
        </w:rPr>
      </w:pPr>
    </w:p>
    <w:p>
      <w:pPr>
        <w:ind w:right="40" w:firstLine="877"/>
        <w:spacing w:after="0" w:line="257" w:lineRule="auto"/>
        <w:tabs>
          <w:tab w:leader="none" w:pos="126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Duration of Offers and Nontransferability of Restricted Shares</w:t>
      </w:r>
      <w:r>
        <w:rPr>
          <w:rFonts w:ascii="Arial" w:cs="Arial" w:eastAsia="Arial" w:hAnsi="Arial"/>
          <w:sz w:val="18"/>
          <w:szCs w:val="18"/>
          <w:color w:val="auto"/>
        </w:rPr>
        <w:t>. Any Restricted Shares granted under the Plan shall automatically expire if not exercised by the Participant within 30 days (or such longer time as is specified in the Award Agreement) after the Date of Grant. Except as provided in this Section 7 or as the Administrator determines, Restricted Shares may not be sold, transferred, pledged, assigned, or otherwise alienated or hypothecated until the end of the applicable Period of Restriction and shall be exercisable only by the Participant to whom the Restricted Share was granted.</w:t>
      </w:r>
    </w:p>
    <w:p>
      <w:pPr>
        <w:spacing w:after="0" w:line="187" w:lineRule="exact"/>
        <w:rPr>
          <w:rFonts w:ascii="Arial" w:cs="Arial" w:eastAsia="Arial" w:hAnsi="Arial"/>
          <w:sz w:val="18"/>
          <w:szCs w:val="18"/>
          <w:color w:val="auto"/>
        </w:rPr>
      </w:pPr>
    </w:p>
    <w:p>
      <w:pPr>
        <w:ind w:right="80" w:firstLine="877"/>
        <w:spacing w:after="0" w:line="277"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if any, shall be determined by the Administrator in its sole discretion. The Purchase Price, if any, shall be payable in a form described in Section 9 hereof.</w:t>
      </w:r>
    </w:p>
    <w:p>
      <w:pPr>
        <w:spacing w:after="0" w:line="170" w:lineRule="exact"/>
        <w:rPr>
          <w:rFonts w:ascii="Arial" w:cs="Arial" w:eastAsia="Arial" w:hAnsi="Arial"/>
          <w:sz w:val="18"/>
          <w:szCs w:val="18"/>
          <w:color w:val="auto"/>
        </w:rPr>
      </w:pPr>
    </w:p>
    <w:p>
      <w:pPr>
        <w:ind w:right="120" w:firstLine="877"/>
        <w:spacing w:after="0" w:line="259" w:lineRule="auto"/>
        <w:tabs>
          <w:tab w:leader="none" w:pos="126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Any Shares awarded or sold pursuant to Restricted Shares shall be subject to such forfeiture conditions, rights of repurchase or redemption, rights of first refusal, escrow provisions and other transfer restrictions as the Administrator may determine. The restrictions described in the preceding sentence shall be set forth in the applicable Award Agreement and shall apply in addition to any restrictions that may apply to holders of Shares generally.</w:t>
      </w:r>
    </w:p>
    <w:p>
      <w:pPr>
        <w:spacing w:after="0" w:line="186" w:lineRule="exact"/>
        <w:rPr>
          <w:rFonts w:ascii="Arial" w:cs="Arial" w:eastAsia="Arial" w:hAnsi="Arial"/>
          <w:sz w:val="18"/>
          <w:szCs w:val="18"/>
          <w:color w:val="auto"/>
        </w:rPr>
      </w:pPr>
    </w:p>
    <w:p>
      <w:pPr>
        <w:ind w:right="280" w:firstLine="877"/>
        <w:spacing w:after="0" w:line="286" w:lineRule="auto"/>
        <w:tabs>
          <w:tab w:leader="none" w:pos="1241"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Removal of Restrictions</w:t>
      </w:r>
      <w:r>
        <w:rPr>
          <w:rFonts w:ascii="Arial" w:cs="Arial" w:eastAsia="Arial" w:hAnsi="Arial"/>
          <w:sz w:val="17"/>
          <w:szCs w:val="17"/>
          <w:color w:val="auto"/>
        </w:rPr>
        <w:t>. Except as otherwise provided in this Section 7, Restricted Shares granted under the Plan shall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5" w:lineRule="exact"/>
        <w:rPr>
          <w:rFonts w:ascii="Arial" w:cs="Arial" w:eastAsia="Arial" w:hAnsi="Arial"/>
          <w:sz w:val="17"/>
          <w:szCs w:val="17"/>
          <w:color w:val="auto"/>
        </w:rPr>
      </w:pPr>
    </w:p>
    <w:p>
      <w:pPr>
        <w:ind w:right="380" w:firstLine="877"/>
        <w:spacing w:after="0" w:line="277"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Restricted Shares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160" w:firstLine="877"/>
        <w:spacing w:after="0" w:line="259"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Restricted Shares shall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Restricted Shares with respect to which they were paid.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285" w:name="page286"/>
    <w:bookmarkEnd w:id="285"/>
    <w:p>
      <w:pPr>
        <w:ind w:left="700" w:hanging="324"/>
        <w:spacing w:after="0"/>
        <w:tabs>
          <w:tab w:leader="none" w:pos="7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firstLine="877"/>
        <w:spacing w:after="0" w:line="268" w:lineRule="auto"/>
        <w:tabs>
          <w:tab w:leader="none" w:pos="1201"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As a condition to the exercise of an Option or purchase of Restricted Shares, the Participant (or in the case of the Participant’s death or in the event of a permissible transfer of Awards hereunder, the person exercising the Option or purchasing Restricted Shares) shall make such arrangements as the Administrator may require for the satisfaction of any applicable tax withholding arising in connection with the exercise of an Option, purchase of Restricted Shares or disposition of Awards under Applicable Laws. The Participant (or in the case of the Participant’s death or in the event of a permissible transfer of Awards hereunder, the person exercising the Option or purchasing Restricted Shares) also shall make such arrangements as the Administrator may require for the satisfaction of any applicable U.S. federal, state, local, or non-U.S. tax withholding obligations, including those under the laws of the People’s Republic of China, that may arise in connection with the disposition of Shares acquired by exercising an Option or purchasing Restricted Shares. The Company shall not be required to issue any Shares under the Plan until the foregoing obligations are satisfied. Without limiting the generality of the foregoing, upon the exercise of the Option or delivery of Restricted Shares, the Company, or a Parent or Subsidiary, as required by Applicable Law, shall have the right to withhold taxes from any compensation or other amounts that the Company or such Parent or Subsidiary, as applicable, may owe to the Participant, or to require the Participant to pay to the Company or such Parent or Subsidiary, as applicable, the amount of any taxes that the Company or such Parent or Subsidiary may be required to withhold with respect to the Shares issued to the Participant or the disposition of Awards or Shares.</w:t>
      </w:r>
    </w:p>
    <w:p>
      <w:pPr>
        <w:spacing w:after="0" w:line="186" w:lineRule="exact"/>
        <w:rPr>
          <w:rFonts w:ascii="Arial" w:cs="Arial" w:eastAsia="Arial" w:hAnsi="Arial"/>
          <w:sz w:val="17"/>
          <w:szCs w:val="17"/>
          <w:color w:val="auto"/>
        </w:rPr>
      </w:pPr>
    </w:p>
    <w:p>
      <w:pPr>
        <w:ind w:left="-60" w:firstLine="877"/>
        <w:spacing w:after="0" w:line="269" w:lineRule="auto"/>
        <w:tabs>
          <w:tab w:leader="none" w:pos="1211"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Without limiting the generality of the foregoing, the Administrator in its discretion may authorize the Participant to satisfy all or part of any tax withholding liability by (i) paying cash, (ii) having the Company, or the applicable Parent or Subsidiary, withhold otherwise deliverable Shares having a Fair Market Value equal to the minimum statutory amount required to be withheld, (iii) delivering to the Company already owned and unencumbered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U.S. federal, state, local, or non-U.S.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81" w:lineRule="exact"/>
        <w:rPr>
          <w:rFonts w:ascii="Arial" w:cs="Arial" w:eastAsia="Arial" w:hAnsi="Arial"/>
          <w:sz w:val="17"/>
          <w:szCs w:val="17"/>
          <w:color w:val="auto"/>
        </w:rPr>
      </w:pPr>
    </w:p>
    <w:p>
      <w:pPr>
        <w:ind w:left="-60" w:right="160" w:firstLine="436"/>
        <w:spacing w:after="0" w:line="263" w:lineRule="auto"/>
        <w:tabs>
          <w:tab w:leader="none" w:pos="69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Payment for Shares</w:t>
      </w:r>
      <w:r>
        <w:rPr>
          <w:rFonts w:ascii="Arial" w:cs="Arial" w:eastAsia="Arial" w:hAnsi="Arial"/>
          <w:sz w:val="18"/>
          <w:szCs w:val="18"/>
          <w:color w:val="auto"/>
        </w:rPr>
        <w:t>. The consideration to be paid for the Shares to be issued under the Plan, including the method of payment, shall be determined by the Administrator (and, in the case of an Incentive Stock Option, shall be determined on the Date of Grant), subject to the provisions in this Section 9 and Applicable Law.</w:t>
      </w:r>
    </w:p>
    <w:p>
      <w:pPr>
        <w:spacing w:after="0" w:line="183" w:lineRule="exact"/>
        <w:rPr>
          <w:rFonts w:ascii="Arial" w:cs="Arial" w:eastAsia="Arial" w:hAnsi="Arial"/>
          <w:sz w:val="18"/>
          <w:szCs w:val="18"/>
          <w:color w:val="auto"/>
        </w:rPr>
      </w:pPr>
    </w:p>
    <w:p>
      <w:pPr>
        <w:ind w:left="-60" w:right="300" w:firstLine="877"/>
        <w:spacing w:after="0" w:line="342" w:lineRule="auto"/>
        <w:tabs>
          <w:tab w:leader="none" w:pos="1201"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The entire Exercise Price or Purchase Price (as the case may be) for Shares issued under the Plan shall be payable in cash or cash equivalents at the time when the Shares are purchased, except as otherwise provided in this Section 9 or Applicable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286" w:name="page287"/>
    <w:bookmarkEnd w:id="286"/>
    <w:p>
      <w:pPr>
        <w:ind w:left="-20" w:firstLine="877"/>
        <w:spacing w:after="0" w:line="296" w:lineRule="auto"/>
        <w:tabs>
          <w:tab w:leader="none" w:pos="1251"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Surrender of Shares</w:t>
      </w:r>
      <w:r>
        <w:rPr>
          <w:rFonts w:ascii="Arial" w:cs="Arial" w:eastAsia="Arial" w:hAnsi="Arial"/>
          <w:sz w:val="16"/>
          <w:szCs w:val="16"/>
          <w:color w:val="auto"/>
        </w:rPr>
        <w:t>. To the extent that an Award Agreement so provides, all or any part of the Exercise Price or Purchase Price (as the case may be) may be paid by surrendering, or attesting to the ownership of, Shares that are already owned by the Participant. These Shares shall be surrendered to the Company in good form for transfer and shall be valued at their Fair Market Value on the date the Option is exercised or Restricted Shares are purchased. The Participant shall not surrender, or attest to the ownership of, Shares in payment of the Exercise Price or Purchase Price (as the case may be) if this action would subject the Company to adverse accounting consequences, as determined by the Administrator.</w:t>
      </w:r>
    </w:p>
    <w:p>
      <w:pPr>
        <w:spacing w:after="0" w:line="161" w:lineRule="exact"/>
        <w:rPr>
          <w:rFonts w:ascii="Arial" w:cs="Arial" w:eastAsia="Arial" w:hAnsi="Arial"/>
          <w:sz w:val="16"/>
          <w:szCs w:val="16"/>
          <w:color w:val="auto"/>
        </w:rPr>
      </w:pPr>
    </w:p>
    <w:p>
      <w:pPr>
        <w:ind w:left="-20" w:firstLine="877"/>
        <w:spacing w:after="0" w:line="263" w:lineRule="auto"/>
        <w:tabs>
          <w:tab w:leader="none" w:pos="124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At the discretion of the Administrator and to the extent so provided in the agreements evidencing Awards of Shares under the Plan, Shares may be awarded under the Plan in consideration of services rendered to the Company or any Parent or Subsidiary prior to the Award to the extent permitted by Applicable Law.</w:t>
      </w:r>
    </w:p>
    <w:p>
      <w:pPr>
        <w:spacing w:after="0" w:line="183" w:lineRule="exact"/>
        <w:rPr>
          <w:rFonts w:ascii="Arial" w:cs="Arial" w:eastAsia="Arial" w:hAnsi="Arial"/>
          <w:sz w:val="18"/>
          <w:szCs w:val="18"/>
          <w:color w:val="auto"/>
        </w:rPr>
      </w:pPr>
    </w:p>
    <w:p>
      <w:pPr>
        <w:ind w:left="-20" w:right="240" w:firstLine="877"/>
        <w:spacing w:after="0" w:line="273" w:lineRule="auto"/>
        <w:tabs>
          <w:tab w:leader="none" w:pos="1251"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Promissory Note</w:t>
      </w:r>
      <w:r>
        <w:rPr>
          <w:rFonts w:ascii="Arial" w:cs="Arial" w:eastAsia="Arial" w:hAnsi="Arial"/>
          <w:sz w:val="17"/>
          <w:szCs w:val="17"/>
          <w:color w:val="auto"/>
        </w:rPr>
        <w:t>. At the discretion of the Administrator and to the extent an Award Agreement so provides and is permitted by Applicable Laws, all or a portion of the Exercise Price or Purchase Price (as the case may be) may be paid with a promissory note in favor of the Company.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provisions of this Section 9(d), the Administrator (at its sole discretion) shall specify the term, interest rate, amortization requirements (if any), and other provisions of the promissory note.</w:t>
      </w:r>
    </w:p>
    <w:p>
      <w:pPr>
        <w:spacing w:after="0" w:line="177" w:lineRule="exact"/>
        <w:rPr>
          <w:rFonts w:ascii="Arial" w:cs="Arial" w:eastAsia="Arial" w:hAnsi="Arial"/>
          <w:sz w:val="17"/>
          <w:szCs w:val="17"/>
          <w:color w:val="auto"/>
        </w:rPr>
      </w:pPr>
    </w:p>
    <w:p>
      <w:pPr>
        <w:ind w:left="-20" w:right="60" w:firstLine="877"/>
        <w:spacing w:after="0" w:line="259" w:lineRule="auto"/>
        <w:tabs>
          <w:tab w:leader="none" w:pos="124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Exercise/Sale</w:t>
      </w:r>
      <w:r>
        <w:rPr>
          <w:rFonts w:ascii="Arial" w:cs="Arial" w:eastAsia="Arial" w:hAnsi="Arial"/>
          <w:sz w:val="18"/>
          <w:szCs w:val="18"/>
          <w:color w:val="auto"/>
        </w:rPr>
        <w:t>. At the discretion of the Administrator and to the extent an Award Agreement so provides, and if the Shares are publicly traded, payment may be made all or in part by the delivery (on a form and in a manner prescribed by the Company) of an irrevocable direction to a securities broker approved by the Company to sell Shares and to deliver all or part of the sales proceeds to the Company in payment of all or part of the Exercise Price and any tax withholding.</w:t>
      </w:r>
    </w:p>
    <w:p>
      <w:pPr>
        <w:spacing w:after="0" w:line="186" w:lineRule="exact"/>
        <w:rPr>
          <w:rFonts w:ascii="Arial" w:cs="Arial" w:eastAsia="Arial" w:hAnsi="Arial"/>
          <w:sz w:val="18"/>
          <w:szCs w:val="18"/>
          <w:color w:val="auto"/>
        </w:rPr>
      </w:pPr>
    </w:p>
    <w:p>
      <w:pPr>
        <w:ind w:left="-20" w:right="100" w:firstLine="877"/>
        <w:spacing w:after="0" w:line="259" w:lineRule="auto"/>
        <w:tabs>
          <w:tab w:leader="none" w:pos="122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Exercise/Pledge</w:t>
      </w:r>
      <w:r>
        <w:rPr>
          <w:rFonts w:ascii="Arial" w:cs="Arial" w:eastAsia="Arial" w:hAnsi="Arial"/>
          <w:sz w:val="18"/>
          <w:szCs w:val="18"/>
          <w:color w:val="auto"/>
        </w:rPr>
        <w:t>. At the discretion of the Administrator and to the extent an Award Agreement so provides, and if the Shares are publicly traded, payment may be made all or in part by the delivery (on a form and in a manner prescribed by the Company) of an irrevocable direction to pledge Shares to a securities broker or lender approved by the Company, as security for a loan, and to deliver all or part of the loan proceeds to the Company in payment of all or part of the Exercise Price and any tax withholding.</w:t>
      </w:r>
    </w:p>
    <w:p>
      <w:pPr>
        <w:spacing w:after="0" w:line="186" w:lineRule="exact"/>
        <w:rPr>
          <w:rFonts w:ascii="Arial" w:cs="Arial" w:eastAsia="Arial" w:hAnsi="Arial"/>
          <w:sz w:val="18"/>
          <w:szCs w:val="18"/>
          <w:color w:val="auto"/>
        </w:rPr>
      </w:pPr>
    </w:p>
    <w:p>
      <w:pPr>
        <w:jc w:val="both"/>
        <w:ind w:left="-20" w:right="20" w:firstLine="877"/>
        <w:spacing w:after="0" w:line="301" w:lineRule="auto"/>
        <w:tabs>
          <w:tab w:leader="none" w:pos="1251"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Net Exercise</w:t>
      </w:r>
      <w:r>
        <w:rPr>
          <w:rFonts w:ascii="Arial" w:cs="Arial" w:eastAsia="Arial" w:hAnsi="Arial"/>
          <w:sz w:val="16"/>
          <w:szCs w:val="16"/>
          <w:color w:val="auto"/>
        </w:rPr>
        <w:t>. At the discretion of the Administrator and to the extent an Award Agreement so provides, all or a portion of the Exercise Price or Purchase Price (as the case may be) may be paid by a net exercise arrangement pursuant to which the number of Shares issued upon exercise or purchase is reduced by the minimum whole number of Shares with a Fair Market Value sufficient to pay the aggregate Exercise Price or Purchase Price (as the case may be), pursuant to such terms and procedures as the Administrator in its sole discretion may specify.</w:t>
      </w:r>
    </w:p>
    <w:p>
      <w:pPr>
        <w:spacing w:after="0" w:line="157" w:lineRule="exact"/>
        <w:rPr>
          <w:rFonts w:ascii="Arial" w:cs="Arial" w:eastAsia="Arial" w:hAnsi="Arial"/>
          <w:sz w:val="16"/>
          <w:szCs w:val="16"/>
          <w:color w:val="auto"/>
        </w:rPr>
      </w:pPr>
    </w:p>
    <w:p>
      <w:pPr>
        <w:jc w:val="both"/>
        <w:ind w:left="-20" w:right="480" w:firstLine="877"/>
        <w:spacing w:after="0" w:line="263" w:lineRule="auto"/>
        <w:tabs>
          <w:tab w:leader="none" w:pos="125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Other Forms of Consideration</w:t>
      </w:r>
      <w:r>
        <w:rPr>
          <w:rFonts w:ascii="Arial" w:cs="Arial" w:eastAsia="Arial" w:hAnsi="Arial"/>
          <w:sz w:val="18"/>
          <w:szCs w:val="18"/>
          <w:color w:val="auto"/>
        </w:rPr>
        <w:t>. At the discretion of the Administrator and to the extent an Award Agreement so provides, all or a portion of the Exercise Price or Purchase Price may be paid by any other form of consideration and method of payment to the extent permitted by Applicable Law, or any combination of the foregoing methods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-2231390</wp:posOffset>
            </wp:positionV>
            <wp:extent cx="285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287" w:name="page288"/>
    <w:bookmarkEnd w:id="287"/>
    <w:p>
      <w:pPr>
        <w:ind w:left="840" w:hanging="404"/>
        <w:spacing w:after="0"/>
        <w:tabs>
          <w:tab w:leader="none" w:pos="8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Nontransferability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77"/>
        <w:spacing w:after="0" w:line="290" w:lineRule="auto"/>
        <w:tabs>
          <w:tab w:leader="none" w:pos="1261" w:val="left"/>
        </w:tabs>
        <w:numPr>
          <w:ilvl w:val="1"/>
          <w:numId w:val="239"/>
        </w:numPr>
        <w:rPr>
          <w:rFonts w:ascii="Arial" w:cs="Arial" w:eastAsia="Arial" w:hAnsi="Arial"/>
          <w:sz w:val="16"/>
          <w:szCs w:val="16"/>
          <w:color w:val="auto"/>
        </w:rPr>
      </w:pPr>
      <w:r>
        <w:rPr>
          <w:rFonts w:ascii="Arial" w:cs="Arial" w:eastAsia="Arial" w:hAnsi="Arial"/>
          <w:sz w:val="16"/>
          <w:szCs w:val="16"/>
          <w:color w:val="auto"/>
        </w:rPr>
        <w:t>Unless otherwise determined by the Administrator and so provided in the applicable Award Agreement (or be amended to provide), an Award may not be sold, pledged, assigned, hypothecated, transferred, or disposed of in any manner (whether by operation of law or otherwise) other than by will or applicable laws of descent and distribution or (except in the case of an Incentive Stock Option) pursuant to a domestic relations order, and shall not be subject to execution, attachment, or similar process, and each Award may be exercised, during the lifetime of the Participant, only by the Participant. In the event the Administrator in its sole discretion makes a Nonstatutory Stock Option or Restricted Share transferable, such Award will contain such additional terms and conditions as the Administrator deems appropriate. Upon any attempt to pledge, assign, hypothecate, transfer, or otherwise dispose of any Award or of any right or privilege conferred by this Plan contrary to the provisions hereof, or upon the sale, levy or attachment or similar process upon the rights and privileges conferred by this Plan, such Award shall thereupon terminate and become null and void.</w:t>
      </w:r>
    </w:p>
    <w:p>
      <w:pPr>
        <w:spacing w:after="0" w:line="165" w:lineRule="exact"/>
        <w:rPr>
          <w:rFonts w:ascii="Arial" w:cs="Arial" w:eastAsia="Arial" w:hAnsi="Arial"/>
          <w:sz w:val="16"/>
          <w:szCs w:val="16"/>
          <w:color w:val="auto"/>
        </w:rPr>
      </w:pPr>
    </w:p>
    <w:p>
      <w:pPr>
        <w:ind w:right="60" w:firstLine="877"/>
        <w:spacing w:after="0" w:line="253" w:lineRule="auto"/>
        <w:tabs>
          <w:tab w:leader="none" w:pos="127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96" w:lineRule="exact"/>
        <w:rPr>
          <w:rFonts w:ascii="Arial" w:cs="Arial" w:eastAsia="Arial" w:hAnsi="Arial"/>
          <w:sz w:val="18"/>
          <w:szCs w:val="18"/>
          <w:color w:val="auto"/>
        </w:rPr>
      </w:pPr>
    </w:p>
    <w:p>
      <w:pPr>
        <w:ind w:right="20" w:firstLine="436"/>
        <w:spacing w:after="0" w:line="259" w:lineRule="auto"/>
        <w:tabs>
          <w:tab w:leader="none" w:pos="83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Until the Shares actually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Award. No adjustment shall be made for a dividend or other right for which the record date is prior to the date the Shares are issued, except as provided in Section 12 of the Plan.</w:t>
      </w:r>
    </w:p>
    <w:p>
      <w:pPr>
        <w:spacing w:after="0" w:line="294" w:lineRule="exact"/>
        <w:rPr>
          <w:rFonts w:ascii="Arial" w:cs="Arial" w:eastAsia="Arial" w:hAnsi="Arial"/>
          <w:sz w:val="18"/>
          <w:szCs w:val="18"/>
          <w:color w:val="auto"/>
        </w:rPr>
      </w:pPr>
    </w:p>
    <w:p>
      <w:pPr>
        <w:ind w:left="840" w:hanging="404"/>
        <w:spacing w:after="0"/>
        <w:tabs>
          <w:tab w:leader="none" w:pos="8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877"/>
        <w:spacing w:after="0" w:line="259" w:lineRule="auto"/>
        <w:tabs>
          <w:tab w:leader="none" w:pos="1261"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change in the corporate structure of the Company affecting the Shares occurs, the Administrator, in order to prevent diminution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88" w:name="page289"/>
    <w:bookmarkEnd w:id="288"/>
    <w:p>
      <w:pPr>
        <w:ind w:left="4"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enlargement of the benefits or potential benefits intended to be made available under the Plan, shall adjust the number and class of Shares that may be delivered under the Plan and/or the number, class, and price of Shares covered by each outstanding Award.</w:t>
      </w:r>
    </w:p>
    <w:p>
      <w:pPr>
        <w:spacing w:after="0" w:line="170" w:lineRule="exact"/>
        <w:rPr>
          <w:sz w:val="20"/>
          <w:szCs w:val="20"/>
          <w:color w:val="auto"/>
        </w:rPr>
      </w:pPr>
    </w:p>
    <w:p>
      <w:pPr>
        <w:ind w:left="4" w:right="120" w:firstLine="877"/>
        <w:spacing w:after="0" w:line="263" w:lineRule="auto"/>
        <w:tabs>
          <w:tab w:leader="none" w:pos="1275"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3" w:lineRule="exact"/>
        <w:rPr>
          <w:rFonts w:ascii="Arial" w:cs="Arial" w:eastAsia="Arial" w:hAnsi="Arial"/>
          <w:sz w:val="18"/>
          <w:szCs w:val="18"/>
          <w:color w:val="auto"/>
        </w:rPr>
      </w:pPr>
    </w:p>
    <w:p>
      <w:pPr>
        <w:ind w:left="4" w:right="380" w:firstLine="877"/>
        <w:spacing w:after="0" w:line="291" w:lineRule="auto"/>
        <w:tabs>
          <w:tab w:leader="none" w:pos="1265"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or Change in Control, each outstanding Award will be treated as the Administrator determines (subject to the provisions of the proceeding paragraph) without a Participant’s consent, including, without limitation, that</w:t>
      </w:r>
    </w:p>
    <w:p>
      <w:pPr>
        <w:ind w:left="4" w:hanging="4"/>
        <w:spacing w:after="0" w:line="267" w:lineRule="auto"/>
        <w:tabs>
          <w:tab w:leader="none" w:pos="20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12(c), the Administrator will not be obligated to treat all Awards, all Awards held by a Participant, or all Awards of the same type, similarly.</w:t>
      </w:r>
    </w:p>
    <w:p>
      <w:pPr>
        <w:spacing w:after="0" w:line="184" w:lineRule="exact"/>
        <w:rPr>
          <w:sz w:val="20"/>
          <w:szCs w:val="20"/>
          <w:color w:val="auto"/>
        </w:rPr>
      </w:pPr>
    </w:p>
    <w:p>
      <w:pPr>
        <w:ind w:left="4" w:right="60" w:firstLine="881"/>
        <w:spacing w:after="0" w:line="254" w:lineRule="auto"/>
        <w:rPr>
          <w:sz w:val="20"/>
          <w:szCs w:val="20"/>
          <w:color w:val="auto"/>
        </w:rPr>
      </w:pPr>
      <w:r>
        <w:rPr>
          <w:rFonts w:ascii="Arial" w:cs="Arial" w:eastAsia="Arial" w:hAnsi="Arial"/>
          <w:sz w:val="18"/>
          <w:szCs w:val="18"/>
          <w:color w:val="auto"/>
        </w:rPr>
        <w:t>In the event that the successor corporation does not assume or substitute for an Award (or portion thereof), then the Participant will fully vest in and have the right to exercise the Award as to all of the Shares subject thereto, including Shares as to which it would not otherwise be vested or exercisable, and all restrictions on Restricted Shares will lapse, and, with respect to Awards with performance-based vesting, all performance goals or other vesting criteria will be deemed achieved at one hundred percent (100%) of target levels and all other terms and conditions met. In addition, if an Option is not assumed or substituted in the event of a merger or Change in Control, the Administrator will notify the Participant in writing or electronically that the Option will be exercisable for a period of time as determined by the Administrator, and the Option will terminate upon expiration of such period.</w:t>
      </w:r>
    </w:p>
    <w:p>
      <w:pPr>
        <w:spacing w:after="0" w:line="195" w:lineRule="exact"/>
        <w:rPr>
          <w:sz w:val="20"/>
          <w:szCs w:val="20"/>
          <w:color w:val="auto"/>
        </w:rPr>
      </w:pPr>
    </w:p>
    <w:p>
      <w:pPr>
        <w:ind w:left="4" w:right="60" w:firstLine="881"/>
        <w:spacing w:after="0" w:line="263" w:lineRule="auto"/>
        <w:rPr>
          <w:sz w:val="20"/>
          <w:szCs w:val="20"/>
          <w:color w:val="auto"/>
        </w:rPr>
      </w:pPr>
      <w:r>
        <w:rPr>
          <w:rFonts w:ascii="Arial" w:cs="Arial" w:eastAsia="Arial" w:hAnsi="Arial"/>
          <w:sz w:val="18"/>
          <w:szCs w:val="18"/>
          <w:color w:val="auto"/>
        </w:rPr>
        <w:t>For purposes of this Section 12(c), an Award shall be considered assumed if, following the merger or Change in Control, the Award confers the right to purchase or receive, for each Share subject to the Award immediately prior to the merger or Change in Control, the consideration (whether shares, cash, or other securities or property) received in the merger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89" w:name="page290"/>
    <w:bookmarkEnd w:id="28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 by holders of Shares for each Share held on the effective date of the transaction (and if holders were offered a choice of consideration, the type of consideration chosen by the holders of a majority of the outstanding Shares); provided, however, that if the consideration received in the merger or Change in Control is not solely common stock or shares of the successor corporation or its Parent, the Administrator may, with the consent of the successor corporation, provide for the consideration to be received upon the exercise of the Option or vesting of the Restricted Shares, for each Share subject to the Award, to be solely common stock or shares of the successor corporation or its Parent equal in fair market value to the per share consideration received by holders of Shares in the merger or Change in Control.</w:t>
      </w:r>
    </w:p>
    <w:p>
      <w:pPr>
        <w:spacing w:after="0" w:line="178" w:lineRule="exact"/>
        <w:rPr>
          <w:sz w:val="20"/>
          <w:szCs w:val="20"/>
          <w:color w:val="auto"/>
        </w:rPr>
      </w:pPr>
    </w:p>
    <w:p>
      <w:pPr>
        <w:ind w:firstLine="877"/>
        <w:spacing w:after="0" w:line="272" w:lineRule="auto"/>
        <w:tabs>
          <w:tab w:leader="none" w:pos="1271"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Reservation of Rights</w:t>
      </w:r>
      <w:r>
        <w:rPr>
          <w:rFonts w:ascii="Arial" w:cs="Arial" w:eastAsia="Arial" w:hAnsi="Arial"/>
          <w:sz w:val="17"/>
          <w:szCs w:val="17"/>
          <w:color w:val="auto"/>
        </w:rPr>
        <w:t>. Except as provided in this Section 12 and in the applicable Award Agreement, a Participant shall have no rights by reason of (i) any subdivision or consolidation of Shares or other securities of any class, (ii) the payment of any dividend, or (iii) any other increase or decrease in the number of Shares or other securities of any class. Any issuance by the Company of equity securities of any class, or securities convertible into equity securities of any class, shall not affect, and no adjustment by reason thereof shall be made with respect to, the number or Exercise Price or Purchase Price of Shares subject to an Award. The grant of an Option or Restricted Share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85" w:lineRule="exact"/>
        <w:rPr>
          <w:rFonts w:ascii="Arial" w:cs="Arial" w:eastAsia="Arial" w:hAnsi="Arial"/>
          <w:sz w:val="17"/>
          <w:szCs w:val="17"/>
          <w:color w:val="auto"/>
        </w:rPr>
      </w:pPr>
    </w:p>
    <w:p>
      <w:pPr>
        <w:ind w:left="840" w:hanging="404"/>
        <w:spacing w:after="0"/>
        <w:tabs>
          <w:tab w:leader="none" w:pos="8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hanging="383"/>
        <w:spacing w:after="0"/>
        <w:tabs>
          <w:tab w:leader="none" w:pos="126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Unless the Administrator provides otherwise, vesting of Awards granted hereunder will be suspended during any unpaid leave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absence.</w:t>
      </w:r>
    </w:p>
    <w:p>
      <w:pPr>
        <w:spacing w:after="0" w:line="210" w:lineRule="exact"/>
        <w:rPr>
          <w:rFonts w:ascii="Arial" w:cs="Arial" w:eastAsia="Arial" w:hAnsi="Arial"/>
          <w:sz w:val="17"/>
          <w:szCs w:val="17"/>
          <w:color w:val="auto"/>
        </w:rPr>
      </w:pPr>
    </w:p>
    <w:p>
      <w:pPr>
        <w:ind w:right="420" w:firstLine="877"/>
        <w:spacing w:after="0" w:line="308" w:lineRule="auto"/>
        <w:tabs>
          <w:tab w:leader="none" w:pos="1261"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 Participant will not cease to be an Employee in the case of (i) any leave of absence approved by the Company, its Parent or any Subsidiary or (ii) transfers between locations of the Company or between the Company, its Parent, any Subsidiary, or any successor.</w:t>
      </w:r>
    </w:p>
    <w:p>
      <w:pPr>
        <w:spacing w:after="0" w:line="146" w:lineRule="exact"/>
        <w:rPr>
          <w:rFonts w:ascii="Arial" w:cs="Arial" w:eastAsia="Arial" w:hAnsi="Arial"/>
          <w:sz w:val="17"/>
          <w:szCs w:val="17"/>
          <w:color w:val="auto"/>
        </w:rPr>
      </w:pPr>
    </w:p>
    <w:p>
      <w:pPr>
        <w:jc w:val="both"/>
        <w:ind w:right="220" w:firstLine="877"/>
        <w:spacing w:after="0" w:line="259" w:lineRule="auto"/>
        <w:tabs>
          <w:tab w:leader="none" w:pos="126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186" w:lineRule="exact"/>
        <w:rPr>
          <w:rFonts w:ascii="Arial" w:cs="Arial" w:eastAsia="Arial" w:hAnsi="Arial"/>
          <w:sz w:val="18"/>
          <w:szCs w:val="18"/>
          <w:color w:val="auto"/>
        </w:rPr>
      </w:pPr>
    </w:p>
    <w:p>
      <w:pPr>
        <w:ind w:right="140" w:firstLine="436"/>
        <w:spacing w:after="0" w:line="263" w:lineRule="auto"/>
        <w:tabs>
          <w:tab w:leader="none" w:pos="845"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shall, for all purposes, be the date on which the Administrator makes the determination to grant the Award, or such other later date as is determined by the Administrator; provided, however, that the Date of Grant of an Incentive Stock Option shall be no earlier than the date on which the individual becomes an Employee.</w:t>
      </w:r>
    </w:p>
    <w:p>
      <w:pPr>
        <w:spacing w:after="0" w:line="291" w:lineRule="exact"/>
        <w:rPr>
          <w:rFonts w:ascii="Arial" w:cs="Arial" w:eastAsia="Arial" w:hAnsi="Arial"/>
          <w:sz w:val="18"/>
          <w:szCs w:val="18"/>
          <w:color w:val="auto"/>
        </w:rPr>
      </w:pPr>
    </w:p>
    <w:p>
      <w:pPr>
        <w:ind w:left="840" w:hanging="404"/>
        <w:spacing w:after="0"/>
        <w:tabs>
          <w:tab w:leader="none" w:pos="8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877"/>
        <w:spacing w:after="0" w:line="342" w:lineRule="auto"/>
        <w:tabs>
          <w:tab w:leader="none" w:pos="1261"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Notwithstanding any other provision of the Plan or any agreement entered into by the Company pursuant to the Plan, the Company shall not be obligated, and shall have no liability for failure to deliver any Shares under the Plan unless the issuance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90" w:name="page291"/>
    <w:bookmarkEnd w:id="290"/>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Shares comply with (or are exempt from) all Applicable Laws, including, without limitation, the Securities Act, U.S. state securities laws and regulations, the laws and regulations of the People’s Republic of China, and the regulations of any stock exchange or other securities market on which the Company’s securities may then be traded, and shall be further subject to the approval of counsel for the Company with respect to such compliance.</w:t>
      </w:r>
    </w:p>
    <w:p>
      <w:pPr>
        <w:spacing w:after="0" w:line="149" w:lineRule="exact"/>
        <w:rPr>
          <w:sz w:val="20"/>
          <w:szCs w:val="20"/>
          <w:color w:val="auto"/>
        </w:rPr>
      </w:pPr>
    </w:p>
    <w:p>
      <w:pPr>
        <w:ind w:right="120" w:firstLine="877"/>
        <w:spacing w:after="0" w:line="257" w:lineRule="auto"/>
        <w:tabs>
          <w:tab w:leader="none" w:pos="127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Shares delivered under the Plan shall be subject to transfer restrictions, and the person acquiring the Shares shall, as a condition to the exercise of an Option or the purchase of Restricted Shares if requested by the Company, provide such assurances and representations to the Company as the Company may deem necessary or desirable to assure compliance with Applicable Law, including, without limitation, the representation and warranty at the time of acquisition of Shares that the Shares are being acquired only for investment purposes and without any present intention to sell, transfer, or distribute the Shares.</w:t>
      </w:r>
    </w:p>
    <w:p>
      <w:pPr>
        <w:spacing w:after="0" w:line="187" w:lineRule="exact"/>
        <w:rPr>
          <w:rFonts w:ascii="Arial" w:cs="Arial" w:eastAsia="Arial" w:hAnsi="Arial"/>
          <w:sz w:val="18"/>
          <w:szCs w:val="18"/>
          <w:color w:val="auto"/>
        </w:rPr>
      </w:pPr>
    </w:p>
    <w:p>
      <w:pPr>
        <w:ind w:right="20" w:firstLine="877"/>
        <w:spacing w:after="0" w:line="268" w:lineRule="auto"/>
        <w:tabs>
          <w:tab w:leader="none" w:pos="1261" w:val="left"/>
        </w:tabs>
        <w:numPr>
          <w:ilvl w:val="1"/>
          <w:numId w:val="244"/>
        </w:numPr>
        <w:rPr>
          <w:rFonts w:ascii="Arial" w:cs="Arial" w:eastAsia="Arial" w:hAnsi="Arial"/>
          <w:sz w:val="17"/>
          <w:szCs w:val="17"/>
          <w:color w:val="auto"/>
        </w:rPr>
      </w:pPr>
      <w:r>
        <w:rPr>
          <w:rFonts w:ascii="Arial" w:cs="Arial" w:eastAsia="Arial" w:hAnsi="Arial"/>
          <w:sz w:val="17"/>
          <w:szCs w:val="17"/>
          <w:u w:val="single" w:color="auto"/>
          <w:color w:val="auto"/>
        </w:rPr>
        <w:t>Regulation S Transfer Restrictions</w:t>
      </w:r>
      <w:r>
        <w:rPr>
          <w:rFonts w:ascii="Arial" w:cs="Arial" w:eastAsia="Arial" w:hAnsi="Arial"/>
          <w:sz w:val="17"/>
          <w:szCs w:val="17"/>
          <w:color w:val="auto"/>
        </w:rPr>
        <w:t>. Any Shares issued pursuant to a Reg. S Restricted Share or the exercise of a Reg. S Option shall not be offered or sold in an unregistered transaction to a U.S. Person or for the account or benefit of a U.S. Person prior to the expiration of the first anniversary (or the six-month anniversary if the Company is a “reporting issuer,” as defined in Rule 902 under the Securities Act) of the date on which the Shares underlying the Reg. S Restricted Share or Reg. S Option are issued by the Company (the “</w:t>
      </w:r>
      <w:r>
        <w:rPr>
          <w:rFonts w:ascii="Arial" w:cs="Arial" w:eastAsia="Arial" w:hAnsi="Arial"/>
          <w:sz w:val="17"/>
          <w:szCs w:val="17"/>
          <w:u w:val="single" w:color="auto"/>
          <w:color w:val="auto"/>
        </w:rPr>
        <w:t>Regulation S Compliance Period</w:t>
      </w:r>
      <w:r>
        <w:rPr>
          <w:rFonts w:ascii="Arial" w:cs="Arial" w:eastAsia="Arial" w:hAnsi="Arial"/>
          <w:sz w:val="17"/>
          <w:szCs w:val="17"/>
          <w:color w:val="auto"/>
        </w:rPr>
        <w:t>”). Any Shares offered or sold pursuant to a Reg. S Restricted Share or the exercise of a Reg. S Option prior to the expiration of the Regulation S Compliance Period may be offered or sold only if permitted by the Administrator in accordance with the following conditions: (i) the purchaser of Shares issued pursuant to a Reg. S Restricted Share or the exercise of a Reg. S Option certifies that it is not a U.S. Person and is not acquiring the Shares for the account or benefit of any U.S. Person or is a U.S. Person who is purchasing the Shares in a transaction that does not require registration under the Securities Act; (ii) the purchaser of the Shares issued pursuant to a Reg. S Restricted Share or the exercise of a Reg. S Option agrees to resell such Shares only in accordance with the provisions of Regulation S promulgated under the Securities Act, pursuant to registration under the Securities Act, or pursuant to an available exemption from registration; and agrees not to engage in hedging transactions with regard to such Shares unless in compliance with the Securities Act; and (iii) the certificate evidencing the Shares shall contain restrictive legends to a similar effect as set forth in (ii). The restrictions described in this Section 15(c) shall be set forth in the applicable Award Agreement and shall apply in addition to any restrictions that may apply to holders of Shares generally.</w:t>
      </w:r>
    </w:p>
    <w:p>
      <w:pPr>
        <w:spacing w:after="0" w:line="184" w:lineRule="exact"/>
        <w:rPr>
          <w:rFonts w:ascii="Arial" w:cs="Arial" w:eastAsia="Arial" w:hAnsi="Arial"/>
          <w:sz w:val="17"/>
          <w:szCs w:val="17"/>
          <w:color w:val="auto"/>
        </w:rPr>
      </w:pPr>
    </w:p>
    <w:p>
      <w:pPr>
        <w:ind w:right="120" w:firstLine="436"/>
        <w:spacing w:after="0" w:line="272" w:lineRule="auto"/>
        <w:tabs>
          <w:tab w:leader="none" w:pos="845"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a Parent or a Subsidiary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In addition, the inability of a Participant who is a resident of the People’s Republic of China to obtain authority (including approval and registration) from relevant regulatory bodies of the People’s Republic of China, which authority is deemed by the Company’s counsel to be necessary to the lawful issuance and sale of any Shares hereunder, shall relieve the Company, any Parent and any Subsidiary of any liability in respect of the failure to issue or sell such Shares as to which such requisite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6499860</wp:posOffset>
            </wp:positionH>
            <wp:positionV relativeFrom="paragraph">
              <wp:posOffset>-2372360</wp:posOffset>
            </wp:positionV>
            <wp:extent cx="285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1" w:name="page292"/>
    <w:bookmarkEnd w:id="291"/>
    <w:p>
      <w:pPr>
        <w:ind w:left="4"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have been obtained, and if the inability is revealed or occurs after such Shares have been issued or sold by the Company, the inability shall entitle the Company to redeem or request the Participant to transfer the Shares so issued on such terms as the Administrator determines, subject to Applicable Law. The Company, any Parent and any Subsidiary shall be relieved from any liability for the redemption and the request for transfer.</w:t>
      </w:r>
    </w:p>
    <w:p>
      <w:pPr>
        <w:spacing w:after="0" w:line="149" w:lineRule="exact"/>
        <w:rPr>
          <w:sz w:val="20"/>
          <w:szCs w:val="20"/>
          <w:color w:val="auto"/>
        </w:rPr>
      </w:pPr>
    </w:p>
    <w:p>
      <w:pPr>
        <w:ind w:left="4" w:right="200" w:firstLine="436"/>
        <w:spacing w:after="0" w:line="259" w:lineRule="auto"/>
        <w:tabs>
          <w:tab w:leader="none" w:pos="849"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Approval by Stockholders</w:t>
      </w:r>
      <w:r>
        <w:rPr>
          <w:rFonts w:ascii="Arial" w:cs="Arial" w:eastAsia="Arial" w:hAnsi="Arial"/>
          <w:sz w:val="18"/>
          <w:szCs w:val="18"/>
          <w:color w:val="auto"/>
        </w:rPr>
        <w:t>. The Plan shall be subject to approval by the Stockholders of the Company within twelve (12) months before or after the date the Plan is adopted by the Board. Such approval by Stockholders of the Company shall be obtained in the degree and manner required under Applicable Law. Awards may be granted but Options may not be exercised and Restricted Shares may not be purchased prior to approval of the Plan by Stockholders of the Company.</w:t>
      </w:r>
    </w:p>
    <w:p>
      <w:pPr>
        <w:spacing w:after="0" w:line="294" w:lineRule="exact"/>
        <w:rPr>
          <w:rFonts w:ascii="Arial" w:cs="Arial" w:eastAsia="Arial" w:hAnsi="Arial"/>
          <w:sz w:val="18"/>
          <w:szCs w:val="18"/>
          <w:color w:val="auto"/>
        </w:rPr>
      </w:pPr>
    </w:p>
    <w:p>
      <w:pPr>
        <w:ind w:left="844" w:hanging="404"/>
        <w:spacing w:after="0"/>
        <w:tabs>
          <w:tab w:leader="none" w:pos="84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Duration and Amendment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877"/>
        <w:spacing w:after="0" w:line="285" w:lineRule="auto"/>
        <w:tabs>
          <w:tab w:leader="none" w:pos="1265" w:val="left"/>
        </w:tabs>
        <w:numPr>
          <w:ilvl w:val="2"/>
          <w:numId w:val="246"/>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approval by Stockholders of the Company in accordance with Section 17 hereof, the Plan shall become effective upon the earlier to occur of its adoption by the Board or its approval by the Stockholders of the Company as described in Section 17 hereof. In the event that the Stockholders of the Company fail to approve the Plan within twelve (12) months prior to or after its adoption by the Board, any Awards that have been granted and any Shares that have been awarded or purchased under the Plan shall be rescinded, and no additional Awards shall be granted thereafter. Unless sooner terminated under Section 18(b) hereof, the Plan shall continue in effect for a term of ten (10) years from the later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4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effective date of the Plan, or (b) the earlier of the most recent Board or Stockholder approval of an increase in the number of Shares reserved for issuance under the Plan.</w:t>
      </w:r>
    </w:p>
    <w:p>
      <w:pPr>
        <w:spacing w:after="0" w:line="185" w:lineRule="exact"/>
        <w:rPr>
          <w:rFonts w:ascii="Arial" w:cs="Arial" w:eastAsia="Arial" w:hAnsi="Arial"/>
          <w:sz w:val="18"/>
          <w:szCs w:val="18"/>
          <w:color w:val="auto"/>
        </w:rPr>
      </w:pPr>
    </w:p>
    <w:p>
      <w:pPr>
        <w:ind w:left="1264" w:hanging="383"/>
        <w:spacing w:after="0"/>
        <w:tabs>
          <w:tab w:leader="none" w:pos="1264" w:val="left"/>
        </w:tabs>
        <w:numPr>
          <w:ilvl w:val="2"/>
          <w:numId w:val="24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left="4" w:firstLine="877"/>
        <w:spacing w:after="0" w:line="277" w:lineRule="auto"/>
        <w:tabs>
          <w:tab w:leader="none" w:pos="1265" w:val="left"/>
        </w:tabs>
        <w:numPr>
          <w:ilvl w:val="2"/>
          <w:numId w:val="247"/>
        </w:numPr>
        <w:rPr>
          <w:rFonts w:ascii="Arial" w:cs="Arial" w:eastAsia="Arial" w:hAnsi="Arial"/>
          <w:sz w:val="18"/>
          <w:szCs w:val="18"/>
          <w:color w:val="auto"/>
        </w:rPr>
      </w:pPr>
      <w:r>
        <w:rPr>
          <w:rFonts w:ascii="Arial" w:cs="Arial" w:eastAsia="Arial" w:hAnsi="Arial"/>
          <w:sz w:val="18"/>
          <w:szCs w:val="18"/>
          <w:u w:val="single" w:color="auto"/>
          <w:color w:val="auto"/>
        </w:rPr>
        <w:t>Approval by Stockholders</w:t>
      </w:r>
      <w:r>
        <w:rPr>
          <w:rFonts w:ascii="Arial" w:cs="Arial" w:eastAsia="Arial" w:hAnsi="Arial"/>
          <w:sz w:val="18"/>
          <w:szCs w:val="18"/>
          <w:color w:val="auto"/>
        </w:rPr>
        <w:t>. The Administrator shall obtain approval of the Stockholders of any Plan amendment to the extent necessary or desirable to comply with Applicable Law.</w:t>
      </w:r>
    </w:p>
    <w:p>
      <w:pPr>
        <w:spacing w:after="0" w:line="170" w:lineRule="exact"/>
        <w:rPr>
          <w:rFonts w:ascii="Arial" w:cs="Arial" w:eastAsia="Arial" w:hAnsi="Arial"/>
          <w:sz w:val="18"/>
          <w:szCs w:val="18"/>
          <w:color w:val="auto"/>
        </w:rPr>
      </w:pPr>
    </w:p>
    <w:p>
      <w:pPr>
        <w:ind w:left="4" w:firstLine="877"/>
        <w:spacing w:after="0" w:line="255" w:lineRule="auto"/>
        <w:tabs>
          <w:tab w:leader="none" w:pos="1275" w:val="left"/>
        </w:tabs>
        <w:numPr>
          <w:ilvl w:val="2"/>
          <w:numId w:val="247"/>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materially and adversely impair the rights of any Participant with respect to an outstanding Award,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No Shares shall be issued or sold under the Plan after the termination thereof, except upon exercise of an Award granted prior to the termination of the Plan.</w:t>
      </w:r>
    </w:p>
    <w:p>
      <w:pPr>
        <w:spacing w:after="0" w:line="192" w:lineRule="exact"/>
        <w:rPr>
          <w:rFonts w:ascii="Arial" w:cs="Arial" w:eastAsia="Arial" w:hAnsi="Arial"/>
          <w:sz w:val="18"/>
          <w:szCs w:val="18"/>
          <w:color w:val="auto"/>
        </w:rPr>
      </w:pPr>
    </w:p>
    <w:p>
      <w:pPr>
        <w:ind w:left="4" w:firstLine="436"/>
        <w:spacing w:after="0" w:line="301" w:lineRule="auto"/>
        <w:tabs>
          <w:tab w:leader="none" w:pos="849"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Legending Share Certificates</w:t>
      </w:r>
      <w:r>
        <w:rPr>
          <w:rFonts w:ascii="Arial" w:cs="Arial" w:eastAsia="Arial" w:hAnsi="Arial"/>
          <w:sz w:val="16"/>
          <w:szCs w:val="16"/>
          <w:color w:val="auto"/>
        </w:rPr>
        <w:t>. In order to enforce any restrictions imposed upon Shares issued upon the exercise of Options or the acquisition of Restricted Shares, including, without limitations, the restrictions described in Sections 6(j), 7(e), and 15(c) hereof, the Administrator may cause a legend or legends to be placed on any share certificates representing the Shares, which legend or legends shall make appropriate reference to the restrictions, including, without limitation, a restriction against sale of the Shares for any period as may be required by Applicable Law.</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92" w:name="page293"/>
    <w:bookmarkEnd w:id="292"/>
    <w:p>
      <w:pPr>
        <w:ind w:left="4" w:right="160" w:firstLine="436"/>
        <w:spacing w:after="0" w:line="259" w:lineRule="auto"/>
        <w:tabs>
          <w:tab w:leader="none" w:pos="849"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Retention Rights</w:t>
      </w:r>
      <w:r>
        <w:rPr>
          <w:rFonts w:ascii="Arial" w:cs="Arial" w:eastAsia="Arial" w:hAnsi="Arial"/>
          <w:sz w:val="18"/>
          <w:szCs w:val="18"/>
          <w:color w:val="auto"/>
        </w:rPr>
        <w:t>. Neither the Plan nor any Award shall confer upon any Participant any right to continue his or her relationship as a Service Provider with the Company for any period of specific duration or interfere in any way with his or her right or the right of the Company (or any Parent or Subsidiary employing or retaining the Participant), which rights are hereby expressly reserved by each, to terminate this relationship at any time, with or without cause, and with or without notice.</w:t>
      </w:r>
    </w:p>
    <w:p>
      <w:pPr>
        <w:spacing w:after="0" w:line="186" w:lineRule="exact"/>
        <w:rPr>
          <w:rFonts w:ascii="Arial" w:cs="Arial" w:eastAsia="Arial" w:hAnsi="Arial"/>
          <w:sz w:val="18"/>
          <w:szCs w:val="18"/>
          <w:color w:val="auto"/>
        </w:rPr>
      </w:pPr>
    </w:p>
    <w:p>
      <w:pPr>
        <w:ind w:left="4" w:right="40" w:firstLine="436"/>
        <w:spacing w:after="0" w:line="259" w:lineRule="auto"/>
        <w:tabs>
          <w:tab w:leader="none" w:pos="849"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Parent or Subsidiary and a Participant or any other person. To the extent that any Participant acquires a right to receive payments from the Company or any Parent or Subsidiary pursuant to an Award, such right shall be no greater than the right of any unsecured general creditor of the Company, a Parent, or any Subsidiary.</w:t>
      </w:r>
    </w:p>
    <w:p>
      <w:pPr>
        <w:spacing w:after="0" w:line="186" w:lineRule="exact"/>
        <w:rPr>
          <w:rFonts w:ascii="Arial" w:cs="Arial" w:eastAsia="Arial" w:hAnsi="Arial"/>
          <w:sz w:val="18"/>
          <w:szCs w:val="18"/>
          <w:color w:val="auto"/>
        </w:rPr>
      </w:pPr>
    </w:p>
    <w:p>
      <w:pPr>
        <w:ind w:left="4" w:right="20" w:firstLine="436"/>
        <w:spacing w:after="0" w:line="286" w:lineRule="auto"/>
        <w:tabs>
          <w:tab w:leader="none" w:pos="849"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No Rights to Awards</w:t>
      </w:r>
      <w:r>
        <w:rPr>
          <w:rFonts w:ascii="Arial" w:cs="Arial" w:eastAsia="Arial" w:hAnsi="Arial"/>
          <w:sz w:val="17"/>
          <w:szCs w:val="17"/>
          <w:color w:val="auto"/>
        </w:rPr>
        <w:t>. No Participant, eligible Service Provider, or other person shall have any claim to be granted any Award under the Plan, and there is no obligation for uniformity of treatment of Service Providers, Participants, or holders or beneficiaries of Awards under the Plan. The terms and conditions of Awards need not be the same with respect to any Participant or with respect to different Participants.</w:t>
      </w:r>
    </w:p>
    <w:p>
      <w:pPr>
        <w:spacing w:after="0" w:line="165" w:lineRule="exact"/>
        <w:rPr>
          <w:rFonts w:ascii="Arial" w:cs="Arial" w:eastAsia="Arial" w:hAnsi="Arial"/>
          <w:sz w:val="17"/>
          <w:szCs w:val="17"/>
          <w:color w:val="auto"/>
        </w:rPr>
      </w:pPr>
    </w:p>
    <w:p>
      <w:pPr>
        <w:ind w:left="844" w:hanging="404"/>
        <w:spacing w:after="0"/>
        <w:tabs>
          <w:tab w:leader="none" w:pos="844"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Information to Participants</w:t>
      </w:r>
      <w:r>
        <w:rPr>
          <w:rFonts w:ascii="Arial" w:cs="Arial" w:eastAsia="Arial" w:hAnsi="Arial"/>
          <w:sz w:val="16"/>
          <w:szCs w:val="16"/>
          <w:color w:val="auto"/>
        </w:rPr>
        <w:t>. Beginning on the earlier of (i) the date that the aggregate number of Participants under this Plan is five hundred</w:t>
      </w:r>
    </w:p>
    <w:p>
      <w:pPr>
        <w:spacing w:after="0" w:line="46" w:lineRule="exact"/>
        <w:rPr>
          <w:rFonts w:ascii="Arial" w:cs="Arial" w:eastAsia="Arial" w:hAnsi="Arial"/>
          <w:sz w:val="16"/>
          <w:szCs w:val="16"/>
          <w:color w:val="auto"/>
        </w:rPr>
      </w:pPr>
    </w:p>
    <w:p>
      <w:pPr>
        <w:ind w:left="4" w:hanging="4"/>
        <w:spacing w:after="0" w:line="281" w:lineRule="auto"/>
        <w:tabs>
          <w:tab w:leader="none" w:pos="43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2" w:lineRule="exact"/>
        <w:rPr>
          <w:rFonts w:ascii="Arial" w:cs="Arial" w:eastAsia="Arial" w:hAnsi="Arial"/>
          <w:sz w:val="16"/>
          <w:szCs w:val="16"/>
          <w:color w:val="auto"/>
        </w:rPr>
      </w:pPr>
    </w:p>
    <w:p>
      <w:pPr>
        <w:ind w:left="4" w:right="60" w:hanging="4"/>
        <w:spacing w:after="0" w:line="252" w:lineRule="auto"/>
        <w:tabs>
          <w:tab w:leader="none" w:pos="25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93" w:name="page294"/>
    <w:bookmarkEnd w:id="29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CALIFORNIA AWARD TERMS AND CONDITIONS</w:t>
      </w:r>
    </w:p>
    <w:p>
      <w:pPr>
        <w:spacing w:after="0" w:line="229"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This Exhibit A to the Zoom Video Communications, Inc. Second Amended and Restated 2011 Global Share Plan will apply only to Participants who are residents of the State of California and who are receiving an Award under the Plan. Capitalized terms contained herein will have the same meanings given to them in the Plan, unless otherwise provided by this Exhibit A. Notwithstanding any provisions contained in the Plan to the contrary and to the extent required by Applicable Laws, the following terms will apply to all Awards granted to residents of the State of California, until such time as the Administrator amends this Exhibit A or the Administrator otherwise provides. This Exhibit A will be deemed to be part of the Plan and the Administrator will have the authority to amend this Exhibit A in accordance with Section 18 of the Plan.</w:t>
      </w:r>
    </w:p>
    <w:p>
      <w:pPr>
        <w:spacing w:after="0" w:line="83" w:lineRule="exact"/>
        <w:rPr>
          <w:sz w:val="20"/>
          <w:szCs w:val="20"/>
          <w:color w:val="auto"/>
        </w:rPr>
      </w:pPr>
    </w:p>
    <w:p>
      <w:pPr>
        <w:ind w:left="424" w:right="20" w:hanging="424"/>
        <w:spacing w:after="0" w:line="263"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Reg. S Options and Reg. S Restricted Shares may be granted only to Service Providers that are not U.S. Persons. Nonstatutory Stock Options that are not designated as Reg. S Options and Restricted Shares that are not designated as Reg. S Restricted Shares may be granted only to Service Providers. Incentive Stock Options may be granted only to Employees.</w:t>
      </w:r>
    </w:p>
    <w:p>
      <w:pPr>
        <w:spacing w:after="0" w:line="89" w:lineRule="exact"/>
        <w:rPr>
          <w:rFonts w:ascii="Arial" w:cs="Arial" w:eastAsia="Arial" w:hAnsi="Arial"/>
          <w:sz w:val="18"/>
          <w:szCs w:val="18"/>
          <w:color w:val="auto"/>
        </w:rPr>
      </w:pPr>
    </w:p>
    <w:p>
      <w:pPr>
        <w:ind w:left="424" w:right="76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stated in the Award Agreement, provided, however, that the term will be no more than ten (10) years from the date of grant thereof.</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117" w:lineRule="exact"/>
        <w:rPr>
          <w:sz w:val="20"/>
          <w:szCs w:val="20"/>
          <w:color w:val="auto"/>
        </w:rPr>
      </w:pPr>
    </w:p>
    <w:p>
      <w:pPr>
        <w:ind w:left="444" w:right="20" w:hanging="4"/>
        <w:spacing w:after="0" w:line="263" w:lineRule="auto"/>
        <w:tabs>
          <w:tab w:leader="none" w:pos="8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a Participant ceases to be a Service Provider, such Participant may exercise his or her Option within thirty (30) days of termination, or such longer period of time as specified in the Award Agreement, to the extent that the Option is vested on the date of termination (but in no event later than the expiration date determined by Section 6(e) of the Plan).</w:t>
      </w:r>
    </w:p>
    <w:p>
      <w:pPr>
        <w:spacing w:after="0" w:line="75" w:lineRule="exact"/>
        <w:rPr>
          <w:rFonts w:ascii="Arial" w:cs="Arial" w:eastAsia="Arial" w:hAnsi="Arial"/>
          <w:sz w:val="18"/>
          <w:szCs w:val="18"/>
          <w:color w:val="auto"/>
        </w:rPr>
      </w:pPr>
    </w:p>
    <w:p>
      <w:pPr>
        <w:ind w:left="444" w:right="40" w:hanging="4"/>
        <w:spacing w:after="0" w:line="263" w:lineRule="auto"/>
        <w:tabs>
          <w:tab w:leader="none" w:pos="83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a Participant ceases to be a Service Provider as a result of the Participant’s Disability, the Participant may exercise his or her Option within six (6) months of termination, or such longer period of time as specified in the Award Agreement, to the extent the Option is vested on the date of termination (but in no event later than the expiration date determined by Section 6(e) of the Plan).</w:t>
      </w:r>
    </w:p>
    <w:p>
      <w:pPr>
        <w:spacing w:after="0" w:line="75" w:lineRule="exact"/>
        <w:rPr>
          <w:rFonts w:ascii="Arial" w:cs="Arial" w:eastAsia="Arial" w:hAnsi="Arial"/>
          <w:sz w:val="18"/>
          <w:szCs w:val="18"/>
          <w:color w:val="auto"/>
        </w:rPr>
      </w:pPr>
    </w:p>
    <w:p>
      <w:pPr>
        <w:ind w:left="444" w:hanging="4"/>
        <w:spacing w:after="0" w:line="263" w:lineRule="auto"/>
        <w:tabs>
          <w:tab w:leader="none" w:pos="8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a Participant dies while a Service Provider, the Option may be exercised within six (6) months following Participant’s death, or such longer period of time as specified in the Award Agreement, to the extent that the Option is vested on the date of death (but in no event later than the expiration date determined by Section 6(e) of the Plan).</w:t>
      </w:r>
    </w:p>
    <w:p>
      <w:pPr>
        <w:spacing w:after="0" w:line="89" w:lineRule="exact"/>
        <w:rPr>
          <w:rFonts w:ascii="Arial" w:cs="Arial" w:eastAsia="Arial" w:hAnsi="Arial"/>
          <w:sz w:val="18"/>
          <w:szCs w:val="18"/>
          <w:color w:val="auto"/>
        </w:rPr>
      </w:pPr>
    </w:p>
    <w:p>
      <w:pPr>
        <w:ind w:left="424" w:right="180" w:hanging="424"/>
        <w:spacing w:after="0" w:line="287" w:lineRule="auto"/>
        <w:tabs>
          <w:tab w:leader="none" w:pos="424"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w:t>
      </w:r>
    </w:p>
    <w:p>
      <w:pPr>
        <w:spacing w:after="0" w:line="2" w:lineRule="exact"/>
        <w:rPr>
          <w:rFonts w:ascii="Arial" w:cs="Arial" w:eastAsia="Arial" w:hAnsi="Arial"/>
          <w:sz w:val="16"/>
          <w:szCs w:val="16"/>
          <w:color w:val="auto"/>
        </w:rPr>
      </w:pPr>
    </w:p>
    <w:p>
      <w:pPr>
        <w:ind w:left="704" w:hanging="272"/>
        <w:spacing w:after="0"/>
        <w:tabs>
          <w:tab w:leader="none" w:pos="70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by the laws of descent and distribution, (iii) or as permitted by Rule 701 of the Securities Act.</w:t>
      </w:r>
    </w:p>
    <w:p>
      <w:pPr>
        <w:sectPr>
          <w:pgSz w:w="11900" w:h="16838" w:orient="portrait"/>
          <w:cols w:equalWidth="0" w:num="1">
            <w:col w:w="11024"/>
          </w:cols>
          <w:pgMar w:left="436" w:top="270" w:right="439" w:bottom="1440" w:gutter="0" w:footer="0" w:header="0"/>
        </w:sectPr>
      </w:pPr>
    </w:p>
    <w:bookmarkStart w:id="294" w:name="page295"/>
    <w:bookmarkEnd w:id="294"/>
    <w:p>
      <w:pPr>
        <w:ind w:left="424" w:hanging="424"/>
        <w:spacing w:after="0" w:line="291" w:lineRule="auto"/>
        <w:tabs>
          <w:tab w:leader="none" w:pos="42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r>
        <w:rPr>
          <w:rFonts w:ascii="Arial" w:cs="Arial" w:eastAsia="Arial" w:hAnsi="Arial"/>
          <w:sz w:val="16"/>
          <w:szCs w:val="16"/>
          <w:color w:val="auto"/>
        </w:rPr>
        <w:t>.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 provided, however, that the Administrator shall make such adjustments to an Award as required by Section 25102(o) of the California Corporations Code to the extent the Company is relying upon the exemption afforded thereby with respect to the Award.</w:t>
      </w:r>
    </w:p>
    <w:p>
      <w:pPr>
        <w:spacing w:after="0" w:line="71"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No Award will be granted to a resident of California more than ten (10) years after the earlier of the date of adoption of the Plan or the date the Plan is approved by the Stockholders.</w:t>
      </w:r>
    </w:p>
    <w:p>
      <w:pPr>
        <w:sectPr>
          <w:pgSz w:w="11900" w:h="16838" w:orient="portrait"/>
          <w:cols w:equalWidth="0" w:num="1">
            <w:col w:w="10844"/>
          </w:cols>
          <w:pgMar w:left="436" w:top="274" w:right="61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2011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Purchaser is acquiring shares of the Common Stock of Zoom Video Communications, Inc. on the following terms: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Purchaser:</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Number of Purchased Shares: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4" w:lineRule="exact"/>
        <w:rPr>
          <w:sz w:val="20"/>
          <w:szCs w:val="20"/>
          <w:color w:val="auto"/>
        </w:rPr>
      </w:pPr>
    </w:p>
    <w:p>
      <w:pPr>
        <w:sectPr>
          <w:pgSz w:w="11900" w:h="16838" w:orient="portrait"/>
          <w:cols w:equalWidth="0" w:num="3">
            <w:col w:w="3260" w:space="720"/>
            <w:col w:w="3020" w:space="720"/>
            <w:col w:w="3300"/>
          </w:cols>
          <w:pgMar w:left="440" w:top="270" w:right="4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Date of Offer: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Purchase: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Commencement Date:</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Right of Repurchase shall lapse with respect to the first % of the Purchased Shares when the Purchaser completes months of continuous Service beginning with the Vesting Commencement Date set forth above. The Right of Repurchase shall lapse with respect to an additional % of the Purchased Shares when the Purchaser completes each month of continuous Service thereafter.</w:t>
      </w:r>
    </w:p>
    <w:p>
      <w:pPr>
        <w:spacing w:after="0" w:line="153"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ind w:right="200"/>
        <w:spacing w:after="0" w:line="282" w:lineRule="auto"/>
        <w:rPr>
          <w:sz w:val="20"/>
          <w:szCs w:val="20"/>
          <w:color w:val="auto"/>
        </w:rPr>
      </w:pPr>
      <w:r>
        <w:rPr>
          <w:rFonts w:ascii="Arial" w:cs="Arial" w:eastAsia="Arial" w:hAnsi="Arial"/>
          <w:sz w:val="18"/>
          <w:szCs w:val="18"/>
          <w:b w:val="1"/>
          <w:bCs w:val="1"/>
          <w:color w:val="auto"/>
        </w:rPr>
        <w:t>The Purchase Price must be paid on or before the Date of Purchase set forth above. If the Purchaser fails to make payment before the Date of Purchase, this offer automatically terminates</w:t>
      </w:r>
      <w:r>
        <w:rPr>
          <w:rFonts w:ascii="Arial" w:cs="Arial" w:eastAsia="Arial" w:hAnsi="Arial"/>
          <w:sz w:val="18"/>
          <w:szCs w:val="18"/>
          <w:color w:val="auto"/>
        </w:rPr>
        <w:t>.</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By signing below, the Purchaser and the Company agree that the acquisition of the Purchased Shares is governed by the terms and conditions of the Fourth Amended and Restated 2011 Global Share Plan and the Restricted Share Purchase Agreement. Both of these documents are attached to, and made a part of, this Summary of Restricted Share Purchase. The Purchaser agrees to accept by email all documents relating to the Company, the Plan or this purchase and all other documents that the Company is required to deliver to its security holders (including, without limitation, disclosures that may be required by the Securities and Exchange Commission). The Purchaser also agrees that the Company may deliver these documents by posting them on a website maintained by the Company or by a third party under contract with the Company. If the Company posts these documents on a website, it shall notify the Purchaser by email of their availability. The Purchaser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Purchaser gives the Company written notice that it should deliver paper documents.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tc>
        <w:tc>
          <w:tcPr>
            <w:tcW w:w="6060" w:type="dxa"/>
            <w:vAlign w:val="bottom"/>
            <w:gridSpan w:val="2"/>
          </w:tcPr>
          <w:p>
            <w:pPr>
              <w:ind w:left="56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4960" w:type="dxa"/>
            <w:vAlign w:val="bottom"/>
          </w:tcPr>
          <w:p>
            <w:pPr>
              <w:spacing w:after="0"/>
              <w:rPr>
                <w:sz w:val="24"/>
                <w:szCs w:val="24"/>
                <w:color w:val="auto"/>
              </w:rPr>
            </w:pPr>
          </w:p>
        </w:tc>
        <w:tc>
          <w:tcPr>
            <w:tcW w:w="6060" w:type="dxa"/>
            <w:vAlign w:val="bottom"/>
            <w:gridSpan w:val="2"/>
          </w:tcPr>
          <w:p>
            <w:pPr>
              <w:ind w:left="560"/>
              <w:spacing w:after="0"/>
              <w:rPr>
                <w:sz w:val="20"/>
                <w:szCs w:val="20"/>
                <w:color w:val="auto"/>
              </w:rPr>
            </w:pPr>
            <w:r>
              <w:rPr>
                <w:rFonts w:ascii="Arial" w:cs="Arial" w:eastAsia="Arial" w:hAnsi="Arial"/>
                <w:sz w:val="18"/>
                <w:szCs w:val="18"/>
                <w:color w:val="auto"/>
              </w:rPr>
              <w:t>By:</w:t>
            </w:r>
          </w:p>
        </w:tc>
      </w:tr>
      <w:tr>
        <w:trPr>
          <w:trHeight w:val="169"/>
        </w:trPr>
        <w:tc>
          <w:tcPr>
            <w:tcW w:w="4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Address for Mailing Stock Certificate:</w:t>
            </w:r>
          </w:p>
        </w:tc>
        <w:tc>
          <w:tcPr>
            <w:tcW w:w="1100" w:type="dxa"/>
            <w:vAlign w:val="bottom"/>
          </w:tcPr>
          <w:p>
            <w:pPr>
              <w:ind w:left="560"/>
              <w:spacing w:after="0" w:line="149" w:lineRule="exact"/>
              <w:rPr>
                <w:sz w:val="20"/>
                <w:szCs w:val="20"/>
                <w:color w:val="auto"/>
              </w:rPr>
            </w:pPr>
            <w:r>
              <w:rPr>
                <w:rFonts w:ascii="Arial" w:cs="Arial" w:eastAsia="Arial" w:hAnsi="Arial"/>
                <w:sz w:val="17"/>
                <w:szCs w:val="17"/>
                <w:color w:val="auto"/>
              </w:rPr>
              <w:t>Title:</w:t>
            </w:r>
          </w:p>
        </w:tc>
        <w:tc>
          <w:tcPr>
            <w:tcW w:w="4960" w:type="dxa"/>
            <w:vAlign w:val="bottom"/>
            <w:tcBorders>
              <w:top w:val="single" w:sz="8" w:color="auto"/>
              <w:bottom w:val="single" w:sz="8" w:color="auto"/>
            </w:tcBorders>
          </w:tcPr>
          <w:p>
            <w:pPr>
              <w:spacing w:after="0"/>
              <w:rPr>
                <w:sz w:val="14"/>
                <w:szCs w:val="14"/>
                <w:color w:val="auto"/>
              </w:rPr>
            </w:pPr>
          </w:p>
        </w:tc>
      </w:tr>
      <w:tr>
        <w:trPr>
          <w:trHeight w:val="250"/>
        </w:trPr>
        <w:tc>
          <w:tcPr>
            <w:tcW w:w="496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4960" w:type="dxa"/>
            <w:vAlign w:val="bottom"/>
          </w:tcPr>
          <w:p>
            <w:pPr>
              <w:spacing w:after="0"/>
              <w:rPr>
                <w:sz w:val="21"/>
                <w:szCs w:val="21"/>
                <w:color w:val="auto"/>
              </w:rPr>
            </w:pPr>
          </w:p>
        </w:tc>
      </w:tr>
    </w:tbl>
    <w:p>
      <w:pPr>
        <w:sectPr>
          <w:pgSz w:w="11900" w:h="16838" w:orient="portrait"/>
          <w:cols w:equalWidth="0" w:num="1">
            <w:col w:w="11020"/>
          </w:cols>
          <w:pgMar w:left="440" w:top="270" w:right="439" w:bottom="1440" w:gutter="0" w:footer="0" w:header="0"/>
          <w:type w:val="continuous"/>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2011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w:t>
        <w:tab/>
        <w:t>ACQUISITION OF SHARES.</w:t>
      </w:r>
    </w:p>
    <w:p>
      <w:pPr>
        <w:spacing w:after="0" w:line="117" w:lineRule="exact"/>
        <w:rPr>
          <w:sz w:val="20"/>
          <w:szCs w:val="20"/>
          <w:color w:val="auto"/>
        </w:rPr>
      </w:pPr>
    </w:p>
    <w:p>
      <w:pPr>
        <w:ind w:firstLine="877"/>
        <w:spacing w:after="0" w:line="314" w:lineRule="auto"/>
        <w:tabs>
          <w:tab w:leader="none" w:pos="1261" w:val="left"/>
        </w:tabs>
        <w:numPr>
          <w:ilvl w:val="0"/>
          <w:numId w:val="255"/>
        </w:numPr>
        <w:rPr>
          <w:rFonts w:ascii="Arial" w:cs="Arial" w:eastAsia="Arial" w:hAnsi="Arial"/>
          <w:sz w:val="16"/>
          <w:szCs w:val="16"/>
          <w:color w:val="auto"/>
        </w:rPr>
      </w:pPr>
      <w:r>
        <w:rPr>
          <w:rFonts w:ascii="Arial" w:cs="Arial" w:eastAsia="Arial" w:hAnsi="Arial"/>
          <w:sz w:val="16"/>
          <w:szCs w:val="16"/>
          <w:b w:val="1"/>
          <w:bCs w:val="1"/>
          <w:color w:val="auto"/>
        </w:rPr>
        <w:t>Transfer</w:t>
      </w:r>
      <w:r>
        <w:rPr>
          <w:rFonts w:ascii="Arial" w:cs="Arial" w:eastAsia="Arial" w:hAnsi="Arial"/>
          <w:sz w:val="16"/>
          <w:szCs w:val="16"/>
          <w:color w:val="auto"/>
        </w:rPr>
        <w:t>. On the terms and conditions set forth in the Summary of Restricted Share Purchase and this Agreement, the Company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transfer to the Purchaser the number of Shares set forth in the Summary of Restricted Share Purchase. The transfer shall occur at the offices of the Company on the date of purchase set forth in the Summary of Restricted Share Purchase or at such other place and time as the parties may agree.</w:t>
      </w:r>
    </w:p>
    <w:p>
      <w:pPr>
        <w:spacing w:after="0" w:line="141" w:lineRule="exact"/>
        <w:rPr>
          <w:rFonts w:ascii="Arial" w:cs="Arial" w:eastAsia="Arial" w:hAnsi="Arial"/>
          <w:sz w:val="16"/>
          <w:szCs w:val="16"/>
          <w:color w:val="auto"/>
        </w:rPr>
      </w:pPr>
    </w:p>
    <w:p>
      <w:pPr>
        <w:ind w:right="320" w:firstLine="877"/>
        <w:spacing w:after="0" w:line="289" w:lineRule="auto"/>
        <w:tabs>
          <w:tab w:leader="none" w:pos="1271"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Purchaser agrees to pay the Purchase Price set forth in the Summary of Restricted Share Purchase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 The Purchase Price is agreed to be not less than 100% of the Fair Market Value of the Purchased Shares. Payment shall be made in cash or cash equivalents on the date of purchase set forth in the Summary of Restricted Share Purchase.</w:t>
      </w:r>
    </w:p>
    <w:p>
      <w:pPr>
        <w:spacing w:after="0" w:line="157" w:lineRule="exact"/>
        <w:rPr>
          <w:rFonts w:ascii="Arial" w:cs="Arial" w:eastAsia="Arial" w:hAnsi="Arial"/>
          <w:sz w:val="17"/>
          <w:szCs w:val="17"/>
          <w:color w:val="auto"/>
        </w:rPr>
      </w:pPr>
    </w:p>
    <w:p>
      <w:pPr>
        <w:ind w:right="260" w:firstLine="877"/>
        <w:spacing w:after="0" w:line="289" w:lineRule="auto"/>
        <w:tabs>
          <w:tab w:leader="none" w:pos="1261"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Stock Plan and Defined Terms</w:t>
      </w:r>
      <w:r>
        <w:rPr>
          <w:rFonts w:ascii="Arial" w:cs="Arial" w:eastAsia="Arial" w:hAnsi="Arial"/>
          <w:sz w:val="17"/>
          <w:szCs w:val="17"/>
          <w:color w:val="auto"/>
        </w:rPr>
        <w:t>. The transfer of the Purchased Shares is subject to the Plan, a copy of which the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having received. The provisions of the Plan are incorporated into this Agreement by this reference. Except as otherwise defined in this Agreement (including without limitation Section 11 hereof), capitalized terms shall have the meaning ascribed to such terms in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OF REPURCHASE.</w:t>
      </w:r>
    </w:p>
    <w:p>
      <w:pPr>
        <w:spacing w:after="0" w:line="117" w:lineRule="exact"/>
        <w:rPr>
          <w:sz w:val="20"/>
          <w:szCs w:val="20"/>
          <w:color w:val="auto"/>
        </w:rPr>
      </w:pPr>
    </w:p>
    <w:p>
      <w:pPr>
        <w:ind w:right="80" w:firstLine="877"/>
        <w:spacing w:after="0" w:line="273" w:lineRule="auto"/>
        <w:tabs>
          <w:tab w:leader="none" w:pos="1261" w:val="left"/>
        </w:tabs>
        <w:numPr>
          <w:ilvl w:val="0"/>
          <w:numId w:val="256"/>
        </w:numPr>
        <w:rPr>
          <w:rFonts w:ascii="Arial" w:cs="Arial" w:eastAsia="Arial" w:hAnsi="Arial"/>
          <w:sz w:val="17"/>
          <w:szCs w:val="17"/>
          <w:color w:val="auto"/>
        </w:rPr>
      </w:pPr>
      <w:r>
        <w:rPr>
          <w:rFonts w:ascii="Arial" w:cs="Arial" w:eastAsia="Arial" w:hAnsi="Arial"/>
          <w:sz w:val="17"/>
          <w:szCs w:val="17"/>
          <w:b w:val="1"/>
          <w:bCs w:val="1"/>
          <w:color w:val="auto"/>
        </w:rPr>
        <w:t>Scope of Repurchase Right</w:t>
      </w:r>
      <w:r>
        <w:rPr>
          <w:rFonts w:ascii="Arial" w:cs="Arial" w:eastAsia="Arial" w:hAnsi="Arial"/>
          <w:sz w:val="17"/>
          <w:szCs w:val="17"/>
          <w:color w:val="auto"/>
        </w:rPr>
        <w:t>. Until they vest in accordance with the Summary of Restricted Share Purchase and Subsection (b)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Purchased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Purchaser’s Service, but the Right of Repurchase may be exercised automatically under Subsection (d) below. If the Right of Repurchase is exercised, the Company shall pay the Purchaser an amount equal to the lower of (i) the Purchase Price of each Restricted Share being repurchased or (ii) the Fair Market Value of such Restricted Share at the time the Right of Repurchase is exercised.</w:t>
      </w:r>
    </w:p>
    <w:p>
      <w:pPr>
        <w:spacing w:after="0" w:line="171" w:lineRule="exact"/>
        <w:rPr>
          <w:rFonts w:ascii="Arial" w:cs="Arial" w:eastAsia="Arial" w:hAnsi="Arial"/>
          <w:sz w:val="17"/>
          <w:szCs w:val="17"/>
          <w:color w:val="auto"/>
        </w:rPr>
      </w:pPr>
    </w:p>
    <w:p>
      <w:pPr>
        <w:ind w:right="60" w:firstLine="877"/>
        <w:spacing w:after="0" w:line="282" w:lineRule="auto"/>
        <w:tabs>
          <w:tab w:leader="none" w:pos="1271"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Lapse of Repurchase Right</w:t>
      </w:r>
      <w:r>
        <w:rPr>
          <w:rFonts w:ascii="Arial" w:cs="Arial" w:eastAsia="Arial" w:hAnsi="Arial"/>
          <w:sz w:val="18"/>
          <w:szCs w:val="18"/>
          <w:color w:val="auto"/>
        </w:rPr>
        <w:t>. The Right of Repurchase shall lapse with respect to the Restricted Shares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Summary of Restricted Share Purchase.</w:t>
      </w:r>
    </w:p>
    <w:p>
      <w:pPr>
        <w:spacing w:after="0" w:line="161" w:lineRule="exact"/>
        <w:rPr>
          <w:rFonts w:ascii="Arial" w:cs="Arial" w:eastAsia="Arial" w:hAnsi="Arial"/>
          <w:sz w:val="18"/>
          <w:szCs w:val="18"/>
          <w:color w:val="auto"/>
        </w:rPr>
      </w:pPr>
    </w:p>
    <w:p>
      <w:pPr>
        <w:ind w:right="820" w:firstLine="877"/>
        <w:spacing w:after="0" w:line="282" w:lineRule="auto"/>
        <w:tabs>
          <w:tab w:leader="none" w:pos="1261"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Escrow</w:t>
      </w:r>
      <w:r>
        <w:rPr>
          <w:rFonts w:ascii="Arial" w:cs="Arial" w:eastAsia="Arial" w:hAnsi="Arial"/>
          <w:sz w:val="18"/>
          <w:szCs w:val="18"/>
          <w:color w:val="auto"/>
        </w:rPr>
        <w:t>. Upon issuance, the certificate(s) for Restricted Shares shall be deposited in escrow with the Company to be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w:t>
      </w:r>
    </w:p>
    <w:p>
      <w:pPr>
        <w:sectPr>
          <w:pgSz w:w="11900" w:h="16838" w:orient="portrait"/>
          <w:cols w:equalWidth="0" w:num="1">
            <w:col w:w="11000"/>
          </w:cols>
          <w:pgMar w:left="440" w:top="270" w:right="459" w:bottom="1440" w:gutter="0" w:footer="0" w:header="0"/>
        </w:sectPr>
      </w:pPr>
    </w:p>
    <w:bookmarkStart w:id="297" w:name="page298"/>
    <w:bookmarkEnd w:id="29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additional or exchanged securities or other property described in Subsection (f) below shall immediately be delivered to the Company to be held in escrow. All ordinary cash dividends on Restricted Shares (or on other securities held in escrow) shall be paid directly to the Purchaser and shall not be held in escrow. Restricted Shares, together with any other assets held in escrow under this Agreement, shall be (i) surrendered to the Company for repurchase upon exercise of the Right of Repurchase or the Right of First Refusal or (ii) released to the Purchaser upon his or her request to the extent that the Shares have ceased to be Restricted Shares (but not more frequently than once every six months). In any event, all Purchased Shares that have ceased to be Restricted Shares, together with any other vested assets held in escrow under this Agreement, shall be released within 90 days after the earlier of (i) the termination of the Purchaser’s Service or (ii) the lapse of the Right of First Refusal.</w:t>
      </w:r>
    </w:p>
    <w:p>
      <w:pPr>
        <w:spacing w:after="0" w:line="162" w:lineRule="exact"/>
        <w:rPr>
          <w:sz w:val="20"/>
          <w:szCs w:val="20"/>
          <w:color w:val="auto"/>
        </w:rPr>
      </w:pPr>
    </w:p>
    <w:p>
      <w:pPr>
        <w:ind w:right="40" w:firstLine="877"/>
        <w:spacing w:after="0" w:line="294" w:lineRule="auto"/>
        <w:tabs>
          <w:tab w:leader="none" w:pos="1271" w:val="left"/>
        </w:tabs>
        <w:numPr>
          <w:ilvl w:val="0"/>
          <w:numId w:val="257"/>
        </w:numPr>
        <w:rPr>
          <w:rFonts w:ascii="Arial" w:cs="Arial" w:eastAsia="Arial" w:hAnsi="Arial"/>
          <w:sz w:val="16"/>
          <w:szCs w:val="16"/>
          <w:color w:val="auto"/>
        </w:rPr>
      </w:pPr>
      <w:r>
        <w:rPr>
          <w:rFonts w:ascii="Arial" w:cs="Arial" w:eastAsia="Arial" w:hAnsi="Arial"/>
          <w:sz w:val="16"/>
          <w:szCs w:val="16"/>
          <w:b w:val="1"/>
          <w:bCs w:val="1"/>
          <w:color w:val="auto"/>
        </w:rPr>
        <w:t>Exercise of Repurchase Right</w:t>
      </w:r>
      <w:r>
        <w:rPr>
          <w:rFonts w:ascii="Arial" w:cs="Arial" w:eastAsia="Arial" w:hAnsi="Arial"/>
          <w:sz w:val="16"/>
          <w:szCs w:val="16"/>
          <w:color w:val="auto"/>
        </w:rPr>
        <w:t>. The Company shall be deemed to have exercised its Right of Repurchase automatically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as of the commencement of the Repurchase Period, unless the Company during the Repurchase Period notifies the holder of the Restricted Shares pursuant to Section 9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Purchaser in the purchase of the Restricted Shares. The certificate(s) representing the Restricted Shares being repurchased shall be delivered to the Company.</w:t>
      </w:r>
    </w:p>
    <w:p>
      <w:pPr>
        <w:spacing w:after="0" w:line="159" w:lineRule="exact"/>
        <w:rPr>
          <w:rFonts w:ascii="Arial" w:cs="Arial" w:eastAsia="Arial" w:hAnsi="Arial"/>
          <w:sz w:val="16"/>
          <w:szCs w:val="16"/>
          <w:color w:val="auto"/>
        </w:rPr>
      </w:pPr>
    </w:p>
    <w:p>
      <w:pPr>
        <w:ind w:right="100" w:firstLine="877"/>
        <w:spacing w:after="0" w:line="277" w:lineRule="auto"/>
        <w:tabs>
          <w:tab w:leader="none" w:pos="1261" w:val="left"/>
        </w:tabs>
        <w:numPr>
          <w:ilvl w:val="0"/>
          <w:numId w:val="257"/>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Right of Repurchase is exercised in accordance with this Section 2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2, whether or not the certificate(s) for such Restricted Shares have been delivered to the Company or the consideration for such Restricted Shares has been accepted.</w:t>
      </w:r>
    </w:p>
    <w:p>
      <w:pPr>
        <w:spacing w:after="0" w:line="167" w:lineRule="exact"/>
        <w:rPr>
          <w:rFonts w:ascii="Arial" w:cs="Arial" w:eastAsia="Arial" w:hAnsi="Arial"/>
          <w:sz w:val="17"/>
          <w:szCs w:val="17"/>
          <w:color w:val="auto"/>
        </w:rPr>
      </w:pPr>
    </w:p>
    <w:p>
      <w:pPr>
        <w:ind w:firstLine="877"/>
        <w:spacing w:after="0" w:line="253" w:lineRule="auto"/>
        <w:tabs>
          <w:tab w:leader="none" w:pos="1241"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Additional or Exchanged Securities and Property</w:t>
      </w:r>
      <w:r>
        <w:rPr>
          <w:rFonts w:ascii="Arial" w:cs="Arial" w:eastAsia="Arial" w:hAnsi="Arial"/>
          <w:sz w:val="18"/>
          <w:szCs w:val="18"/>
          <w:color w:val="auto"/>
        </w:rPr>
        <w:t>. In the event of a merger or consolidation of the Company, a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8(b) of the Plan or any other corporate reorganization, the Right of Repurchase may be exercised by the Company’s successor.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98" w:name="page299"/>
    <w:bookmarkEnd w:id="298"/>
    <w:p>
      <w:pPr>
        <w:jc w:val="both"/>
        <w:ind w:right="20" w:firstLine="877"/>
        <w:spacing w:after="0" w:line="256" w:lineRule="auto"/>
        <w:tabs>
          <w:tab w:leader="none" w:pos="1271"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Restricted Shares</w:t>
      </w:r>
      <w:r>
        <w:rPr>
          <w:rFonts w:ascii="Arial" w:cs="Arial" w:eastAsia="Arial" w:hAnsi="Arial"/>
          <w:sz w:val="18"/>
          <w:szCs w:val="18"/>
          <w:color w:val="auto"/>
        </w:rPr>
        <w:t>. The Purchaser shall not transfer, assign, encumber or otherwise dispose of any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Company’s written consent, except as provided in the following sentence. The Purchaser may transfer Restricted Shares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Restricted Shares, then this Agreement shall apply to the Transferee to the same extent as to the Purchaser.</w:t>
      </w:r>
    </w:p>
    <w:p>
      <w:pPr>
        <w:spacing w:after="0" w:line="187" w:lineRule="exact"/>
        <w:rPr>
          <w:rFonts w:ascii="Arial" w:cs="Arial" w:eastAsia="Arial" w:hAnsi="Arial"/>
          <w:sz w:val="18"/>
          <w:szCs w:val="18"/>
          <w:color w:val="auto"/>
        </w:rPr>
      </w:pPr>
    </w:p>
    <w:p>
      <w:pPr>
        <w:ind w:firstLine="877"/>
        <w:spacing w:after="0" w:line="266" w:lineRule="auto"/>
        <w:tabs>
          <w:tab w:leader="none" w:pos="1271"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Assignment of Repurchase Right</w:t>
      </w:r>
      <w:r>
        <w:rPr>
          <w:rFonts w:ascii="Arial" w:cs="Arial" w:eastAsia="Arial" w:hAnsi="Arial"/>
          <w:sz w:val="18"/>
          <w:szCs w:val="18"/>
          <w:color w:val="auto"/>
        </w:rPr>
        <w:t>. 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2.</w:t>
      </w:r>
    </w:p>
    <w:p>
      <w:pPr>
        <w:spacing w:after="0" w:line="175" w:lineRule="exact"/>
        <w:rPr>
          <w:rFonts w:ascii="Arial" w:cs="Arial" w:eastAsia="Arial" w:hAnsi="Arial"/>
          <w:sz w:val="18"/>
          <w:szCs w:val="18"/>
          <w:color w:val="auto"/>
        </w:rPr>
      </w:pPr>
    </w:p>
    <w:p>
      <w:pPr>
        <w:ind w:right="140" w:firstLine="877"/>
        <w:spacing w:after="0" w:line="255" w:lineRule="auto"/>
        <w:tabs>
          <w:tab w:leader="none" w:pos="1231"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Part-Time Employment and Leaves of Absence</w:t>
      </w:r>
      <w:r>
        <w:rPr>
          <w:rFonts w:ascii="Arial" w:cs="Arial" w:eastAsia="Arial" w:hAnsi="Arial"/>
          <w:sz w:val="18"/>
          <w:szCs w:val="18"/>
          <w:color w:val="auto"/>
        </w:rPr>
        <w:t>. If the Purchaser commences working on a part-time basis, then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 the vesting schedule set forth in the Summary of Restricted Share Purchase. If the Purchaser goes on a leave of absence, then the Company may adjust the vesting schedule set forth in the Summary of Restricted Share Purchase in accordance with the Company’s leave of absence policy or the terms of such leave. Except as provided in the preceding sentence, Service shall be deemed to continue while the Purchaser is 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(i) such leave was approved by the Company in writing and (ii) continued crediting of Service is expressly required by the terms of such leave or by applicable law (as determined by the Company). Service shall be deemed to terminate when such leave ends, unless the Purchaser immediately returns to active work.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RIGHT OF FIRST REFUSAL.</w:t>
      </w:r>
    </w:p>
    <w:p>
      <w:pPr>
        <w:spacing w:after="0" w:line="117" w:lineRule="exact"/>
        <w:rPr>
          <w:sz w:val="20"/>
          <w:szCs w:val="20"/>
          <w:color w:val="auto"/>
        </w:rPr>
      </w:pPr>
    </w:p>
    <w:p>
      <w:pPr>
        <w:ind w:right="40" w:firstLine="877"/>
        <w:spacing w:after="0" w:line="289" w:lineRule="auto"/>
        <w:tabs>
          <w:tab w:leader="none" w:pos="1261"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In the event that the Purchaser proposes to sell, pledge or otherwise transfer to a third party any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any interest in Purchased Shares, the Company shall have the Right of First Refusal with respect to all (and not less than all) of such Purchased Shares. If the Purchaser desires to transfer Purchased Shares, the Purchaser shall give a written Transfer Notice to the Company describing fully the proposed transfer, including the number of Purchased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Purchaser and by the proposed Transferee and must constitute a binding commitment of both parties to the transfer of the Purchased Shares. The Company shall have the right to purchase all, and not less than all, of the Purchased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66" w:lineRule="exact"/>
        <w:rPr>
          <w:rFonts w:ascii="Arial" w:cs="Arial" w:eastAsia="Arial" w:hAnsi="Arial"/>
          <w:sz w:val="16"/>
          <w:szCs w:val="16"/>
          <w:color w:val="auto"/>
        </w:rPr>
      </w:pPr>
    </w:p>
    <w:p>
      <w:pPr>
        <w:ind w:right="20" w:firstLine="877"/>
        <w:spacing w:after="0" w:line="261" w:lineRule="auto"/>
        <w:tabs>
          <w:tab w:leader="none" w:pos="1271"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Transfer of Shares</w:t>
      </w:r>
      <w:r>
        <w:rPr>
          <w:rFonts w:ascii="Arial" w:cs="Arial" w:eastAsia="Arial" w:hAnsi="Arial"/>
          <w:sz w:val="18"/>
          <w:szCs w:val="18"/>
          <w:color w:val="auto"/>
        </w:rPr>
        <w:t>. If the Company fails to exercise its Right of First Refusal within 30 days after receiving the Transfer Notice,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may, not later than 120 days after the Company received the Transfer Notice, conclude a transfer of the Purchased Shares subject to the Transfer Notice on the terms and conditions described in the Transfer Notice, provided that any such sale is made in compliance with applicable federal, State and foreign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99" w:name="page300"/>
    <w:bookmarkEnd w:id="29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laws and not in violation of any other contractual restrictions to which the Purchaser is bound. Any proposed transfer on terms and conditions different from those described in the Transfer Notice, as well as any subsequent proposed transfer by the Purchaser, shall again be subject to the Right of First Refusal and shall require compliance with the procedure described in Subsection (a) above. If the Company exercises its Right of First Refusal, the parties shall consummate the sale of the Purchased Shares on the terms set forth in the Transfer Notice within 30 days after the Company received the Transfer Notice (or within such longer period as may have been specified in the Transfer Notice); provided, however, that in the event the Transfer Notice provided that payment for the Purchased Shares was to be made in a form other than cash or cash equivalents paid at the time of transfer, the Company shall have the option of paying for the Purchased Shares with cash or cash equivalents equal to the present value of the consideration described in the Transfer Notice.</w:t>
      </w:r>
    </w:p>
    <w:p>
      <w:pPr>
        <w:spacing w:after="0" w:line="188" w:lineRule="exact"/>
        <w:rPr>
          <w:sz w:val="20"/>
          <w:szCs w:val="20"/>
          <w:color w:val="auto"/>
        </w:rPr>
      </w:pPr>
    </w:p>
    <w:p>
      <w:pPr>
        <w:ind w:firstLine="877"/>
        <w:spacing w:after="0" w:line="255" w:lineRule="auto"/>
        <w:tabs>
          <w:tab w:leader="none" w:pos="1261"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Additional or Exchanged Securities and Property</w:t>
      </w:r>
      <w:r>
        <w:rPr>
          <w:rFonts w:ascii="Arial" w:cs="Arial" w:eastAsia="Arial" w:hAnsi="Arial"/>
          <w:sz w:val="18"/>
          <w:szCs w:val="18"/>
          <w:color w:val="auto"/>
        </w:rPr>
        <w:t>. In the event of a merger or consolidation of the Company, a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Purchased Shares subject to this Section 3 shall immediately be subject to the Right of First Refusal. Appropriate adjustments to reflect the exchange or distribution of such securities or property shall be made to the number and/or class of the Purchased Shares subject to this Section 3.</w:t>
      </w:r>
    </w:p>
    <w:p>
      <w:pPr>
        <w:spacing w:after="0" w:line="188" w:lineRule="exact"/>
        <w:rPr>
          <w:rFonts w:ascii="Arial" w:cs="Arial" w:eastAsia="Arial" w:hAnsi="Arial"/>
          <w:sz w:val="18"/>
          <w:szCs w:val="18"/>
          <w:color w:val="auto"/>
        </w:rPr>
      </w:pPr>
    </w:p>
    <w:p>
      <w:pPr>
        <w:jc w:val="both"/>
        <w:ind w:right="80" w:firstLine="877"/>
        <w:spacing w:after="0" w:line="289" w:lineRule="auto"/>
        <w:tabs>
          <w:tab w:leader="none" w:pos="1271"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Termination of Right of First Refusal</w:t>
      </w:r>
      <w:r>
        <w:rPr>
          <w:rFonts w:ascii="Arial" w:cs="Arial" w:eastAsia="Arial" w:hAnsi="Arial"/>
          <w:sz w:val="17"/>
          <w:szCs w:val="17"/>
          <w:color w:val="auto"/>
        </w:rPr>
        <w:t>. Any other provision of this Section 3 notwithstanding, in the event that the Shares are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Purchaser desires to transfer Purchased Shares, the Company shall have no Right of First Refusal, and the Purchaser shall have no obligation to comply with the procedures prescribed by Subsections (a) and (b) above.</w:t>
      </w:r>
    </w:p>
    <w:p>
      <w:pPr>
        <w:spacing w:after="0" w:line="157" w:lineRule="exact"/>
        <w:rPr>
          <w:rFonts w:ascii="Arial" w:cs="Arial" w:eastAsia="Arial" w:hAnsi="Arial"/>
          <w:sz w:val="17"/>
          <w:szCs w:val="17"/>
          <w:color w:val="auto"/>
        </w:rPr>
      </w:pPr>
    </w:p>
    <w:p>
      <w:pPr>
        <w:ind w:right="140" w:firstLine="877"/>
        <w:spacing w:after="0" w:line="298" w:lineRule="auto"/>
        <w:tabs>
          <w:tab w:leader="none" w:pos="1261" w:val="left"/>
        </w:tabs>
        <w:numPr>
          <w:ilvl w:val="0"/>
          <w:numId w:val="260"/>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This Section 3 shall not apply to (i) a transfer by beneficiary designation, will or intestate succession or (ii) a</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Purchased Shares, either under this Subsection (e) or after the Company has failed to exercise the Right of First Refusal, then this Agreement shall apply to the Transferee to the same extent as to the Purchaser.</w:t>
      </w:r>
    </w:p>
    <w:p>
      <w:pPr>
        <w:spacing w:after="0" w:line="153" w:lineRule="exact"/>
        <w:rPr>
          <w:rFonts w:ascii="Arial" w:cs="Arial" w:eastAsia="Arial" w:hAnsi="Arial"/>
          <w:sz w:val="16"/>
          <w:szCs w:val="16"/>
          <w:color w:val="auto"/>
        </w:rPr>
      </w:pPr>
    </w:p>
    <w:p>
      <w:pPr>
        <w:ind w:right="100" w:firstLine="877"/>
        <w:spacing w:after="0" w:line="277" w:lineRule="auto"/>
        <w:tabs>
          <w:tab w:leader="none" w:pos="1241"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Company makes available, at the time and place and in the amount and form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0" w:name="page301"/>
    <w:bookmarkEnd w:id="300"/>
    <w:p>
      <w:pPr>
        <w:ind w:right="20" w:firstLine="877"/>
        <w:spacing w:after="0" w:line="266" w:lineRule="auto"/>
        <w:tabs>
          <w:tab w:leader="none" w:pos="1271"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of Right of First Refusal</w:t>
      </w:r>
      <w:r>
        <w:rPr>
          <w:rFonts w:ascii="Arial" w:cs="Arial" w:eastAsia="Arial" w:hAnsi="Arial"/>
          <w:sz w:val="18"/>
          <w:szCs w:val="18"/>
          <w:color w:val="auto"/>
        </w:rPr>
        <w:t>. 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OTHER RESTRICTIONS ON TRANSFER.</w:t>
      </w:r>
    </w:p>
    <w:p>
      <w:pPr>
        <w:spacing w:after="0" w:line="117" w:lineRule="exact"/>
        <w:rPr>
          <w:sz w:val="20"/>
          <w:szCs w:val="20"/>
          <w:color w:val="auto"/>
        </w:rPr>
      </w:pPr>
    </w:p>
    <w:p>
      <w:pPr>
        <w:ind w:right="260" w:firstLine="877"/>
        <w:spacing w:after="0" w:line="282" w:lineRule="auto"/>
        <w:tabs>
          <w:tab w:leader="none" w:pos="1261"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Purchaser Representations</w:t>
      </w:r>
      <w:r>
        <w:rPr>
          <w:rFonts w:ascii="Arial" w:cs="Arial" w:eastAsia="Arial" w:hAnsi="Arial"/>
          <w:sz w:val="18"/>
          <w:szCs w:val="18"/>
          <w:color w:val="auto"/>
        </w:rPr>
        <w:t>. In connection with the issuance and acquisition of Shares under this Agreement, the Purchaser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the Company as follows:</w:t>
      </w:r>
    </w:p>
    <w:p>
      <w:pPr>
        <w:spacing w:after="0" w:line="57" w:lineRule="exact"/>
        <w:rPr>
          <w:rFonts w:ascii="Arial" w:cs="Arial" w:eastAsia="Arial" w:hAnsi="Arial"/>
          <w:sz w:val="18"/>
          <w:szCs w:val="18"/>
          <w:color w:val="auto"/>
        </w:rPr>
      </w:pPr>
    </w:p>
    <w:p>
      <w:pPr>
        <w:jc w:val="both"/>
        <w:ind w:left="440" w:right="140" w:firstLine="842"/>
        <w:spacing w:after="0" w:line="342" w:lineRule="auto"/>
        <w:tabs>
          <w:tab w:leader="none" w:pos="1632"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Purchaser is acquiring and will hold the Purchased Shares for investment for his or her account only and not with a view to, or for resale in connection with, any “distribution” thereof within the meaning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right="220" w:firstLine="842"/>
        <w:spacing w:after="0" w:line="257" w:lineRule="auto"/>
        <w:tabs>
          <w:tab w:leader="none" w:pos="168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Purchaser understands that the Purchased Shares have not been registered under the Securities Act by reason of a specific exemption therefrom and that the Purchased Shares must be held indefinitely, unless their sale or other transfer is subsequently registered under the Securities Act or the Purchaser obtains an opinion of counsel, in form and substance satisfactory to the Company and its counsel, that such registration is not required. The Purchaser further acknowledges and understands that the Company is under no obligation to register the Purchased Shares.</w:t>
      </w:r>
    </w:p>
    <w:p>
      <w:pPr>
        <w:spacing w:after="0" w:line="79" w:lineRule="exact"/>
        <w:rPr>
          <w:rFonts w:ascii="Arial" w:cs="Arial" w:eastAsia="Arial" w:hAnsi="Arial"/>
          <w:sz w:val="18"/>
          <w:szCs w:val="18"/>
          <w:color w:val="auto"/>
        </w:rPr>
      </w:pPr>
    </w:p>
    <w:p>
      <w:pPr>
        <w:ind w:left="440" w:firstLine="842"/>
        <w:spacing w:after="0" w:line="293" w:lineRule="auto"/>
        <w:tabs>
          <w:tab w:leader="none" w:pos="1732"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Purchaser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Purchaser acknowledges and understands that the conditions for resale set forth in Rule 144 have not been satisfied as of either the Date of Offer or the Date of Purchase and that the Company is not required to take action to satisfy any such conditions.</w:t>
      </w:r>
    </w:p>
    <w:p>
      <w:pPr>
        <w:spacing w:after="0" w:line="56" w:lineRule="exact"/>
        <w:rPr>
          <w:rFonts w:ascii="Arial" w:cs="Arial" w:eastAsia="Arial" w:hAnsi="Arial"/>
          <w:sz w:val="16"/>
          <w:szCs w:val="16"/>
          <w:color w:val="auto"/>
        </w:rPr>
      </w:pPr>
    </w:p>
    <w:p>
      <w:pPr>
        <w:ind w:left="440" w:right="40" w:firstLine="842"/>
        <w:spacing w:after="0" w:line="273" w:lineRule="auto"/>
        <w:tabs>
          <w:tab w:leader="none" w:pos="172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The Purchaser will not sell, transfer or otherwise dispose of the Purchased Shares in violation of the Securities Act, the Securities Exchange Act of 1934, or the rules promulgated thereunder, including Rule 144 under the Securities Act. The Purchaser agrees that he or she will not dispose of the Purchased Shares unless and until he or she has complied with all requirements of this Agreement applicable to the disposition of Purchased Shares and he or she has provided the Company with written assurances, in substance and form satisfactory to the Company, that (A) the proposed disposition does not require registration of the Purchased Shares under the Securities Act or all appropriate action necessary for compliance with the registration requirements of the Securities Act or with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01" w:name="page302"/>
    <w:bookmarkEnd w:id="301"/>
    <w:p>
      <w:pPr>
        <w:ind w:left="440"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exemption from registration available under the Securities Act (including Rule 144) has been taken and (B) the proposed disposition will not result in the contravention of any transfer restrictions applicable to the Purchased Shares under applicable state law.</w:t>
      </w:r>
    </w:p>
    <w:p>
      <w:pPr>
        <w:spacing w:after="0" w:line="38" w:lineRule="exact"/>
        <w:rPr>
          <w:sz w:val="20"/>
          <w:szCs w:val="20"/>
          <w:color w:val="auto"/>
        </w:rPr>
      </w:pPr>
    </w:p>
    <w:p>
      <w:pPr>
        <w:ind w:left="440" w:right="160" w:firstLine="842"/>
        <w:spacing w:after="0" w:line="263" w:lineRule="auto"/>
        <w:tabs>
          <w:tab w:leader="none" w:pos="167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Purchaser has received and has had access to such information as he or she considers necessary or appropriate for deciding whether to invest in the Purchased Shares, and the Purchaser has had an opportunity to ask questions and receive answers from the Company regarding the terms and conditions of the issuance of the Purchased Shares.</w:t>
      </w:r>
    </w:p>
    <w:p>
      <w:pPr>
        <w:spacing w:after="0" w:line="75" w:lineRule="exact"/>
        <w:rPr>
          <w:rFonts w:ascii="Arial" w:cs="Arial" w:eastAsia="Arial" w:hAnsi="Arial"/>
          <w:sz w:val="18"/>
          <w:szCs w:val="18"/>
          <w:color w:val="auto"/>
        </w:rPr>
      </w:pPr>
    </w:p>
    <w:p>
      <w:pPr>
        <w:jc w:val="both"/>
        <w:ind w:left="440" w:right="280" w:firstLine="842"/>
        <w:spacing w:after="0" w:line="263" w:lineRule="auto"/>
        <w:tabs>
          <w:tab w:leader="none" w:pos="172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Purchaser is aware that his or her investment in the Company is a speculative investment that has limited liquidity and is subject to the risk of complete loss. The Purchaser is able, without impairing his or her financial condition, to hold the Purchased Shares for an indefinite period and to suffer a complete loss of his or her investment in the Purchased Shares.</w:t>
      </w:r>
    </w:p>
    <w:p>
      <w:pPr>
        <w:spacing w:after="0" w:line="179" w:lineRule="exact"/>
        <w:rPr>
          <w:rFonts w:ascii="Arial" w:cs="Arial" w:eastAsia="Arial" w:hAnsi="Arial"/>
          <w:sz w:val="18"/>
          <w:szCs w:val="18"/>
          <w:color w:val="auto"/>
        </w:rPr>
      </w:pPr>
    </w:p>
    <w:p>
      <w:pPr>
        <w:ind w:right="20" w:firstLine="877"/>
        <w:spacing w:after="0" w:line="273" w:lineRule="auto"/>
        <w:tabs>
          <w:tab w:leader="none" w:pos="1271"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Securities Law Restrictions</w:t>
      </w:r>
      <w:r>
        <w:rPr>
          <w:rFonts w:ascii="Arial" w:cs="Arial" w:eastAsia="Arial" w:hAnsi="Arial"/>
          <w:sz w:val="17"/>
          <w:szCs w:val="17"/>
          <w:color w:val="auto"/>
        </w:rPr>
        <w:t>. Regardless of whether the offer and sale of Shares under the Plan have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have been registered or qualified under the securities laws of any State or other relevant jurisdiction, the Company at its discretion may impose restrictions upon the sale, pledge or other transfer of the Purchased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71" w:lineRule="exact"/>
        <w:rPr>
          <w:rFonts w:ascii="Arial" w:cs="Arial" w:eastAsia="Arial" w:hAnsi="Arial"/>
          <w:sz w:val="17"/>
          <w:szCs w:val="17"/>
          <w:color w:val="auto"/>
        </w:rPr>
      </w:pPr>
    </w:p>
    <w:p>
      <w:pPr>
        <w:ind w:firstLine="877"/>
        <w:spacing w:after="0" w:line="269" w:lineRule="auto"/>
        <w:tabs>
          <w:tab w:leader="none" w:pos="1261"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Market Stand-Off</w:t>
      </w:r>
      <w:r>
        <w:rPr>
          <w:rFonts w:ascii="Arial" w:cs="Arial" w:eastAsia="Arial" w:hAnsi="Arial"/>
          <w:sz w:val="17"/>
          <w:szCs w:val="17"/>
          <w:color w:val="auto"/>
        </w:rPr>
        <w:t>. In connection with any underwritten public offering by the Company of its equity securities pursuant to an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registration statement filed under the Securities Act, including the Company’s initial public offering, the Purchaser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Purchased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02" w:name="page303"/>
    <w:bookmarkEnd w:id="302"/>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Purchased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72" w:lineRule="exact"/>
        <w:rPr>
          <w:sz w:val="20"/>
          <w:szCs w:val="20"/>
          <w:color w:val="auto"/>
        </w:rPr>
      </w:pPr>
    </w:p>
    <w:p>
      <w:pPr>
        <w:ind w:right="180" w:firstLine="877"/>
        <w:spacing w:after="0" w:line="289" w:lineRule="auto"/>
        <w:tabs>
          <w:tab w:leader="none" w:pos="1271"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t>Rights of the Company</w:t>
      </w:r>
      <w:r>
        <w:rPr>
          <w:rFonts w:ascii="Arial" w:cs="Arial" w:eastAsia="Arial" w:hAnsi="Arial"/>
          <w:sz w:val="17"/>
          <w:szCs w:val="17"/>
          <w:color w:val="auto"/>
        </w:rPr>
        <w:t>. The Company shall not be required to (i) transfer on its books any Purchased Shares that have been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in contravention of this Agreement or (ii) treat as the owner of Purchased Shares, or otherwise to accord voting, dividend or liquidation rights to, any transferee to whom Purchased Shares have been transferred in contravention of this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SUCCESSORS AND ASSIGNS.</w:t>
      </w:r>
    </w:p>
    <w:p>
      <w:pPr>
        <w:spacing w:after="0" w:line="12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Except as otherwise expressly provided to the contrary, the provisions of this Agreement shall inure to the benefit of, and be binding upon, the Company and its successors and assigns and be binding upon the Purchaser and the Purchaser’s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NO RETENTION RIGHTS.</w:t>
      </w:r>
    </w:p>
    <w:p>
      <w:pPr>
        <w:spacing w:after="0" w:line="121"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Nothing in this Agreement or in the Plan shall confer upon the Purchaser any right to continue providing services to the Company for any period of specific duration or interfere with or otherwise restrict in any way the rights of the Company (or any Parent or Subsidiary employing or retaining the Purchaser) or of the Purchaser, which rights are hereby expressly reserved by each, to terminate his or her Service at any time and for any reason, with or without cause.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TAX ELECTION.</w:t>
      </w:r>
    </w:p>
    <w:p>
      <w:pPr>
        <w:spacing w:after="0" w:line="121"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 xml:space="preserve">The acquisition of the Purchased Shares may result in adverse tax consequences that may be avoided or mitigated by filing an election under Code Section 83(b). Such election may be filed only within 30 days after the date of purchase set forth in the Summary of Restricted Share Purchase. The form for making the Code Section 83(b) election is attached to this Agreement as an Exhibit. </w:t>
      </w:r>
      <w:r>
        <w:rPr>
          <w:rFonts w:ascii="Arial" w:cs="Arial" w:eastAsia="Arial" w:hAnsi="Arial"/>
          <w:sz w:val="16"/>
          <w:szCs w:val="16"/>
          <w:b w:val="1"/>
          <w:bCs w:val="1"/>
          <w:color w:val="auto"/>
        </w:rPr>
        <w:t>The Purchaser should consult with his or her tax</w:t>
      </w:r>
      <w:r>
        <w:rPr>
          <w:rFonts w:ascii="Arial" w:cs="Arial" w:eastAsia="Arial" w:hAnsi="Arial"/>
          <w:sz w:val="16"/>
          <w:szCs w:val="16"/>
          <w:color w:val="auto"/>
        </w:rPr>
        <w:t xml:space="preserve"> </w:t>
      </w:r>
      <w:r>
        <w:rPr>
          <w:rFonts w:ascii="Arial" w:cs="Arial" w:eastAsia="Arial" w:hAnsi="Arial"/>
          <w:sz w:val="16"/>
          <w:szCs w:val="16"/>
          <w:b w:val="1"/>
          <w:bCs w:val="1"/>
          <w:color w:val="auto"/>
        </w:rPr>
        <w:t>advisor to determine the tax consequences of acquiring the Purchased Shares and the advantages and disadvantages of filing the Code Section 83(b) election. The Purchaser acknowledges that it is his or her sole responsibility, and not the Company’s, to file a timely election under Code Section 83(b), even if the Purchaser requests the Company or its representatives to make this filing on his or her behalf.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LEGENDS.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certificates evidencing Purchased Shares shall bear the following legends:</w:t>
      </w:r>
    </w:p>
    <w:p>
      <w:pPr>
        <w:spacing w:after="0" w:line="117" w:lineRule="exact"/>
        <w:rPr>
          <w:sz w:val="20"/>
          <w:szCs w:val="20"/>
          <w:color w:val="auto"/>
        </w:rPr>
      </w:pPr>
    </w:p>
    <w:p>
      <w:pPr>
        <w:ind w:left="440" w:right="120"/>
        <w:spacing w:after="0" w:line="270"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the Purchased Shares acquired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If required by the authorities of any State in connection with the issuance of the Purchased Shares, the legend or legends required by such State authorities shall also be endorsed on all such certificates.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MISCELLANEOUS PROVISIONS.</w:t>
      </w:r>
    </w:p>
    <w:p>
      <w:pPr>
        <w:spacing w:after="0" w:line="117" w:lineRule="exact"/>
        <w:rPr>
          <w:sz w:val="20"/>
          <w:szCs w:val="20"/>
          <w:color w:val="auto"/>
        </w:rPr>
      </w:pPr>
    </w:p>
    <w:p>
      <w:pPr>
        <w:ind w:right="220" w:firstLine="877"/>
        <w:spacing w:after="0" w:line="282" w:lineRule="auto"/>
        <w:tabs>
          <w:tab w:leader="none" w:pos="1261"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California,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laws are applied to contracts entered into and performed in such State.</w:t>
      </w:r>
    </w:p>
    <w:p>
      <w:pPr>
        <w:spacing w:after="0" w:line="161" w:lineRule="exact"/>
        <w:rPr>
          <w:rFonts w:ascii="Arial" w:cs="Arial" w:eastAsia="Arial" w:hAnsi="Arial"/>
          <w:sz w:val="18"/>
          <w:szCs w:val="18"/>
          <w:color w:val="auto"/>
        </w:rPr>
      </w:pPr>
    </w:p>
    <w:p>
      <w:pPr>
        <w:ind w:right="160" w:firstLine="877"/>
        <w:spacing w:after="0" w:line="314" w:lineRule="auto"/>
        <w:tabs>
          <w:tab w:leader="none" w:pos="1271" w:val="left"/>
        </w:tabs>
        <w:numPr>
          <w:ilvl w:val="0"/>
          <w:numId w:val="266"/>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Purchaser at the address that he or she most recently provided to the Company.</w:t>
      </w:r>
    </w:p>
    <w:p>
      <w:pPr>
        <w:spacing w:after="0" w:line="141" w:lineRule="exact"/>
        <w:rPr>
          <w:rFonts w:ascii="Arial" w:cs="Arial" w:eastAsia="Arial" w:hAnsi="Arial"/>
          <w:sz w:val="16"/>
          <w:szCs w:val="16"/>
          <w:color w:val="auto"/>
        </w:rPr>
      </w:pPr>
    </w:p>
    <w:p>
      <w:pPr>
        <w:ind w:firstLine="877"/>
        <w:spacing w:after="0" w:line="266" w:lineRule="auto"/>
        <w:tabs>
          <w:tab w:leader="none" w:pos="1261"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Summary of Restricted Share Purchase, this Agreement and the Plan constitute the entire contract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regard to the subject matter hereof. They supersede any other agreements, representations or understandings (whether oral or written and whether express or implied) that relate to the subject matter hereof.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ACKNOWLEDGEMENTS OF THE PURCHASER.</w:t>
      </w:r>
    </w:p>
    <w:p>
      <w:pPr>
        <w:spacing w:after="0" w:line="121" w:lineRule="exact"/>
        <w:rPr>
          <w:sz w:val="20"/>
          <w:szCs w:val="20"/>
          <w:color w:val="auto"/>
        </w:rPr>
      </w:pPr>
    </w:p>
    <w:p>
      <w:pPr>
        <w:ind w:right="240" w:firstLine="881"/>
        <w:spacing w:after="0" w:line="263" w:lineRule="auto"/>
        <w:rPr>
          <w:sz w:val="20"/>
          <w:szCs w:val="20"/>
          <w:color w:val="auto"/>
        </w:rPr>
      </w:pPr>
      <w:r>
        <w:rPr>
          <w:rFonts w:ascii="Arial" w:cs="Arial" w:eastAsia="Arial" w:hAnsi="Arial"/>
          <w:sz w:val="18"/>
          <w:szCs w:val="18"/>
          <w:color w:val="auto"/>
        </w:rPr>
        <w:t>In addition to the other terms, conditions and restrictions imposed on the Shares acquired pursuant to this Agreement, the Purchaser expressly acknowledges being subject to Sections 2 (Right of Repurchase), 3 (Right of First Refusal) and 4 (Other Restrictions on Transfer, including without limitation the Market Stand-Off), as well as the following provisions:</w:t>
      </w:r>
    </w:p>
    <w:p>
      <w:pPr>
        <w:spacing w:after="0" w:line="180" w:lineRule="exact"/>
        <w:rPr>
          <w:sz w:val="20"/>
          <w:szCs w:val="20"/>
          <w:color w:val="auto"/>
        </w:rPr>
      </w:pPr>
    </w:p>
    <w:p>
      <w:pPr>
        <w:ind w:firstLine="877"/>
        <w:spacing w:after="0" w:line="274" w:lineRule="auto"/>
        <w:tabs>
          <w:tab w:leader="none" w:pos="1261" w:val="left"/>
        </w:tabs>
        <w:numPr>
          <w:ilvl w:val="0"/>
          <w:numId w:val="267"/>
        </w:numPr>
        <w:rPr>
          <w:rFonts w:ascii="Arial" w:cs="Arial" w:eastAsia="Arial" w:hAnsi="Arial"/>
          <w:sz w:val="17"/>
          <w:szCs w:val="17"/>
          <w:color w:val="auto"/>
        </w:rPr>
      </w:pPr>
      <w:r>
        <w:rPr>
          <w:rFonts w:ascii="Arial" w:cs="Arial" w:eastAsia="Arial" w:hAnsi="Arial"/>
          <w:sz w:val="17"/>
          <w:szCs w:val="17"/>
          <w:b w:val="1"/>
          <w:bCs w:val="1"/>
          <w:color w:val="auto"/>
        </w:rPr>
        <w:t>Waiver of Statutory Information Rights</w:t>
      </w:r>
      <w:r>
        <w:rPr>
          <w:rFonts w:ascii="Arial" w:cs="Arial" w:eastAsia="Arial" w:hAnsi="Arial"/>
          <w:sz w:val="17"/>
          <w:szCs w:val="17"/>
          <w:color w:val="auto"/>
        </w:rPr>
        <w:t>. The Purchaser acknowledges and agrees that, until the first sale of the Company’s Shares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general public pursuant to a registration statement filed under the Securities Act, he or she will be deemed to have waived any rights the Purchaser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Purchaser’s capacity as a stockholder and does not affect any other inspection rights the Purchaser may have under other law or pursuant to a written agreement with the Company.</w:t>
      </w:r>
    </w:p>
    <w:p>
      <w:pPr>
        <w:spacing w:after="0" w:line="173" w:lineRule="exact"/>
        <w:rPr>
          <w:rFonts w:ascii="Arial" w:cs="Arial" w:eastAsia="Arial" w:hAnsi="Arial"/>
          <w:sz w:val="17"/>
          <w:szCs w:val="17"/>
          <w:color w:val="auto"/>
        </w:rPr>
      </w:pPr>
    </w:p>
    <w:p>
      <w:pPr>
        <w:ind w:right="120" w:firstLine="877"/>
        <w:spacing w:after="0" w:line="258" w:lineRule="auto"/>
        <w:tabs>
          <w:tab w:leader="none" w:pos="1271"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Plan Discretionary</w:t>
      </w:r>
      <w:r>
        <w:rPr>
          <w:rFonts w:ascii="Arial" w:cs="Arial" w:eastAsia="Arial" w:hAnsi="Arial"/>
          <w:sz w:val="18"/>
          <w:szCs w:val="18"/>
          <w:color w:val="auto"/>
        </w:rPr>
        <w:t>. The Purchaser understands and acknowledges that (i) the Plan is entirely discretionary, (ii)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employer have reserved the right to amend, suspend or terminate the Plan at any time, (iii) the transfer of the Purchased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183" w:lineRule="exact"/>
        <w:rPr>
          <w:rFonts w:ascii="Arial" w:cs="Arial" w:eastAsia="Arial" w:hAnsi="Arial"/>
          <w:sz w:val="18"/>
          <w:szCs w:val="18"/>
          <w:color w:val="auto"/>
        </w:rPr>
      </w:pPr>
    </w:p>
    <w:p>
      <w:pPr>
        <w:ind w:right="80" w:firstLine="877"/>
        <w:spacing w:after="0" w:line="282" w:lineRule="auto"/>
        <w:tabs>
          <w:tab w:leader="none" w:pos="1261"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Purchaser understands and acknowledges that participation in the Plan ceases upon termination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 for any reason, except as may explicitly be provided otherwise in the Plan or this Agreement.</w:t>
      </w:r>
    </w:p>
    <w:p>
      <w:pPr>
        <w:spacing w:after="0" w:line="161" w:lineRule="exact"/>
        <w:rPr>
          <w:rFonts w:ascii="Arial" w:cs="Arial" w:eastAsia="Arial" w:hAnsi="Arial"/>
          <w:sz w:val="18"/>
          <w:szCs w:val="18"/>
          <w:color w:val="auto"/>
        </w:rPr>
      </w:pPr>
    </w:p>
    <w:p>
      <w:pPr>
        <w:ind w:right="160" w:firstLine="877"/>
        <w:spacing w:after="0" w:line="282" w:lineRule="auto"/>
        <w:tabs>
          <w:tab w:leader="none" w:pos="1271"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Extraordinary Compensation</w:t>
      </w:r>
      <w:r>
        <w:rPr>
          <w:rFonts w:ascii="Arial" w:cs="Arial" w:eastAsia="Arial" w:hAnsi="Arial"/>
          <w:sz w:val="18"/>
          <w:szCs w:val="18"/>
          <w:color w:val="auto"/>
        </w:rPr>
        <w:t>. The value of the Purchased Shares shall be an extraordinary item of compensation outside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Purchaser’s employment contract,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05" w:name="page306"/>
    <w:bookmarkEnd w:id="30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66" w:lineRule="exact"/>
        <w:rPr>
          <w:sz w:val="20"/>
          <w:szCs w:val="20"/>
          <w:color w:val="auto"/>
        </w:rPr>
      </w:pPr>
    </w:p>
    <w:p>
      <w:pPr>
        <w:jc w:val="both"/>
        <w:ind w:right="140" w:firstLine="877"/>
        <w:spacing w:after="0" w:line="314" w:lineRule="auto"/>
        <w:tabs>
          <w:tab w:leader="none" w:pos="1261" w:val="left"/>
        </w:tabs>
        <w:numPr>
          <w:ilvl w:val="0"/>
          <w:numId w:val="268"/>
        </w:numPr>
        <w:rPr>
          <w:rFonts w:ascii="Arial" w:cs="Arial" w:eastAsia="Arial" w:hAnsi="Arial"/>
          <w:sz w:val="16"/>
          <w:szCs w:val="16"/>
          <w:color w:val="auto"/>
        </w:rPr>
      </w:pPr>
      <w:r>
        <w:rPr>
          <w:rFonts w:ascii="Arial" w:cs="Arial" w:eastAsia="Arial" w:hAnsi="Arial"/>
          <w:sz w:val="16"/>
          <w:szCs w:val="16"/>
          <w:b w:val="1"/>
          <w:bCs w:val="1"/>
          <w:color w:val="auto"/>
        </w:rPr>
        <w:t>Authorization to Disclose</w:t>
      </w:r>
      <w:r>
        <w:rPr>
          <w:rFonts w:ascii="Arial" w:cs="Arial" w:eastAsia="Arial" w:hAnsi="Arial"/>
          <w:sz w:val="16"/>
          <w:szCs w:val="16"/>
          <w:color w:val="auto"/>
        </w:rPr>
        <w:t>. The Purchaser hereby authorizes and directs the Purchaser’s employer to disclose to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any information regarding the Purchaser’s employment, the nature and amount of the Purchaser’s compensation and the fact and conditions of the Purchaser’s participation in the Plan, as the Purchaser’s employer deems necessary or appropriate to facilitate the administration of the Plan.</w:t>
      </w:r>
    </w:p>
    <w:p>
      <w:pPr>
        <w:spacing w:after="0" w:line="141" w:lineRule="exact"/>
        <w:rPr>
          <w:rFonts w:ascii="Arial" w:cs="Arial" w:eastAsia="Arial" w:hAnsi="Arial"/>
          <w:sz w:val="16"/>
          <w:szCs w:val="16"/>
          <w:color w:val="auto"/>
        </w:rPr>
      </w:pPr>
    </w:p>
    <w:p>
      <w:pPr>
        <w:ind w:firstLine="877"/>
        <w:spacing w:after="0" w:line="268" w:lineRule="auto"/>
        <w:tabs>
          <w:tab w:leader="none" w:pos="1241"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Personal Data Authorization</w:t>
      </w:r>
      <w:r>
        <w:rPr>
          <w:rFonts w:ascii="Arial" w:cs="Arial" w:eastAsia="Arial" w:hAnsi="Arial"/>
          <w:sz w:val="17"/>
          <w:szCs w:val="17"/>
          <w:color w:val="auto"/>
        </w:rPr>
        <w:t>. The Purchaser consents to the collection, use and transfer of personal data as described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(f). The Purchaser understands and acknowledges that the Company, the Purchaser’s employer and the Company’s other Subsidiaries hold certain personal information regarding the Purchaser for the purpose of managing and administering the Plan, including (without limitation) the Purchaser’s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Purchaser’s favor (the “</w:t>
      </w:r>
      <w:r>
        <w:rPr>
          <w:rFonts w:ascii="Arial" w:cs="Arial" w:eastAsia="Arial" w:hAnsi="Arial"/>
          <w:sz w:val="17"/>
          <w:szCs w:val="17"/>
          <w:b w:val="1"/>
          <w:bCs w:val="1"/>
          <w:color w:val="auto"/>
        </w:rPr>
        <w:t>Data</w:t>
      </w:r>
      <w:r>
        <w:rPr>
          <w:rFonts w:ascii="Arial" w:cs="Arial" w:eastAsia="Arial" w:hAnsi="Arial"/>
          <w:sz w:val="17"/>
          <w:szCs w:val="17"/>
          <w:color w:val="auto"/>
        </w:rPr>
        <w:t>”). The Purchaser further understands and acknowledges that the Company and/or its Subsidiaries will transfer Data among themselves as necessary for the purpose of implementation, administration and management of the Purchaser’s participation in the Plan and that the Company and/or any Subsidiary may each further transfer Data to any third party assisting the Company in the implementation, administration and management of the Plan. The Purchaser understands and acknowledges that the recipients of Data may be located in the United States or elsewhere. The Purchaser authorizes such recipients to receive, possess, use, retain and transfer Data, in electronic or other form, for the purpose of administering the Purchaser’s participation in the Plan, including a transfer to any broker or other third party with whom the Purchaser elects to deposit Shares acquired under the Plan of such Data as may be required for the administration of the Plan and/or the subsequent holding of Shares on the Purchaser’s behalf. The Purchaser may, at any time, view the Data, require any necessary modifications of Data or withdraw the consents set forth in this Subsection (f) by contacting the Company in writing.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117" w:lineRule="exact"/>
        <w:rPr>
          <w:sz w:val="20"/>
          <w:szCs w:val="20"/>
          <w:color w:val="auto"/>
        </w:rPr>
      </w:pPr>
    </w:p>
    <w:p>
      <w:pPr>
        <w:ind w:left="1260" w:hanging="383"/>
        <w:spacing w:after="0"/>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Restricted Share Purchase Agreement.</w:t>
      </w:r>
    </w:p>
    <w:p>
      <w:pPr>
        <w:spacing w:after="0" w:line="225" w:lineRule="exact"/>
        <w:rPr>
          <w:rFonts w:ascii="Arial" w:cs="Arial" w:eastAsia="Arial" w:hAnsi="Arial"/>
          <w:sz w:val="18"/>
          <w:szCs w:val="18"/>
          <w:color w:val="auto"/>
        </w:rPr>
      </w:pPr>
    </w:p>
    <w:p>
      <w:pPr>
        <w:ind w:right="60" w:firstLine="877"/>
        <w:spacing w:after="0" w:line="282" w:lineRule="auto"/>
        <w:tabs>
          <w:tab w:leader="none" w:pos="127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 or, if a Committee has been appointed, such Committee.</w:t>
      </w:r>
    </w:p>
    <w:p>
      <w:pPr>
        <w:spacing w:after="0" w:line="161" w:lineRule="exact"/>
        <w:rPr>
          <w:rFonts w:ascii="Arial" w:cs="Arial" w:eastAsia="Arial" w:hAnsi="Arial"/>
          <w:sz w:val="18"/>
          <w:szCs w:val="18"/>
          <w:color w:val="auto"/>
        </w:rPr>
      </w:pPr>
    </w:p>
    <w:p>
      <w:pPr>
        <w:ind w:left="1260" w:hanging="383"/>
        <w:spacing w:after="0"/>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Zoom Video Communications, Inc., a Delaware corporation.</w:t>
      </w:r>
    </w:p>
    <w:p>
      <w:pPr>
        <w:spacing w:after="0" w:line="225" w:lineRule="exact"/>
        <w:rPr>
          <w:rFonts w:ascii="Arial" w:cs="Arial" w:eastAsia="Arial" w:hAnsi="Arial"/>
          <w:sz w:val="18"/>
          <w:szCs w:val="18"/>
          <w:color w:val="auto"/>
        </w:rPr>
      </w:pPr>
    </w:p>
    <w:p>
      <w:pPr>
        <w:ind w:right="400" w:firstLine="877"/>
        <w:spacing w:after="0" w:line="282" w:lineRule="auto"/>
        <w:tabs>
          <w:tab w:leader="none" w:pos="127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06" w:name="page307"/>
    <w:bookmarkEnd w:id="306"/>
    <w:p>
      <w:pPr>
        <w:ind w:left="1260" w:hanging="383"/>
        <w:spacing w:after="0"/>
        <w:tabs>
          <w:tab w:leader="none" w:pos="12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Plan</w:t>
      </w:r>
      <w:r>
        <w:rPr>
          <w:rFonts w:ascii="Arial" w:cs="Arial" w:eastAsia="Arial" w:hAnsi="Arial"/>
          <w:sz w:val="17"/>
          <w:szCs w:val="17"/>
          <w:color w:val="auto"/>
        </w:rPr>
        <w:t>” shall mean the Zoom Video Communications, Inc. Fourth Amended and Restated 2011 Global Share Plan, as amended.</w:t>
      </w:r>
    </w:p>
    <w:p>
      <w:pPr>
        <w:spacing w:after="0" w:line="236" w:lineRule="exact"/>
        <w:rPr>
          <w:rFonts w:ascii="Arial" w:cs="Arial" w:eastAsia="Arial" w:hAnsi="Arial"/>
          <w:sz w:val="17"/>
          <w:szCs w:val="17"/>
          <w:color w:val="auto"/>
        </w:rPr>
      </w:pPr>
    </w:p>
    <w:p>
      <w:pPr>
        <w:ind w:left="1240" w:hanging="363"/>
        <w:spacing w:after="0"/>
        <w:tabs>
          <w:tab w:leader="none" w:pos="12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shall mean the Shares purchased by the Purchaser pursuant to this Agreement.</w:t>
      </w:r>
    </w:p>
    <w:p>
      <w:pPr>
        <w:spacing w:after="0" w:line="225" w:lineRule="exact"/>
        <w:rPr>
          <w:rFonts w:ascii="Arial" w:cs="Arial" w:eastAsia="Arial" w:hAnsi="Arial"/>
          <w:sz w:val="18"/>
          <w:szCs w:val="18"/>
          <w:color w:val="auto"/>
        </w:rPr>
      </w:pPr>
    </w:p>
    <w:p>
      <w:pPr>
        <w:ind w:right="540" w:firstLine="877"/>
        <w:spacing w:after="0" w:line="282" w:lineRule="auto"/>
        <w:tabs>
          <w:tab w:leader="none" w:pos="127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amount for which one Share may be purchased pursuant to this Agreement, as specified in the Summary of Restricted Share Purchase.</w:t>
      </w:r>
    </w:p>
    <w:p>
      <w:pPr>
        <w:spacing w:after="0" w:line="161" w:lineRule="exact"/>
        <w:rPr>
          <w:rFonts w:ascii="Arial" w:cs="Arial" w:eastAsia="Arial" w:hAnsi="Arial"/>
          <w:sz w:val="18"/>
          <w:szCs w:val="18"/>
          <w:color w:val="auto"/>
        </w:rPr>
      </w:pPr>
    </w:p>
    <w:p>
      <w:pPr>
        <w:ind w:left="1260" w:hanging="383"/>
        <w:spacing w:after="0"/>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shall mean the person named in the Summary of Restricted Share Purchase.</w:t>
      </w:r>
    </w:p>
    <w:p>
      <w:pPr>
        <w:spacing w:after="0" w:line="225" w:lineRule="exact"/>
        <w:rPr>
          <w:rFonts w:ascii="Arial" w:cs="Arial" w:eastAsia="Arial" w:hAnsi="Arial"/>
          <w:sz w:val="18"/>
          <w:szCs w:val="18"/>
          <w:color w:val="auto"/>
        </w:rPr>
      </w:pPr>
    </w:p>
    <w:p>
      <w:pPr>
        <w:ind w:firstLine="877"/>
        <w:spacing w:after="0" w:line="282" w:lineRule="auto"/>
        <w:tabs>
          <w:tab w:leader="none" w:pos="123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Period</w:t>
      </w:r>
      <w:r>
        <w:rPr>
          <w:rFonts w:ascii="Arial" w:cs="Arial" w:eastAsia="Arial" w:hAnsi="Arial"/>
          <w:sz w:val="18"/>
          <w:szCs w:val="18"/>
          <w:color w:val="auto"/>
        </w:rPr>
        <w:t>” shall mean a period of 90 consecutive days commencing on the date when the Purchaser’s Service terminates for any reason, including (without limitation) death or disability.</w:t>
      </w:r>
    </w:p>
    <w:p>
      <w:pPr>
        <w:spacing w:after="0" w:line="161" w:lineRule="exact"/>
        <w:rPr>
          <w:rFonts w:ascii="Arial" w:cs="Arial" w:eastAsia="Arial" w:hAnsi="Arial"/>
          <w:sz w:val="18"/>
          <w:szCs w:val="18"/>
          <w:color w:val="auto"/>
        </w:rPr>
      </w:pPr>
    </w:p>
    <w:p>
      <w:pPr>
        <w:ind w:left="1220" w:hanging="343"/>
        <w:spacing w:after="0"/>
        <w:tabs>
          <w:tab w:leader="none" w:pos="12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shall mean a Purchased Share that is subject to the Right of Repurchase.</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shall mean the Company’s right of first refusal described in Section 3.</w:t>
      </w:r>
    </w:p>
    <w:p>
      <w:pPr>
        <w:spacing w:after="0" w:line="225" w:lineRule="exact"/>
        <w:rPr>
          <w:rFonts w:ascii="Arial" w:cs="Arial" w:eastAsia="Arial" w:hAnsi="Arial"/>
          <w:sz w:val="18"/>
          <w:szCs w:val="18"/>
          <w:color w:val="auto"/>
        </w:rPr>
      </w:pPr>
    </w:p>
    <w:p>
      <w:pPr>
        <w:ind w:left="1220" w:hanging="343"/>
        <w:spacing w:after="0"/>
        <w:tabs>
          <w:tab w:leader="none" w:pos="12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Repurchase</w:t>
      </w:r>
      <w:r>
        <w:rPr>
          <w:rFonts w:ascii="Arial" w:cs="Arial" w:eastAsia="Arial" w:hAnsi="Arial"/>
          <w:sz w:val="18"/>
          <w:szCs w:val="18"/>
          <w:color w:val="auto"/>
        </w:rPr>
        <w:t>” shall mean the Company’s right of repurchase described in Section 2.</w:t>
      </w:r>
    </w:p>
    <w:p>
      <w:pPr>
        <w:spacing w:after="0" w:line="225" w:lineRule="exact"/>
        <w:rPr>
          <w:rFonts w:ascii="Arial" w:cs="Arial" w:eastAsia="Arial" w:hAnsi="Arial"/>
          <w:sz w:val="18"/>
          <w:szCs w:val="18"/>
          <w:color w:val="auto"/>
        </w:rPr>
      </w:pPr>
    </w:p>
    <w:p>
      <w:pPr>
        <w:ind w:left="1320" w:hanging="443"/>
        <w:spacing w:after="0"/>
        <w:tabs>
          <w:tab w:leader="none" w:pos="13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service as an Employee, Director or Consultant.</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shall mean any person to whom the Purchaser has directly or indirectly transferred any Purchased Share.</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mean the notice of a proposed transfer of Purchased Shares described in Section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83(b) E</w:t>
      </w:r>
      <w:r>
        <w:rPr>
          <w:rFonts w:ascii="Arial" w:cs="Arial" w:eastAsia="Arial" w:hAnsi="Arial"/>
          <w:sz w:val="14"/>
          <w:szCs w:val="14"/>
          <w:b w:val="1"/>
          <w:bCs w:val="1"/>
          <w:color w:val="auto"/>
        </w:rPr>
        <w:t>LECTION</w:t>
      </w:r>
    </w:p>
    <w:p>
      <w:pPr>
        <w:spacing w:after="0" w:line="229"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89" w:lineRule="exact"/>
        <w:rPr>
          <w:sz w:val="20"/>
          <w:szCs w:val="20"/>
          <w:color w:val="auto"/>
        </w:rPr>
      </w:pPr>
    </w:p>
    <w:p>
      <w:pPr>
        <w:ind w:left="864" w:hanging="432"/>
        <w:spacing w:after="0"/>
        <w:tabs>
          <w:tab w:leader="none" w:pos="8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taxpayer who performed the services is:</w:t>
      </w:r>
    </w:p>
    <w:p>
      <w:pPr>
        <w:spacing w:after="0" w:line="131" w:lineRule="exact"/>
        <w:rPr>
          <w:sz w:val="20"/>
          <w:szCs w:val="20"/>
          <w:color w:val="auto"/>
        </w:rPr>
      </w:pPr>
    </w:p>
    <w:p>
      <w:pPr>
        <w:ind w:left="88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-10160</wp:posOffset>
            </wp:positionV>
            <wp:extent cx="25704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-19050</wp:posOffset>
            </wp:positionV>
            <wp:extent cx="25990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99055" cy="8255"/>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117475</wp:posOffset>
            </wp:positionV>
            <wp:extent cx="25990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99055" cy="8890"/>
                    </a:xfrm>
                    <a:prstGeom prst="rect">
                      <a:avLst/>
                    </a:prstGeom>
                    <a:noFill/>
                  </pic:spPr>
                </pic:pic>
              </a:graphicData>
            </a:graphic>
          </wp:anchor>
        </w:drawing>
      </w:r>
    </w:p>
    <w:p>
      <w:pPr>
        <w:spacing w:after="0" w:line="174" w:lineRule="exact"/>
        <w:rPr>
          <w:sz w:val="20"/>
          <w:szCs w:val="20"/>
          <w:color w:val="auto"/>
        </w:rPr>
      </w:pPr>
    </w:p>
    <w:tbl>
      <w:tblPr>
        <w:tblLayout w:type="fixed"/>
        <w:tblInd w:w="424"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Social Security No.:</w:t>
            </w:r>
          </w:p>
        </w:tc>
        <w:tc>
          <w:tcPr>
            <w:tcW w:w="1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820" w:type="dxa"/>
            <w:vAlign w:val="bottom"/>
          </w:tcPr>
          <w:p>
            <w:pPr>
              <w:spacing w:after="0"/>
              <w:rPr>
                <w:sz w:val="17"/>
                <w:szCs w:val="17"/>
                <w:color w:val="auto"/>
              </w:rPr>
            </w:pPr>
          </w:p>
        </w:tc>
      </w:tr>
      <w:tr>
        <w:trPr>
          <w:trHeight w:val="358"/>
        </w:trPr>
        <w:tc>
          <w:tcPr>
            <w:tcW w:w="320" w:type="dxa"/>
            <w:vAlign w:val="bottom"/>
          </w:tcPr>
          <w:p>
            <w:pPr>
              <w:spacing w:after="0"/>
              <w:rPr>
                <w:sz w:val="20"/>
                <w:szCs w:val="20"/>
                <w:color w:val="auto"/>
              </w:rPr>
            </w:pPr>
            <w:r>
              <w:rPr>
                <w:rFonts w:ascii="Arial" w:cs="Arial" w:eastAsia="Arial" w:hAnsi="Arial"/>
                <w:sz w:val="18"/>
                <w:szCs w:val="18"/>
                <w:color w:val="auto"/>
              </w:rPr>
              <w:t>(q)</w:t>
            </w: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w w:val="94"/>
              </w:rPr>
              <w:t>The property with respect to which the election is made is</w:t>
            </w:r>
          </w:p>
        </w:tc>
        <w:tc>
          <w:tcPr>
            <w:tcW w:w="600" w:type="dxa"/>
            <w:vAlign w:val="bottom"/>
          </w:tcPr>
          <w:p>
            <w:pPr>
              <w:spacing w:after="0"/>
              <w:rPr>
                <w:sz w:val="24"/>
                <w:szCs w:val="24"/>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w w:val="90"/>
              </w:rPr>
              <w:t>shares of the common stock of Zoom Video Communications, Inc.</w:t>
            </w:r>
          </w:p>
        </w:tc>
      </w:tr>
      <w:tr>
        <w:trPr>
          <w:trHeight w:val="338"/>
        </w:trPr>
        <w:tc>
          <w:tcPr>
            <w:tcW w:w="320" w:type="dxa"/>
            <w:vAlign w:val="bottom"/>
          </w:tcPr>
          <w:p>
            <w:pPr>
              <w:spacing w:after="0"/>
              <w:rPr>
                <w:sz w:val="20"/>
                <w:szCs w:val="20"/>
                <w:color w:val="auto"/>
              </w:rPr>
            </w:pPr>
            <w:r>
              <w:rPr>
                <w:rFonts w:ascii="Arial" w:cs="Arial" w:eastAsia="Arial" w:hAnsi="Arial"/>
                <w:sz w:val="18"/>
                <w:szCs w:val="18"/>
                <w:color w:val="auto"/>
              </w:rPr>
              <w:t>(r)</w:t>
            </w: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w w:val="97"/>
              </w:rPr>
              <w:t>The property was transferred to the taxpayer 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820" w:type="dxa"/>
            <w:vAlign w:val="bottom"/>
          </w:tcPr>
          <w:p>
            <w:pPr>
              <w:spacing w:after="0"/>
              <w:rPr>
                <w:sz w:val="24"/>
                <w:szCs w:val="24"/>
                <w:color w:val="auto"/>
              </w:rPr>
            </w:pPr>
          </w:p>
        </w:tc>
      </w:tr>
    </w:tbl>
    <w:p>
      <w:pPr>
        <w:spacing w:after="0" w:line="107" w:lineRule="exact"/>
        <w:rPr>
          <w:sz w:val="20"/>
          <w:szCs w:val="20"/>
          <w:color w:val="auto"/>
        </w:rPr>
      </w:pPr>
    </w:p>
    <w:p>
      <w:pPr>
        <w:ind w:left="864" w:hanging="432"/>
        <w:spacing w:after="0"/>
        <w:tabs>
          <w:tab w:leader="none" w:pos="8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taxable year for which the election is made is the calendar year 2015.</w:t>
      </w:r>
    </w:p>
    <w:p>
      <w:pPr>
        <w:spacing w:after="0" w:line="130" w:lineRule="exact"/>
        <w:rPr>
          <w:rFonts w:ascii="Arial" w:cs="Arial" w:eastAsia="Arial" w:hAnsi="Arial"/>
          <w:sz w:val="18"/>
          <w:szCs w:val="18"/>
          <w:color w:val="auto"/>
        </w:rPr>
      </w:pPr>
    </w:p>
    <w:p>
      <w:pPr>
        <w:ind w:left="864" w:hanging="432"/>
        <w:spacing w:after="0"/>
        <w:tabs>
          <w:tab w:leader="none" w:pos="86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property is subject to a repurchase right pursuant to which the issuer has the right to acquire the property if for any reason taxpayer’s</w:t>
      </w:r>
    </w:p>
    <w:p>
      <w:pPr>
        <w:spacing w:after="0" w:line="46" w:lineRule="exact"/>
        <w:rPr>
          <w:sz w:val="20"/>
          <w:szCs w:val="20"/>
          <w:color w:val="auto"/>
        </w:rPr>
      </w:pPr>
    </w:p>
    <w:p>
      <w:pPr>
        <w:ind w:left="864" w:right="520"/>
        <w:spacing w:after="0" w:line="260" w:lineRule="auto"/>
        <w:rPr>
          <w:sz w:val="20"/>
          <w:szCs w:val="20"/>
          <w:color w:val="auto"/>
        </w:rPr>
      </w:pPr>
      <w:r>
        <w:rPr>
          <w:rFonts w:ascii="Arial" w:cs="Arial" w:eastAsia="Arial" w:hAnsi="Arial"/>
          <w:sz w:val="18"/>
          <w:szCs w:val="18"/>
          <w:color w:val="auto"/>
        </w:rPr>
        <w:t>service with the issuer terminates. The issuer’s repurchase right lapses in a series of installments over a -year period ending on , .</w:t>
      </w:r>
    </w:p>
    <w:p>
      <w:pPr>
        <w:ind w:left="864" w:hanging="432"/>
        <w:spacing w:after="0" w:line="185" w:lineRule="auto"/>
        <w:tabs>
          <w:tab w:leader="none" w:pos="864" w:val="left"/>
        </w:tabs>
        <w:numPr>
          <w:ilvl w:val="0"/>
          <w:numId w:val="273"/>
        </w:numPr>
        <w:rPr>
          <w:rFonts w:ascii="Arial" w:cs="Arial" w:eastAsia="Arial" w:hAnsi="Arial"/>
          <w:sz w:val="12"/>
          <w:szCs w:val="12"/>
          <w:color w:val="auto"/>
        </w:rPr>
      </w:pPr>
      <w:r>
        <w:rPr>
          <w:rFonts w:ascii="Arial" w:cs="Arial" w:eastAsia="Arial" w:hAnsi="Arial"/>
          <w:sz w:val="12"/>
          <w:szCs w:val="12"/>
          <w:color w:val="auto"/>
        </w:rPr>
        <w:t>The fair market value of such property at the time of transfer (determined without regard to any restriction other than a restriction that by its</w:t>
      </w:r>
    </w:p>
    <w:p>
      <w:pPr>
        <w:spacing w:after="0" w:line="200" w:lineRule="exact"/>
        <w:rPr>
          <w:sz w:val="20"/>
          <w:szCs w:val="20"/>
          <w:color w:val="auto"/>
        </w:rPr>
      </w:pPr>
    </w:p>
    <w:p>
      <w:pPr>
        <w:ind w:left="864"/>
        <w:spacing w:after="0"/>
        <w:tabs>
          <w:tab w:leader="none" w:pos="3144" w:val="left"/>
          <w:tab w:leader="none" w:pos="4704" w:val="left"/>
          <w:tab w:leader="none" w:pos="5784" w:val="left"/>
        </w:tabs>
        <w:rPr>
          <w:sz w:val="20"/>
          <w:szCs w:val="20"/>
          <w:color w:val="auto"/>
        </w:rPr>
      </w:pPr>
      <w:r>
        <w:rPr>
          <w:rFonts w:ascii="Arial" w:cs="Arial" w:eastAsia="Arial" w:hAnsi="Arial"/>
          <w:sz w:val="18"/>
          <w:szCs w:val="18"/>
          <w:color w:val="auto"/>
        </w:rPr>
        <w:t>terms will never lapse) is $</w:t>
      </w:r>
      <w:r>
        <w:rPr>
          <w:sz w:val="20"/>
          <w:szCs w:val="20"/>
          <w:color w:val="auto"/>
        </w:rPr>
        <w:tab/>
      </w:r>
      <w:r>
        <w:rPr>
          <w:rFonts w:ascii="Arial" w:cs="Arial" w:eastAsia="Arial" w:hAnsi="Arial"/>
          <w:sz w:val="18"/>
          <w:szCs w:val="18"/>
          <w:color w:val="auto"/>
        </w:rPr>
        <w:t>per share x</w:t>
      </w:r>
      <w:r>
        <w:rPr>
          <w:sz w:val="20"/>
          <w:szCs w:val="20"/>
          <w:color w:val="auto"/>
        </w:rPr>
        <w:tab/>
      </w:r>
      <w:r>
        <w:rPr>
          <w:rFonts w:ascii="Arial" w:cs="Arial" w:eastAsia="Arial" w:hAnsi="Arial"/>
          <w:sz w:val="18"/>
          <w:szCs w:val="18"/>
          <w:color w:val="auto"/>
        </w:rPr>
        <w:t>shares = $</w:t>
      </w:r>
      <w:r>
        <w:rPr>
          <w:sz w:val="20"/>
          <w:szCs w:val="20"/>
          <w:color w:val="auto"/>
        </w:rPr>
        <w:tab/>
      </w:r>
      <w:r>
        <w:rPr>
          <w:rFonts w:ascii="Arial" w:cs="Arial" w:eastAsia="Arial" w:hAnsi="Arial"/>
          <w:sz w:val="18"/>
          <w:szCs w:val="18"/>
          <w:color w:val="auto"/>
        </w:rPr>
        <w:t>.</w:t>
      </w:r>
    </w:p>
    <w:p>
      <w:pPr>
        <w:sectPr>
          <w:pgSz w:w="11900" w:h="16838" w:orient="portrait"/>
          <w:cols w:equalWidth="0" w:num="1">
            <w:col w:w="11024"/>
          </w:cols>
          <w:pgMar w:left="436" w:top="270" w:right="439" w:bottom="1440" w:gutter="0" w:footer="0" w:header="0"/>
        </w:sectPr>
      </w:pPr>
    </w:p>
    <w:p>
      <w:pPr>
        <w:spacing w:after="0" w:line="131" w:lineRule="exact"/>
        <w:rPr>
          <w:sz w:val="20"/>
          <w:szCs w:val="20"/>
          <w:color w:val="auto"/>
        </w:rPr>
      </w:pPr>
    </w:p>
    <w:p>
      <w:pPr>
        <w:jc w:val="center"/>
        <w:ind w:left="424"/>
        <w:spacing w:after="0"/>
        <w:tabs>
          <w:tab w:leader="none" w:pos="200" w:val="left"/>
        </w:tabs>
        <w:rPr>
          <w:sz w:val="20"/>
          <w:szCs w:val="20"/>
          <w:color w:val="auto"/>
        </w:rPr>
      </w:pPr>
      <w:r>
        <w:rPr>
          <w:rFonts w:ascii="Arial" w:cs="Arial" w:eastAsia="Arial" w:hAnsi="Arial"/>
          <w:sz w:val="18"/>
          <w:szCs w:val="18"/>
          <w:color w:val="auto"/>
        </w:rPr>
        <w:t>(v)</w:t>
        <w:tab/>
        <w:t>For the property transferred, the taxpayer paid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per share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shares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8" w:lineRule="exact"/>
        <w:rPr>
          <w:sz w:val="20"/>
          <w:szCs w:val="20"/>
          <w:color w:val="auto"/>
        </w:rPr>
      </w:pPr>
    </w:p>
    <w:p>
      <w:pPr>
        <w:sectPr>
          <w:pgSz w:w="11900" w:h="16838" w:orient="portrait"/>
          <w:cols w:equalWidth="0" w:num="4">
            <w:col w:w="4324" w:space="400"/>
            <w:col w:w="840" w:space="720"/>
            <w:col w:w="740" w:space="360"/>
            <w:col w:w="3640"/>
          </w:cols>
          <w:pgMar w:left="436" w:top="270" w:right="439" w:bottom="1440" w:gutter="0" w:footer="0" w:header="0"/>
          <w:type w:val="continuous"/>
        </w:sectPr>
      </w:pPr>
    </w:p>
    <w:p>
      <w:pPr>
        <w:ind w:left="864" w:hanging="432"/>
        <w:spacing w:after="0"/>
        <w:tabs>
          <w:tab w:leader="none" w:pos="8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amount to include in gross income is $</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amount in Item F less the amount in Item G]</w:t>
      </w:r>
    </w:p>
    <w:p>
      <w:pPr>
        <w:spacing w:after="0" w:line="130" w:lineRule="exact"/>
        <w:rPr>
          <w:rFonts w:ascii="Arial" w:cs="Arial" w:eastAsia="Arial" w:hAnsi="Arial"/>
          <w:sz w:val="18"/>
          <w:szCs w:val="18"/>
          <w:color w:val="auto"/>
        </w:rPr>
      </w:pPr>
    </w:p>
    <w:p>
      <w:pPr>
        <w:ind w:left="864" w:right="460" w:hanging="432"/>
        <w:spacing w:after="0" w:line="277" w:lineRule="auto"/>
        <w:tabs>
          <w:tab w:leader="none" w:pos="8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copy of this statement was furnished to Zoom Video Communications, Inc., for whom taxpayer rendered the services underlying the transfer of such property.</w:t>
      </w:r>
    </w:p>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300" w:type="dxa"/>
            <w:vAlign w:val="bottom"/>
          </w:tcPr>
          <w:p>
            <w:pPr>
              <w:ind w:left="420"/>
              <w:spacing w:after="0"/>
              <w:rPr>
                <w:sz w:val="20"/>
                <w:szCs w:val="20"/>
                <w:color w:val="auto"/>
              </w:rPr>
            </w:pPr>
            <w:r>
              <w:rPr>
                <w:rFonts w:ascii="Arial" w:cs="Arial" w:eastAsia="Arial" w:hAnsi="Arial"/>
                <w:sz w:val="18"/>
                <w:szCs w:val="18"/>
                <w:color w:val="auto"/>
              </w:rPr>
              <w:t>(y)   This statement is executed on</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59"/>
        </w:trPr>
        <w:tc>
          <w:tcPr>
            <w:tcW w:w="3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Signature of Spouse (if any)</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Signature of Taxpayer</w:t>
            </w:r>
          </w:p>
        </w:tc>
      </w:tr>
    </w:tbl>
    <w:p>
      <w:pPr>
        <w:spacing w:after="0" w:line="309" w:lineRule="exact"/>
        <w:rPr>
          <w:sz w:val="20"/>
          <w:szCs w:val="20"/>
          <w:color w:val="auto"/>
        </w:rPr>
      </w:pPr>
    </w:p>
    <w:p>
      <w:pPr>
        <w:ind w:left="4" w:right="120"/>
        <w:spacing w:after="0" w:line="310" w:lineRule="auto"/>
        <w:rPr>
          <w:sz w:val="20"/>
          <w:szCs w:val="20"/>
          <w:color w:val="auto"/>
        </w:rPr>
      </w:pPr>
      <w:r>
        <w:rPr>
          <w:rFonts w:ascii="Arial" w:cs="Arial" w:eastAsia="Arial" w:hAnsi="Arial"/>
          <w:sz w:val="15"/>
          <w:szCs w:val="15"/>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w:t>
      </w:r>
    </w:p>
    <w:p>
      <w:pPr>
        <w:spacing w:after="0" w:line="1" w:lineRule="exact"/>
        <w:rPr>
          <w:sz w:val="20"/>
          <w:szCs w:val="20"/>
          <w:color w:val="auto"/>
        </w:rPr>
      </w:pPr>
    </w:p>
    <w:p>
      <w:pPr>
        <w:ind w:left="264" w:hanging="264"/>
        <w:spacing w:after="0"/>
        <w:tabs>
          <w:tab w:leader="none" w:pos="264" w:val="left"/>
        </w:tabs>
        <w:numPr>
          <w:ilvl w:val="0"/>
          <w:numId w:val="2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 a copy of the completed form with his or her federal income tax return for the taxable year in which the property is transferred and</w:t>
      </w:r>
    </w:p>
    <w:p>
      <w:pPr>
        <w:spacing w:after="0" w:line="32" w:lineRule="exact"/>
        <w:rPr>
          <w:rFonts w:ascii="Arial" w:cs="Arial" w:eastAsia="Arial" w:hAnsi="Arial"/>
          <w:sz w:val="16"/>
          <w:szCs w:val="16"/>
          <w:b w:val="1"/>
          <w:bCs w:val="1"/>
          <w:i w:val="1"/>
          <w:iCs w:val="1"/>
          <w:color w:val="auto"/>
        </w:rPr>
      </w:pPr>
    </w:p>
    <w:p>
      <w:pPr>
        <w:ind w:left="264" w:hanging="264"/>
        <w:spacing w:after="0"/>
        <w:tabs>
          <w:tab w:leader="none" w:pos="264" w:val="left"/>
        </w:tabs>
        <w:numPr>
          <w:ilvl w:val="0"/>
          <w:numId w:val="2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 an additional copy to the Company.</w:t>
      </w:r>
    </w:p>
    <w:p>
      <w:pPr>
        <w:sectPr>
          <w:pgSz w:w="11900" w:h="16838" w:orient="portrait"/>
          <w:cols w:equalWidth="0" w:num="1">
            <w:col w:w="11024"/>
          </w:cols>
          <w:pgMar w:left="436" w:top="270" w:right="439" w:bottom="1440" w:gutter="0" w:footer="0" w:header="0"/>
          <w:type w:val="continuous"/>
        </w:sectPr>
      </w:pPr>
    </w:p>
    <w:bookmarkStart w:id="308" w:name="page309"/>
    <w:bookmarkEnd w:id="30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ZOOM VIDEO COMMUNICATIONS,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2011 GLOBAL SHARE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U.S. SHARE OPTION AGREEMENT</w:t>
      </w:r>
    </w:p>
    <w:p>
      <w:pPr>
        <w:spacing w:after="0" w:line="229"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you, Employee Name (the “</w:t>
      </w:r>
      <w:r>
        <w:rPr>
          <w:rFonts w:ascii="Arial" w:cs="Arial" w:eastAsia="Arial" w:hAnsi="Arial"/>
          <w:sz w:val="18"/>
          <w:szCs w:val="18"/>
          <w:u w:val="single" w:color="auto"/>
          <w:color w:val="auto"/>
        </w:rPr>
        <w:t>Participant</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under the Company’s 2011 Global Share Plan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shares of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the Company. Subject to the provisions of the Plan and the Option Rules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principal features of the Option are as follows: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-10160</wp:posOffset>
            </wp:positionV>
            <wp:extent cx="11709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-19050</wp:posOffset>
            </wp:positionV>
            <wp:extent cx="11709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-19050</wp:posOffset>
            </wp:positionV>
            <wp:extent cx="117094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-19050</wp:posOffset>
            </wp:positionV>
            <wp:extent cx="117094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Number of Shares subject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-19050</wp:posOffset>
            </wp:positionV>
            <wp:extent cx="11709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83" w:lineRule="exact"/>
        <w:rPr>
          <w:sz w:val="20"/>
          <w:szCs w:val="20"/>
          <w:color w:val="auto"/>
        </w:rPr>
      </w:pPr>
    </w:p>
    <w:p>
      <w:pPr>
        <w:ind w:left="4"/>
        <w:spacing w:after="0"/>
        <w:tabs>
          <w:tab w:leader="none" w:pos="3404" w:val="left"/>
          <w:tab w:leader="none" w:pos="4084"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Arial" w:cs="Arial" w:eastAsia="Arial" w:hAnsi="Arial"/>
          <w:sz w:val="18"/>
          <w:szCs w:val="18"/>
          <w:u w:val="single" w:color="auto"/>
          <w:color w:val="auto"/>
        </w:rPr>
        <w:t>ISO</w:t>
      </w:r>
      <w:r>
        <w:rPr>
          <w:sz w:val="20"/>
          <w:szCs w:val="20"/>
          <w:color w:val="auto"/>
        </w:rPr>
        <w:tab/>
      </w:r>
      <w:r>
        <w:rPr>
          <w:rFonts w:ascii="Arial" w:cs="Arial" w:eastAsia="Arial" w:hAnsi="Arial"/>
          <w:sz w:val="16"/>
          <w:szCs w:val="16"/>
          <w:color w:val="auto"/>
        </w:rPr>
        <w:t>Incentive Stock Option (to the extent permitted by Applicable Law)</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-10160</wp:posOffset>
            </wp:positionV>
            <wp:extent cx="11709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31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The Option shall become exercisable, in whole or in part, in accordance with the terms of the Plan, the Option Rules (attached hereto as </w:t>
      </w:r>
      <w:r>
        <w:rPr>
          <w:rFonts w:ascii="Arial" w:cs="Arial" w:eastAsia="Arial" w:hAnsi="Arial"/>
          <w:sz w:val="16"/>
          <w:szCs w:val="16"/>
          <w:u w:val="single" w:color="auto"/>
          <w:color w:val="auto"/>
        </w:rPr>
        <w:t>Exhibit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the following vesting schedule:</w:t>
      </w:r>
    </w:p>
    <w:p>
      <w:pPr>
        <w:spacing w:after="0" w:line="21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Twenty-five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Option Termination:</w:t>
      </w:r>
    </w:p>
    <w:p>
      <w:pPr>
        <w:spacing w:after="0" w:line="114"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color w:val="auto"/>
                <w:w w:val="94"/>
              </w:rPr>
              <w:t>Event Triggering Option Termination</w:t>
            </w:r>
          </w:p>
        </w:tc>
        <w:tc>
          <w:tcPr>
            <w:tcW w:w="3700" w:type="dxa"/>
            <w:vAlign w:val="bottom"/>
            <w:vMerge w:val="restart"/>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Maximum Time to Exercise</w:t>
            </w:r>
          </w:p>
        </w:tc>
        <w:tc>
          <w:tcPr>
            <w:tcW w:w="0" w:type="dxa"/>
            <w:vAlign w:val="bottom"/>
          </w:tcPr>
          <w:p>
            <w:pPr>
              <w:spacing w:after="0"/>
              <w:rPr>
                <w:sz w:val="1"/>
                <w:szCs w:val="1"/>
                <w:color w:val="auto"/>
              </w:rPr>
            </w:pPr>
          </w:p>
        </w:tc>
      </w:tr>
      <w:tr>
        <w:trPr>
          <w:trHeight w:val="174"/>
        </w:trPr>
        <w:tc>
          <w:tcPr>
            <w:tcW w:w="216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8"/>
              </w:rPr>
              <w:t>After Triggering Event*</w:t>
            </w:r>
          </w:p>
        </w:tc>
        <w:tc>
          <w:tcPr>
            <w:tcW w:w="0" w:type="dxa"/>
            <w:vAlign w:val="bottom"/>
          </w:tcPr>
          <w:p>
            <w:pPr>
              <w:spacing w:after="0"/>
              <w:rPr>
                <w:sz w:val="1"/>
                <w:szCs w:val="1"/>
                <w:color w:val="auto"/>
              </w:rPr>
            </w:pPr>
          </w:p>
        </w:tc>
      </w:tr>
      <w:tr>
        <w:trPr>
          <w:trHeight w:val="189"/>
        </w:trPr>
        <w:tc>
          <w:tcPr>
            <w:tcW w:w="5860" w:type="dxa"/>
            <w:vAlign w:val="bottom"/>
            <w:gridSpan w:val="2"/>
          </w:tcPr>
          <w:p>
            <w:pPr>
              <w:spacing w:after="0" w:line="189" w:lineRule="exact"/>
              <w:rPr>
                <w:sz w:val="20"/>
                <w:szCs w:val="20"/>
                <w:color w:val="auto"/>
              </w:rPr>
            </w:pPr>
            <w:r>
              <w:rPr>
                <w:rFonts w:ascii="Arial" w:cs="Arial" w:eastAsia="Arial" w:hAnsi="Arial"/>
                <w:sz w:val="18"/>
                <w:szCs w:val="18"/>
                <w:color w:val="auto"/>
              </w:rPr>
              <w:t>Termination as Service Provider (except as provided below)</w:t>
            </w:r>
          </w:p>
        </w:tc>
        <w:tc>
          <w:tcPr>
            <w:tcW w:w="1620" w:type="dxa"/>
            <w:vAlign w:val="bottom"/>
          </w:tcPr>
          <w:p>
            <w:pPr>
              <w:jc w:val="center"/>
              <w:spacing w:after="0" w:line="189" w:lineRule="exact"/>
              <w:rPr>
                <w:sz w:val="20"/>
                <w:szCs w:val="20"/>
                <w:color w:val="auto"/>
              </w:rPr>
            </w:pPr>
            <w:r>
              <w:rPr>
                <w:rFonts w:ascii="Arial" w:cs="Arial" w:eastAsia="Arial" w:hAnsi="Arial"/>
                <w:sz w:val="18"/>
                <w:szCs w:val="18"/>
                <w:color w:val="auto"/>
                <w:w w:val="89"/>
              </w:rPr>
              <w:t>3 months</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Disability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death</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4" w:right="200" w:hanging="224"/>
        <w:spacing w:after="0" w:line="263" w:lineRule="auto"/>
        <w:tabs>
          <w:tab w:leader="none" w:pos="2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Option may only be exercised as to Shares that have vested as of the date of the Participant’s termination as a Service Provider and in no event may the Option be exercised after the Expiration Date. </w:t>
      </w:r>
      <w:r>
        <w:rPr>
          <w:rFonts w:ascii="Arial" w:cs="Arial" w:eastAsia="Arial" w:hAnsi="Arial"/>
          <w:sz w:val="18"/>
          <w:szCs w:val="18"/>
          <w:b w:val="1"/>
          <w:bCs w:val="1"/>
          <w:color w:val="auto"/>
        </w:rPr>
        <w:t>It is the Participant’s responsibility to exercise the Option, if the Participant so desires,</w:t>
      </w:r>
      <w:r>
        <w:rPr>
          <w:rFonts w:ascii="Arial" w:cs="Arial" w:eastAsia="Arial" w:hAnsi="Arial"/>
          <w:sz w:val="18"/>
          <w:szCs w:val="18"/>
          <w:color w:val="auto"/>
        </w:rPr>
        <w:t xml:space="preserve"> </w:t>
      </w:r>
      <w:r>
        <w:rPr>
          <w:rFonts w:ascii="Arial" w:cs="Arial" w:eastAsia="Arial" w:hAnsi="Arial"/>
          <w:sz w:val="18"/>
          <w:szCs w:val="18"/>
          <w:b w:val="1"/>
          <w:bCs w:val="1"/>
          <w:color w:val="auto"/>
        </w:rPr>
        <w:t>before it expires or terminates.</w:t>
      </w:r>
    </w:p>
    <w:p>
      <w:pPr>
        <w:spacing w:after="0" w:line="184"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 xml:space="preserve">The Participant’s signature below indicates his or her agreement, understanding, and acceptance that the Option is subject to all of the terms and conditions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Plan. </w:t>
      </w:r>
      <w:r>
        <w:rPr>
          <w:rFonts w:ascii="Arial" w:cs="Arial" w:eastAsia="Arial" w:hAnsi="Arial"/>
          <w:sz w:val="18"/>
          <w:szCs w:val="18"/>
          <w:b w:val="1"/>
          <w:bCs w:val="1"/>
          <w:color w:val="auto"/>
        </w:rPr>
        <w:t>Please be sure to read all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which contains the specific terms and conditions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This U.S. Share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does not represent a securities interest in the Company, which interest may accrue only upon the exercise of the Option in accordance with its terms.</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ZOOM VIDEO COMMUNICATIONS, INC.</w:t>
            </w:r>
          </w:p>
        </w:tc>
        <w:tc>
          <w:tcPr>
            <w:tcW w:w="5940" w:type="dxa"/>
            <w:vAlign w:val="bottom"/>
            <w:gridSpan w:val="2"/>
          </w:tcPr>
          <w:p>
            <w:pPr>
              <w:ind w:left="760"/>
              <w:spacing w:after="0"/>
              <w:rPr>
                <w:sz w:val="20"/>
                <w:szCs w:val="20"/>
                <w:color w:val="auto"/>
              </w:rPr>
            </w:pPr>
            <w:r>
              <w:rPr>
                <w:rFonts w:ascii="Arial" w:cs="Arial" w:eastAsia="Arial" w:hAnsi="Arial"/>
                <w:sz w:val="18"/>
                <w:szCs w:val="18"/>
                <w:color w:val="auto"/>
              </w:rPr>
              <w:t>PARTICIPANT</w:t>
            </w:r>
          </w:p>
        </w:tc>
      </w:tr>
      <w:tr>
        <w:trPr>
          <w:trHeight w:val="432"/>
        </w:trPr>
        <w:tc>
          <w:tcPr>
            <w:tcW w:w="50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President and CEO</w:t>
            </w:r>
          </w:p>
        </w:tc>
        <w:tc>
          <w:tcPr>
            <w:tcW w:w="7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Signed</w:t>
            </w:r>
          </w:p>
        </w:tc>
      </w:tr>
    </w:tbl>
    <w:p>
      <w:pPr>
        <w:sectPr>
          <w:pgSz w:w="11900" w:h="16838" w:orient="portrait"/>
          <w:cols w:equalWidth="0" w:num="1">
            <w:col w:w="11024"/>
          </w:cols>
          <w:pgMar w:left="436" w:top="270" w:right="439" w:bottom="1440" w:gutter="0" w:footer="0" w:header="0"/>
        </w:sectPr>
      </w:pPr>
    </w:p>
    <w:bookmarkStart w:id="309" w:name="page310"/>
    <w:bookmarkEnd w:id="30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ZOOM VIDEO COMMUNICATIONS, INC.</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2011 GLOBAL SHARE PLAN</w:t>
      </w:r>
    </w:p>
    <w:p>
      <w:pPr>
        <w:spacing w:after="0" w:line="20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U.S. SHARE OPTION AGREEMENT</w:t>
      </w:r>
    </w:p>
    <w:p>
      <w:pPr>
        <w:spacing w:after="0" w:line="229"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Zoom Video Communications,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you, Participant Name (the “</w:t>
      </w:r>
      <w:r>
        <w:rPr>
          <w:rFonts w:ascii="Arial" w:cs="Arial" w:eastAsia="Arial" w:hAnsi="Arial"/>
          <w:sz w:val="17"/>
          <w:szCs w:val="17"/>
          <w:u w:val="single" w:color="auto"/>
          <w:color w:val="auto"/>
        </w:rPr>
        <w:t>Participant</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under the Company’s 2011 Global Share Plan (the “</w:t>
      </w:r>
      <w:r>
        <w:rPr>
          <w:rFonts w:ascii="Arial" w:cs="Arial" w:eastAsia="Arial" w:hAnsi="Arial"/>
          <w:sz w:val="17"/>
          <w:szCs w:val="17"/>
          <w:u w:val="single" w:color="auto"/>
          <w:color w:val="auto"/>
        </w:rPr>
        <w:t>Plan</w:t>
      </w:r>
      <w:r>
        <w:rPr>
          <w:rFonts w:ascii="Arial" w:cs="Arial" w:eastAsia="Arial" w:hAnsi="Arial"/>
          <w:sz w:val="17"/>
          <w:szCs w:val="17"/>
          <w:color w:val="auto"/>
        </w:rPr>
        <w:t>”)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of the Company. Subject to the provisions of the Plan and the Option Rules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principal features of the Option are as follows: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-10160</wp:posOffset>
            </wp:positionV>
            <wp:extent cx="11709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-19050</wp:posOffset>
            </wp:positionV>
            <wp:extent cx="11709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-19050</wp:posOffset>
            </wp:positionV>
            <wp:extent cx="117094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-19050</wp:posOffset>
            </wp:positionV>
            <wp:extent cx="11709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Number of Shares subject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-19050</wp:posOffset>
            </wp:positionV>
            <wp:extent cx="11709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83" w:lineRule="exact"/>
        <w:rPr>
          <w:sz w:val="20"/>
          <w:szCs w:val="20"/>
          <w:color w:val="auto"/>
        </w:rPr>
      </w:pPr>
    </w:p>
    <w:p>
      <w:pPr>
        <w:ind w:left="4"/>
        <w:spacing w:after="0"/>
        <w:tabs>
          <w:tab w:leader="none" w:pos="3284" w:val="left"/>
          <w:tab w:leader="none" w:pos="5184"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Arial" w:cs="Arial" w:eastAsia="Arial" w:hAnsi="Arial"/>
          <w:sz w:val="18"/>
          <w:szCs w:val="18"/>
          <w:u w:val="single" w:color="auto"/>
          <w:color w:val="auto"/>
        </w:rPr>
        <w:t>NSO</w:t>
      </w:r>
      <w:r>
        <w:rPr>
          <w:sz w:val="20"/>
          <w:szCs w:val="20"/>
          <w:color w:val="auto"/>
        </w:rPr>
        <w:tab/>
      </w:r>
      <w:r>
        <w:rPr>
          <w:rFonts w:ascii="Arial" w:cs="Arial" w:eastAsia="Arial" w:hAnsi="Arial"/>
          <w:sz w:val="16"/>
          <w:szCs w:val="16"/>
          <w:color w:val="auto"/>
        </w:rPr>
        <w:t>Nonstatutory Stock Option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-10160</wp:posOffset>
            </wp:positionV>
            <wp:extent cx="117094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31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7"/>
          <w:szCs w:val="17"/>
          <w:color w:val="auto"/>
        </w:rPr>
        <w:t>The Option shall become exercisable, in whole or in part, in accordance with the terms of the Plan, the Option Rules (attached hereto as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and the following vesting schedule:</w:t>
      </w:r>
    </w:p>
    <w:p>
      <w:pPr>
        <w:spacing w:after="0" w:line="211"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One forty-eighth (1/48th) of the Shares subject to the Option shall vest each month on the same day of the month as the Vesting Commencement Date (and if there is no corresponding day, on the last day of the month), subject to Participant continuing to be a Service Provider through each such date.</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Option Termination</w:t>
      </w:r>
      <w:r>
        <w:rPr>
          <w:rFonts w:ascii="Arial" w:cs="Arial" w:eastAsia="Arial" w:hAnsi="Arial"/>
          <w:sz w:val="18"/>
          <w:szCs w:val="18"/>
          <w:color w:val="auto"/>
        </w:rPr>
        <w:t>:</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color w:val="auto"/>
                <w:w w:val="94"/>
              </w:rPr>
              <w:t>Event Triggering Option Termination</w:t>
            </w:r>
          </w:p>
        </w:tc>
        <w:tc>
          <w:tcPr>
            <w:tcW w:w="3700" w:type="dxa"/>
            <w:vAlign w:val="bottom"/>
            <w:vMerge w:val="restart"/>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Maximum Time to Exercise</w:t>
            </w:r>
          </w:p>
        </w:tc>
        <w:tc>
          <w:tcPr>
            <w:tcW w:w="0" w:type="dxa"/>
            <w:vAlign w:val="bottom"/>
          </w:tcPr>
          <w:p>
            <w:pPr>
              <w:spacing w:after="0"/>
              <w:rPr>
                <w:sz w:val="1"/>
                <w:szCs w:val="1"/>
                <w:color w:val="auto"/>
              </w:rPr>
            </w:pPr>
          </w:p>
        </w:tc>
      </w:tr>
      <w:tr>
        <w:trPr>
          <w:trHeight w:val="174"/>
        </w:trPr>
        <w:tc>
          <w:tcPr>
            <w:tcW w:w="216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6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8"/>
              </w:rPr>
              <w:t>After Triggering Event*</w:t>
            </w:r>
          </w:p>
        </w:tc>
        <w:tc>
          <w:tcPr>
            <w:tcW w:w="0" w:type="dxa"/>
            <w:vAlign w:val="bottom"/>
          </w:tcPr>
          <w:p>
            <w:pPr>
              <w:spacing w:after="0"/>
              <w:rPr>
                <w:sz w:val="1"/>
                <w:szCs w:val="1"/>
                <w:color w:val="auto"/>
              </w:rPr>
            </w:pPr>
          </w:p>
        </w:tc>
      </w:tr>
      <w:tr>
        <w:trPr>
          <w:trHeight w:val="189"/>
        </w:trPr>
        <w:tc>
          <w:tcPr>
            <w:tcW w:w="5860" w:type="dxa"/>
            <w:vAlign w:val="bottom"/>
            <w:gridSpan w:val="2"/>
          </w:tcPr>
          <w:p>
            <w:pPr>
              <w:spacing w:after="0" w:line="189" w:lineRule="exact"/>
              <w:rPr>
                <w:sz w:val="20"/>
                <w:szCs w:val="20"/>
                <w:color w:val="auto"/>
              </w:rPr>
            </w:pPr>
            <w:r>
              <w:rPr>
                <w:rFonts w:ascii="Arial" w:cs="Arial" w:eastAsia="Arial" w:hAnsi="Arial"/>
                <w:sz w:val="18"/>
                <w:szCs w:val="18"/>
                <w:color w:val="auto"/>
              </w:rPr>
              <w:t>Termination as Service Provider (except as provided below)</w:t>
            </w:r>
          </w:p>
        </w:tc>
        <w:tc>
          <w:tcPr>
            <w:tcW w:w="1620" w:type="dxa"/>
            <w:vAlign w:val="bottom"/>
          </w:tcPr>
          <w:p>
            <w:pPr>
              <w:jc w:val="center"/>
              <w:spacing w:after="0" w:line="189" w:lineRule="exact"/>
              <w:rPr>
                <w:sz w:val="20"/>
                <w:szCs w:val="20"/>
                <w:color w:val="auto"/>
              </w:rPr>
            </w:pPr>
            <w:r>
              <w:rPr>
                <w:rFonts w:ascii="Arial" w:cs="Arial" w:eastAsia="Arial" w:hAnsi="Arial"/>
                <w:sz w:val="18"/>
                <w:szCs w:val="18"/>
                <w:color w:val="auto"/>
                <w:w w:val="89"/>
              </w:rPr>
              <w:t>3 months</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Disability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death</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4" w:right="80" w:hanging="224"/>
        <w:spacing w:after="0" w:line="263" w:lineRule="auto"/>
        <w:tabs>
          <w:tab w:leader="none" w:pos="2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Option may only be exercised as to Shares that have vested as of the date of the Participant’s termination as a Service Provider and in no event may the Option be exercised after the Expiration Date. </w:t>
      </w:r>
      <w:r>
        <w:rPr>
          <w:rFonts w:ascii="Arial" w:cs="Arial" w:eastAsia="Arial" w:hAnsi="Arial"/>
          <w:sz w:val="18"/>
          <w:szCs w:val="18"/>
          <w:b w:val="1"/>
          <w:bCs w:val="1"/>
          <w:color w:val="auto"/>
        </w:rPr>
        <w:t>It is the Participant’s responsibility to exercise the Option, if the Participant so desires,</w:t>
      </w:r>
      <w:r>
        <w:rPr>
          <w:rFonts w:ascii="Arial" w:cs="Arial" w:eastAsia="Arial" w:hAnsi="Arial"/>
          <w:sz w:val="18"/>
          <w:szCs w:val="18"/>
          <w:color w:val="auto"/>
        </w:rPr>
        <w:t xml:space="preserve"> </w:t>
      </w:r>
      <w:r>
        <w:rPr>
          <w:rFonts w:ascii="Arial" w:cs="Arial" w:eastAsia="Arial" w:hAnsi="Arial"/>
          <w:sz w:val="18"/>
          <w:szCs w:val="18"/>
          <w:b w:val="1"/>
          <w:bCs w:val="1"/>
          <w:color w:val="auto"/>
        </w:rPr>
        <w:t>before it expires or terminates.</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The Participant’s signature below indicates his or her agreement, understanding, and acceptance that the Option is subject to all of the terms and conditions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Plan. </w:t>
      </w:r>
      <w:r>
        <w:rPr>
          <w:rFonts w:ascii="Arial" w:cs="Arial" w:eastAsia="Arial" w:hAnsi="Arial"/>
          <w:sz w:val="18"/>
          <w:szCs w:val="18"/>
          <w:b w:val="1"/>
          <w:bCs w:val="1"/>
          <w:color w:val="auto"/>
        </w:rPr>
        <w:t>Please be sure to read all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which contains the specific terms and conditions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p>
    <w:p>
      <w:pPr>
        <w:spacing w:after="0" w:line="18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This U.S. Share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does not represent a securities interest in the Company, which interest may accrue only upon the exercise of the Option in accordance with its terms.</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4"/>
          </w:cols>
          <w:pgMar w:left="436" w:top="270" w:right="55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ZOOM VIDEO COMMUNICATIONS, INC.</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PARTICIPANT</w:t>
            </w:r>
          </w:p>
        </w:tc>
      </w:tr>
      <w:tr>
        <w:trPr>
          <w:trHeight w:val="432"/>
        </w:trPr>
        <w:tc>
          <w:tcPr>
            <w:tcW w:w="51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President and CEO</w:t>
            </w: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Signed</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1" w:name="page312"/>
    <w:bookmarkEnd w:id="31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RULES</w:t>
      </w:r>
    </w:p>
    <w:p>
      <w:pPr>
        <w:spacing w:after="0" w:line="229" w:lineRule="exact"/>
        <w:rPr>
          <w:sz w:val="20"/>
          <w:szCs w:val="20"/>
          <w:color w:val="auto"/>
        </w:rPr>
      </w:pPr>
    </w:p>
    <w:p>
      <w:pPr>
        <w:jc w:val="both"/>
        <w:ind w:right="20" w:firstLine="436"/>
        <w:spacing w:after="0" w:line="296" w:lineRule="auto"/>
        <w:tabs>
          <w:tab w:leader="none" w:pos="755"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hereby grants to the Participant under the Plan the right to purchase the number of Shares set forth on the first page of this Option Agreement (the “</w:t>
      </w:r>
      <w:r>
        <w:rPr>
          <w:rFonts w:ascii="Arial" w:cs="Arial" w:eastAsia="Arial" w:hAnsi="Arial"/>
          <w:sz w:val="16"/>
          <w:szCs w:val="16"/>
          <w:u w:val="single" w:color="auto"/>
          <w:color w:val="auto"/>
        </w:rPr>
        <w:t>Grant Notice</w:t>
      </w:r>
      <w:r>
        <w:rPr>
          <w:rFonts w:ascii="Arial" w:cs="Arial" w:eastAsia="Arial" w:hAnsi="Arial"/>
          <w:sz w:val="16"/>
          <w:szCs w:val="16"/>
          <w:color w:val="auto"/>
        </w:rPr>
        <w:t>”), at the Exercise Price per Share set forth in the Grant Notice, and subject to all of the terms and conditions in this Option Agreement and the Plan, a copy of which the Participant acknowledges having received. Unless otherwise defined herein, the capitalized terms in this Option Agreement shall have the meanings ascribed to those terms in the Plan. In the event of a conflict between the terms and conditions of the Plan and this Option Agreement, the terms and conditions of the Plan shall prevail unless otherwise indicated.</w:t>
      </w:r>
    </w:p>
    <w:p>
      <w:pPr>
        <w:spacing w:after="0" w:line="16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aggregate Fair Market Value (determined with respect to each Incentive Stock Option at the time the Incentive Stock Option is granted) of Shares with respect to which Incentive Stock Options are exercisable for the first time by the Participant during any calendar year (under the Plan or any other plan of the Company) shall not exceed US$100,000. If the Option is designated in the Grant Notice as an Incentive Stock Option, all or a portion of the Option may nonetheless be treated as a Nonstatutory Stock Option in accordance with Section 6(b) of the Plan. In no event shall the Administrator, the Company or any Parent or Subsidiary or any of their respective employees or directors have any liability to Participant (or any other person) due to the failure of the Option to qualify for any reason as an Incentive Stock Option.</w:t>
      </w:r>
    </w:p>
    <w:p>
      <w:pPr>
        <w:spacing w:after="0" w:line="286" w:lineRule="exact"/>
        <w:rPr>
          <w:sz w:val="20"/>
          <w:szCs w:val="20"/>
          <w:color w:val="auto"/>
        </w:rPr>
      </w:pPr>
    </w:p>
    <w:p>
      <w:pPr>
        <w:ind w:left="760" w:hanging="324"/>
        <w:spacing w:after="0"/>
        <w:tabs>
          <w:tab w:leader="none" w:pos="76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877"/>
        <w:spacing w:after="0" w:line="342" w:lineRule="auto"/>
        <w:tabs>
          <w:tab w:leader="none" w:pos="1261"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The Option shall be exercisable during its term cumulatively according to the Vesting Schedule set out in the Grant Notice and with the applicable provisions of the Plan. Notwithstanding the foregoing, the Option may not be exercised for a fraction of a Share.</w:t>
      </w:r>
    </w:p>
    <w:p>
      <w:pPr>
        <w:spacing w:after="0" w:line="123" w:lineRule="exact"/>
        <w:rPr>
          <w:rFonts w:ascii="Arial" w:cs="Arial" w:eastAsia="Arial" w:hAnsi="Arial"/>
          <w:sz w:val="16"/>
          <w:szCs w:val="16"/>
          <w:color w:val="auto"/>
        </w:rPr>
      </w:pPr>
    </w:p>
    <w:p>
      <w:pPr>
        <w:ind w:right="20" w:firstLine="877"/>
        <w:spacing w:after="0" w:line="289" w:lineRule="auto"/>
        <w:tabs>
          <w:tab w:leader="none" w:pos="1271"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The Option shall be exercisable to the extent then vested by delivery of a written exercise notice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or in a manner and pursuant to such procedures as the Administrator may determine, which shall state the election to exercise the Option, the number of Shares with respect to which the Option is being exercised, and such other representations and agreements as may be required by the Company. The Exercise Notice shall be signed by the Participant (or by the Participant’s beneficiary or other person entitled under the Plan to exercise the Option in the event of the Participant’s death) and shall be delivered in person or by certified mail to the Company. The Exercise Notice shall be accompanied by payment of the aggregate Exercise Price as to all Shares exercised together with any applicable tax withholding. The Option shall be deemed to be exercised as of the date (the “</w:t>
      </w:r>
      <w:r>
        <w:rPr>
          <w:rFonts w:ascii="Arial" w:cs="Arial" w:eastAsia="Arial" w:hAnsi="Arial"/>
          <w:sz w:val="16"/>
          <w:szCs w:val="16"/>
          <w:u w:val="single" w:color="auto"/>
          <w:color w:val="auto"/>
        </w:rPr>
        <w:t>Exercise Date</w:t>
      </w:r>
      <w:r>
        <w:rPr>
          <w:rFonts w:ascii="Arial" w:cs="Arial" w:eastAsia="Arial" w:hAnsi="Arial"/>
          <w:sz w:val="16"/>
          <w:szCs w:val="16"/>
          <w:color w:val="auto"/>
        </w:rPr>
        <w:t>”) (i) the Company receives (as determined by the Administrator in its sole, but reasonable, discretion) the fully executed Exercise Notice accompanied by payment of the aggregate Exercise Price, together with any applicable tax withholding, and (ii) all other applicable terms and conditions of the Option Agreement are satisfied.</w:t>
      </w:r>
    </w:p>
    <w:p>
      <w:pPr>
        <w:sectPr>
          <w:pgSz w:w="11900" w:h="16838" w:orient="portrait"/>
          <w:cols w:equalWidth="0" w:num="1">
            <w:col w:w="10980"/>
          </w:cols>
          <w:pgMar w:left="440" w:top="270" w:right="479" w:bottom="1440" w:gutter="0" w:footer="0" w:header="0"/>
        </w:sectPr>
      </w:pPr>
    </w:p>
    <w:bookmarkStart w:id="312" w:name="page313"/>
    <w:bookmarkEnd w:id="312"/>
    <w:p>
      <w:pPr>
        <w:ind w:right="420" w:firstLine="88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Shares will be issued pursuant to the exercise of an Option unless such issuance and such exercise comply with Applicable Laws. Assuming such compliance, for income tax purposes the Shares will be considered transferred to the Participant on the date on which the Option is exercised with respect to such Shares.</w:t>
      </w:r>
    </w:p>
    <w:p>
      <w:pPr>
        <w:spacing w:after="0" w:line="184" w:lineRule="exact"/>
        <w:rPr>
          <w:sz w:val="20"/>
          <w:szCs w:val="20"/>
          <w:color w:val="auto"/>
        </w:rPr>
      </w:pPr>
    </w:p>
    <w:p>
      <w:pPr>
        <w:ind w:right="100" w:firstLine="877"/>
        <w:spacing w:after="0" w:line="259" w:lineRule="auto"/>
        <w:tabs>
          <w:tab w:leader="none" w:pos="1261"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Approval by Members and Compliance Restrictions on Exercise</w:t>
      </w:r>
      <w:r>
        <w:rPr>
          <w:rFonts w:ascii="Arial" w:cs="Arial" w:eastAsia="Arial" w:hAnsi="Arial"/>
          <w:sz w:val="18"/>
          <w:szCs w:val="18"/>
          <w:color w:val="auto"/>
        </w:rPr>
        <w:t>. Any other provision of this Agreement to the contrary notwithstanding, no portion of the Option shall be exercisable at any time prior to the approval of the Plan by the Members of the Company. No Shares shall be issued pursuant to the exercise of an Option, unless the issuance and exercise, including the form of consideration used to pay the Exercise Price, comply with Applicable Law.</w:t>
      </w:r>
    </w:p>
    <w:p>
      <w:pPr>
        <w:spacing w:after="0" w:line="186" w:lineRule="exact"/>
        <w:rPr>
          <w:rFonts w:ascii="Arial" w:cs="Arial" w:eastAsia="Arial" w:hAnsi="Arial"/>
          <w:sz w:val="18"/>
          <w:szCs w:val="18"/>
          <w:color w:val="auto"/>
        </w:rPr>
      </w:pPr>
    </w:p>
    <w:p>
      <w:pPr>
        <w:ind w:firstLine="877"/>
        <w:spacing w:after="0" w:line="259" w:lineRule="auto"/>
        <w:tabs>
          <w:tab w:leader="none" w:pos="1271"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After receiving the Exercise Notice, the Company shall cause to be issued a certificate or certificates for the Shares as to which the Option has been exercised, registered in the name of the person exercising this Option (or in the names of such person and his or her spouse as community property or as joint tenants with right of survivorship). The Company shall cause the certificate or certificates to be deposited in escrow or delivered to or upon the order of the person exercising the Option.</w:t>
      </w:r>
    </w:p>
    <w:p>
      <w:pPr>
        <w:spacing w:after="0" w:line="186" w:lineRule="exact"/>
        <w:rPr>
          <w:rFonts w:ascii="Arial" w:cs="Arial" w:eastAsia="Arial" w:hAnsi="Arial"/>
          <w:sz w:val="18"/>
          <w:szCs w:val="18"/>
          <w:color w:val="auto"/>
        </w:rPr>
      </w:pPr>
    </w:p>
    <w:p>
      <w:pPr>
        <w:ind w:right="100" w:firstLine="436"/>
        <w:spacing w:after="0" w:line="259" w:lineRule="auto"/>
        <w:tabs>
          <w:tab w:leader="none" w:pos="755"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xml:space="preserve">. In the event the Shares have not been registered under the Securities Act on the Exercise Date, the Participant shall, if required by the Company, concurrently with the exercise of all or any portion of the Option, deliver to the Company his or her Investment Representation Statement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as well as any other representations necessary or appropriate, in the judgment of the Administrator, to comply with Applicable Law.</w:t>
      </w:r>
    </w:p>
    <w:p>
      <w:pPr>
        <w:spacing w:after="0" w:line="186" w:lineRule="exact"/>
        <w:rPr>
          <w:rFonts w:ascii="Arial" w:cs="Arial" w:eastAsia="Arial" w:hAnsi="Arial"/>
          <w:sz w:val="18"/>
          <w:szCs w:val="18"/>
          <w:color w:val="auto"/>
        </w:rPr>
      </w:pPr>
    </w:p>
    <w:p>
      <w:pPr>
        <w:ind w:firstLine="436"/>
        <w:spacing w:after="0" w:line="290" w:lineRule="auto"/>
        <w:tabs>
          <w:tab w:leader="none" w:pos="755"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Shares (or other securities) of the Company not to exceed one hundred and eighty (180) days following an IPO (or such other period as may be requested by the Company or the underwriters to accommodate regulatory restrictions on (i) the publication or other distribution of research reports and (ii) analyst recommendations and opinions, including, but not limited to, if applicable, the restrictions contained in NASD Rule 2711(f)(4) or NYSE Rule 472(f)(4), or any successor provisions or amendments thereto).</w:t>
      </w:r>
    </w:p>
    <w:p>
      <w:pPr>
        <w:spacing w:after="0" w:line="165"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Shares (or other securities) of the Company, Participant shall provide, within ten (10) days of such request, such information as may be required by the Company or such representative in connection with the completion of the Company’s IPO. The obligations described in this Section 4 shall not apply to a registration relating solely to employee benefit plans on Form S-1 or Form S-8 or similar forms that may be promulgated in the future, or a registration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13" w:name="page314"/>
    <w:bookmarkEnd w:id="31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solely to a Commission Rule 145 transaction on Form S-4 or similar forms that may be promulgated in the future, or to similar registrations under the Applicable Laws of another jurisdiction. The Company may impose stop-transfer instructions with respect to the Shares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87" w:lineRule="exact"/>
        <w:rPr>
          <w:sz w:val="20"/>
          <w:szCs w:val="20"/>
          <w:color w:val="auto"/>
        </w:rPr>
      </w:pPr>
    </w:p>
    <w:p>
      <w:pPr>
        <w:ind w:right="500" w:firstLine="436"/>
        <w:spacing w:after="0" w:line="277" w:lineRule="auto"/>
        <w:tabs>
          <w:tab w:leader="none" w:pos="75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shall be by any of the following forms of consideration, or a combination thereof, at the election of the Participant:</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firstLine="877"/>
        <w:spacing w:after="0" w:line="277" w:lineRule="auto"/>
        <w:tabs>
          <w:tab w:leader="none" w:pos="127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at the discretion of the Administrator, consideration received by the Company under a formal cashless exercise program adopted by the Company in connection with the Plan; or</w:t>
      </w:r>
    </w:p>
    <w:p>
      <w:pPr>
        <w:spacing w:after="0" w:line="170" w:lineRule="exact"/>
        <w:rPr>
          <w:rFonts w:ascii="Arial" w:cs="Arial" w:eastAsia="Arial" w:hAnsi="Arial"/>
          <w:sz w:val="18"/>
          <w:szCs w:val="18"/>
          <w:color w:val="auto"/>
        </w:rPr>
      </w:pPr>
    </w:p>
    <w:p>
      <w:pPr>
        <w:ind w:right="40" w:firstLine="877"/>
        <w:spacing w:after="0" w:line="277" w:lineRule="auto"/>
        <w:tabs>
          <w:tab w:leader="none" w:pos="126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at the discretion of the Administrator, surrender of other Shares which, if accepted by the Company, would not subject the Company to adverse accounting as determined by the Administrator.</w:t>
      </w:r>
    </w:p>
    <w:p>
      <w:pPr>
        <w:spacing w:after="0" w:line="278" w:lineRule="exact"/>
        <w:rPr>
          <w:rFonts w:ascii="Arial" w:cs="Arial" w:eastAsia="Arial" w:hAnsi="Arial"/>
          <w:sz w:val="18"/>
          <w:szCs w:val="18"/>
          <w:color w:val="auto"/>
        </w:rPr>
      </w:pPr>
    </w:p>
    <w:p>
      <w:pPr>
        <w:ind w:left="760" w:hanging="324"/>
        <w:spacing w:after="0"/>
        <w:tabs>
          <w:tab w:leader="none" w:pos="7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877"/>
        <w:spacing w:after="0" w:line="263" w:lineRule="auto"/>
        <w:tabs>
          <w:tab w:leader="none" w:pos="125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3" w:lineRule="exact"/>
        <w:rPr>
          <w:rFonts w:ascii="Arial" w:cs="Arial" w:eastAsia="Arial" w:hAnsi="Arial"/>
          <w:sz w:val="18"/>
          <w:szCs w:val="18"/>
          <w:color w:val="auto"/>
        </w:rPr>
      </w:pPr>
    </w:p>
    <w:p>
      <w:pPr>
        <w:ind w:firstLine="877"/>
        <w:spacing w:after="0" w:line="271" w:lineRule="auto"/>
        <w:tabs>
          <w:tab w:leader="none" w:pos="1271" w:val="left"/>
        </w:tabs>
        <w:numPr>
          <w:ilvl w:val="1"/>
          <w:numId w:val="282"/>
        </w:numPr>
        <w:rPr>
          <w:rFonts w:ascii="Arial" w:cs="Arial" w:eastAsia="Arial" w:hAnsi="Arial"/>
          <w:sz w:val="17"/>
          <w:szCs w:val="17"/>
          <w:color w:val="auto"/>
        </w:rPr>
      </w:pPr>
      <w:r>
        <w:rPr>
          <w:rFonts w:ascii="Arial" w:cs="Arial" w:eastAsia="Arial" w:hAnsi="Arial"/>
          <w:sz w:val="17"/>
          <w:szCs w:val="17"/>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7"/>
          <w:szCs w:val="17"/>
          <w:u w:val="single" w:color="auto"/>
          <w:color w:val="auto"/>
        </w:rPr>
        <w:t>Reliance End Date</w:t>
      </w:r>
      <w:r>
        <w:rPr>
          <w:rFonts w:ascii="Arial" w:cs="Arial" w:eastAsia="Arial" w:hAnsi="Arial"/>
          <w:sz w:val="17"/>
          <w:szCs w:val="17"/>
          <w:color w:val="auto"/>
        </w:rPr>
        <w:t>”),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78" w:lineRule="exact"/>
        <w:rPr>
          <w:rFonts w:ascii="Arial" w:cs="Arial" w:eastAsia="Arial" w:hAnsi="Arial"/>
          <w:sz w:val="17"/>
          <w:szCs w:val="17"/>
          <w:color w:val="auto"/>
        </w:rPr>
      </w:pPr>
    </w:p>
    <w:p>
      <w:pPr>
        <w:ind w:right="240" w:firstLine="436"/>
        <w:spacing w:after="0" w:line="277" w:lineRule="auto"/>
        <w:tabs>
          <w:tab w:leader="none" w:pos="75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Option shall in any event expire on the expiration date set forth in the Grant Notice, and may be exercised prior to the expiration date only in accordance with the Plan and the terms of this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-1965325</wp:posOffset>
            </wp:positionV>
            <wp:extent cx="285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4" w:name="page315"/>
    <w:bookmarkEnd w:id="314"/>
    <w:p>
      <w:pPr>
        <w:ind w:left="764" w:hanging="324"/>
        <w:spacing w:after="0"/>
        <w:tabs>
          <w:tab w:leader="none" w:pos="764"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877"/>
        <w:spacing w:after="0" w:line="279" w:lineRule="auto"/>
        <w:tabs>
          <w:tab w:leader="none" w:pos="1265" w:val="left"/>
        </w:tabs>
        <w:numPr>
          <w:ilvl w:val="2"/>
          <w:numId w:val="28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Participant shall make appropriate arrangements with the Company (or the Parent or Subsidiary employing or retaining the Participant) for the satisfaction of all U.S. Federal, state, local and non-U.S. income and employment tax withholding requirements applicable to the Option exercise. The Participant hereby acknowledges, understands and agrees that the Company may refuse to honor the exercise and refuse to deliver Shares if the withholding amounts are not delivered at the time of exercise.</w:t>
      </w:r>
    </w:p>
    <w:p>
      <w:pPr>
        <w:spacing w:after="0" w:line="171" w:lineRule="exact"/>
        <w:rPr>
          <w:rFonts w:ascii="Arial" w:cs="Arial" w:eastAsia="Arial" w:hAnsi="Arial"/>
          <w:sz w:val="17"/>
          <w:szCs w:val="17"/>
          <w:color w:val="auto"/>
        </w:rPr>
      </w:pPr>
    </w:p>
    <w:p>
      <w:pPr>
        <w:ind w:left="4" w:right="240" w:firstLine="877"/>
        <w:spacing w:after="0" w:line="291" w:lineRule="auto"/>
        <w:tabs>
          <w:tab w:leader="none" w:pos="1275" w:val="left"/>
        </w:tabs>
        <w:numPr>
          <w:ilvl w:val="2"/>
          <w:numId w:val="283"/>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Shares</w:t>
      </w:r>
      <w:r>
        <w:rPr>
          <w:rFonts w:ascii="Arial" w:cs="Arial" w:eastAsia="Arial" w:hAnsi="Arial"/>
          <w:sz w:val="16"/>
          <w:szCs w:val="16"/>
          <w:color w:val="auto"/>
        </w:rPr>
        <w:t>. If the Option granted to the Participant herein is designated as an Incentive Stock Option, and if the Participant sells or otherwise disposes of any of the Shares acquired pursuant to the Incentive Stock Option on or before the later of</w:t>
      </w:r>
    </w:p>
    <w:p>
      <w:pPr>
        <w:ind w:left="4" w:right="20" w:hanging="4"/>
        <w:spacing w:after="0" w:line="255" w:lineRule="auto"/>
        <w:tabs>
          <w:tab w:leader="none" w:pos="25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date two years after the Date of Grant and (2) the date one year after the date of exercise, the Participant shall immediately notify the Company in writing of such disposition. The Participant hereby acknowledges and agrees that the Participant may be subject to tax withholding by the Company on the compensation income recognized by the Participant in connection with the exercise of the Option.</w:t>
      </w:r>
    </w:p>
    <w:p>
      <w:pPr>
        <w:spacing w:after="0" w:line="189" w:lineRule="exact"/>
        <w:rPr>
          <w:rFonts w:ascii="Arial" w:cs="Arial" w:eastAsia="Arial" w:hAnsi="Arial"/>
          <w:sz w:val="18"/>
          <w:szCs w:val="18"/>
          <w:color w:val="auto"/>
        </w:rPr>
      </w:pPr>
    </w:p>
    <w:p>
      <w:pPr>
        <w:ind w:left="4" w:right="40" w:firstLine="877"/>
        <w:spacing w:after="0" w:line="254" w:lineRule="auto"/>
        <w:tabs>
          <w:tab w:leader="none" w:pos="1265" w:val="left"/>
        </w:tabs>
        <w:numPr>
          <w:ilvl w:val="2"/>
          <w:numId w:val="284"/>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Under Code Section 409A, an Option that vests after December 31, 2004 that was granted with a per Share exercise price that is determined by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to be less than the fair market value of a Share on the date of grant (a “discount option”) may be considered “deferred compensation”. An Option that is a “discount option” may result in (i) income recognition by the Participant prior to the exercise of the Option, (ii) an additional twenty percent (20%) tax, and (iii) potential penalty and interest charges.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91" w:lineRule="exact"/>
        <w:rPr>
          <w:rFonts w:ascii="Arial" w:cs="Arial" w:eastAsia="Arial" w:hAnsi="Arial"/>
          <w:sz w:val="18"/>
          <w:szCs w:val="18"/>
          <w:color w:val="auto"/>
        </w:rPr>
      </w:pPr>
    </w:p>
    <w:p>
      <w:pPr>
        <w:ind w:left="4" w:firstLine="436"/>
        <w:spacing w:after="0" w:line="259" w:lineRule="auto"/>
        <w:tabs>
          <w:tab w:leader="none" w:pos="759"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In the event of any transaction described in Section 12 of the Plan, the terms of the Option (including, without limitation, the number and kind of the Shares subject to the Option and the Exercise Price) may be adjusted as set forth in Section 12 of the Plan. This Option Agreement shall in no way affect the right of the Company to adjust, reclassify, reorganize or otherwise change its capital or business structure or to merge, consolidate, dissolve, liquidate or sell or transfer any part of its business or assets.</w:t>
      </w:r>
    </w:p>
    <w:p>
      <w:pPr>
        <w:spacing w:after="0" w:line="186" w:lineRule="exact"/>
        <w:rPr>
          <w:rFonts w:ascii="Arial" w:cs="Arial" w:eastAsia="Arial" w:hAnsi="Arial"/>
          <w:sz w:val="18"/>
          <w:szCs w:val="18"/>
          <w:color w:val="auto"/>
        </w:rPr>
      </w:pPr>
    </w:p>
    <w:p>
      <w:pPr>
        <w:ind w:left="844" w:hanging="404"/>
        <w:spacing w:after="0"/>
        <w:tabs>
          <w:tab w:leader="none" w:pos="844"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Legality of Initial Issuance</w:t>
      </w:r>
      <w:r>
        <w:rPr>
          <w:rFonts w:ascii="Arial" w:cs="Arial" w:eastAsia="Arial" w:hAnsi="Arial"/>
          <w:sz w:val="16"/>
          <w:szCs w:val="16"/>
          <w:color w:val="auto"/>
        </w:rPr>
        <w:t>. No Shares shall be issued upon the exercise of the Option unless and until the Company has determined that:</w:t>
      </w:r>
    </w:p>
    <w:p>
      <w:pPr>
        <w:spacing w:after="0" w:line="46" w:lineRule="exact"/>
        <w:rPr>
          <w:sz w:val="20"/>
          <w:szCs w:val="20"/>
          <w:color w:val="auto"/>
        </w:rPr>
      </w:pPr>
    </w:p>
    <w:p>
      <w:pPr>
        <w:ind w:left="4" w:right="260" w:hanging="4"/>
        <w:spacing w:after="0" w:line="302" w:lineRule="auto"/>
        <w:tabs>
          <w:tab w:leader="none" w:pos="219"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Company and the Participant have taken all actions required to register the Shares under the Securities Act or to perfect an exemption from the registration requirements thereof, if applicable; (ii) all applicable listing requirements of any stock exchange or other securities market on which the Shares are listed have been satisfied; and (iii) all other applicable provisions of state or U.S. federal law or other Applicable Law have been satisfied.</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15" w:name="page316"/>
    <w:bookmarkEnd w:id="315"/>
    <w:p>
      <w:pPr>
        <w:ind w:firstLine="436"/>
        <w:spacing w:after="0" w:line="263" w:lineRule="auto"/>
        <w:tabs>
          <w:tab w:leader="none" w:pos="838"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Registration Rights</w:t>
      </w:r>
      <w:r>
        <w:rPr>
          <w:rFonts w:ascii="Arial" w:cs="Arial" w:eastAsia="Arial" w:hAnsi="Arial"/>
          <w:sz w:val="18"/>
          <w:szCs w:val="18"/>
          <w:color w:val="auto"/>
        </w:rPr>
        <w:t>. The Company may, but shall not be obligated to, register or qualify the sale of Shares under the Securities Act or any other Applicable Law. The Company shall not be obligated to take any affirmative action in order to cause the sale of Shares under this Option Agreement to comply with any Applicable Law.</w:t>
      </w:r>
    </w:p>
    <w:p>
      <w:pPr>
        <w:spacing w:after="0" w:line="183" w:lineRule="exact"/>
        <w:rPr>
          <w:rFonts w:ascii="Arial" w:cs="Arial" w:eastAsia="Arial" w:hAnsi="Arial"/>
          <w:sz w:val="18"/>
          <w:szCs w:val="18"/>
          <w:color w:val="auto"/>
        </w:rPr>
      </w:pPr>
    </w:p>
    <w:p>
      <w:pPr>
        <w:ind w:right="20" w:firstLine="436"/>
        <w:spacing w:after="0" w:line="257"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Securities Law Restrictions</w:t>
      </w:r>
      <w:r>
        <w:rPr>
          <w:rFonts w:ascii="Arial" w:cs="Arial" w:eastAsia="Arial" w:hAnsi="Arial"/>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Shares (including the placement of appropriate legends on share certificates or the imposition of stop-transfer instructions) if, in the judgment of the Company, such restrictions are necessary or desirable in order to achieve compliance with the Securities Act, the securities laws of any state or any other Applicable Law.</w:t>
      </w:r>
    </w:p>
    <w:p>
      <w:pPr>
        <w:spacing w:after="0" w:line="295" w:lineRule="exact"/>
        <w:rPr>
          <w:rFonts w:ascii="Arial" w:cs="Arial" w:eastAsia="Arial" w:hAnsi="Arial"/>
          <w:sz w:val="18"/>
          <w:szCs w:val="18"/>
          <w:color w:val="auto"/>
        </w:rPr>
      </w:pPr>
    </w:p>
    <w:p>
      <w:pPr>
        <w:ind w:left="840" w:hanging="404"/>
        <w:spacing w:after="0"/>
        <w:tabs>
          <w:tab w:leader="none" w:pos="84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877"/>
        <w:spacing w:after="0" w:line="311" w:lineRule="auto"/>
        <w:tabs>
          <w:tab w:leader="none" w:pos="1261"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by the terms of this Option Agreement shall be given in writing and shall be deemed effective upon personal delivery or upon deposit with the United States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48" w:lineRule="exact"/>
        <w:rPr>
          <w:rFonts w:ascii="Arial" w:cs="Arial" w:eastAsia="Arial" w:hAnsi="Arial"/>
          <w:sz w:val="16"/>
          <w:szCs w:val="16"/>
          <w:color w:val="auto"/>
        </w:rPr>
      </w:pPr>
    </w:p>
    <w:p>
      <w:pPr>
        <w:ind w:right="500" w:firstLine="877"/>
        <w:spacing w:after="0" w:line="277" w:lineRule="auto"/>
        <w:tabs>
          <w:tab w:leader="none" w:pos="127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Option Agreement shall be binding upon and inure to the benefit of the parties to this Option Agreement, their respective successors and permitted assigns.</w:t>
      </w:r>
    </w:p>
    <w:p>
      <w:pPr>
        <w:spacing w:after="0" w:line="170" w:lineRule="exact"/>
        <w:rPr>
          <w:rFonts w:ascii="Arial" w:cs="Arial" w:eastAsia="Arial" w:hAnsi="Arial"/>
          <w:sz w:val="18"/>
          <w:szCs w:val="18"/>
          <w:color w:val="auto"/>
        </w:rPr>
      </w:pPr>
    </w:p>
    <w:p>
      <w:pPr>
        <w:ind w:right="80" w:firstLine="877"/>
        <w:spacing w:after="0" w:line="259" w:lineRule="auto"/>
        <w:tabs>
          <w:tab w:leader="none" w:pos="126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Except as otherwise provided in this Option Agreement, the Participant shall not assign any of his or her rights under this Option Agreement without the prior written consent of the Company, which consent may be withheld in its sole discretion. The Company shall be permitted to assign its rights or obligations under this Option Agreement, but no such assignment shall release the Company of any obligations pursuant to this Option Agreement.</w:t>
      </w:r>
    </w:p>
    <w:p>
      <w:pPr>
        <w:spacing w:after="0" w:line="186" w:lineRule="exact"/>
        <w:rPr>
          <w:rFonts w:ascii="Arial" w:cs="Arial" w:eastAsia="Arial" w:hAnsi="Arial"/>
          <w:sz w:val="18"/>
          <w:szCs w:val="18"/>
          <w:color w:val="auto"/>
        </w:rPr>
      </w:pPr>
    </w:p>
    <w:p>
      <w:pPr>
        <w:ind w:right="400" w:firstLine="877"/>
        <w:spacing w:after="0" w:line="277" w:lineRule="auto"/>
        <w:tabs>
          <w:tab w:leader="none" w:pos="127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validity, legality or enforceability of the remainder of this Option Agreement shall not be affected even if one or more of the provisions of this Option Agreement shall be held to be invalid, illegal or unenforceable in any respect.</w:t>
      </w:r>
    </w:p>
    <w:p>
      <w:pPr>
        <w:spacing w:after="0" w:line="170" w:lineRule="exact"/>
        <w:rPr>
          <w:rFonts w:ascii="Arial" w:cs="Arial" w:eastAsia="Arial" w:hAnsi="Arial"/>
          <w:sz w:val="18"/>
          <w:szCs w:val="18"/>
          <w:color w:val="auto"/>
        </w:rPr>
      </w:pPr>
    </w:p>
    <w:p>
      <w:pPr>
        <w:ind w:right="80" w:firstLine="877"/>
        <w:spacing w:after="0" w:line="277" w:lineRule="auto"/>
        <w:tabs>
          <w:tab w:leader="none" w:pos="126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Any determination by the Administrator in connection with any question or issue arising under the Plan or this Option Agreement shall be final, conclusive, and binding on the Participant, the Company, and all other persons.</w:t>
      </w:r>
    </w:p>
    <w:p>
      <w:pPr>
        <w:spacing w:after="0" w:line="170" w:lineRule="exact"/>
        <w:rPr>
          <w:rFonts w:ascii="Arial" w:cs="Arial" w:eastAsia="Arial" w:hAnsi="Arial"/>
          <w:sz w:val="18"/>
          <w:szCs w:val="18"/>
          <w:color w:val="auto"/>
        </w:rPr>
      </w:pPr>
    </w:p>
    <w:p>
      <w:pPr>
        <w:ind w:right="180" w:firstLine="877"/>
        <w:spacing w:after="0" w:line="277" w:lineRule="auto"/>
        <w:tabs>
          <w:tab w:leader="none" w:pos="124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Option Agreement are inserted only as a matter of convenience, and in no way define, limit or interpret the scope of this Option Agreement or of any particular section.</w:t>
      </w:r>
    </w:p>
    <w:p>
      <w:pPr>
        <w:spacing w:after="0" w:line="170" w:lineRule="exact"/>
        <w:rPr>
          <w:rFonts w:ascii="Arial" w:cs="Arial" w:eastAsia="Arial" w:hAnsi="Arial"/>
          <w:sz w:val="18"/>
          <w:szCs w:val="18"/>
          <w:color w:val="auto"/>
        </w:rPr>
      </w:pPr>
    </w:p>
    <w:p>
      <w:pPr>
        <w:ind w:right="80" w:firstLine="877"/>
        <w:spacing w:after="0" w:line="277" w:lineRule="auto"/>
        <w:tabs>
          <w:tab w:leader="none" w:pos="127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Option Agreement may be executed simultaneously in two or more counterparts, each of which shall be deemed an original, but all of which together shall constitute one and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16" w:name="page317"/>
    <w:bookmarkEnd w:id="316"/>
    <w:p>
      <w:pPr>
        <w:ind w:right="140" w:firstLine="877"/>
        <w:spacing w:after="0" w:line="275" w:lineRule="auto"/>
        <w:tabs>
          <w:tab w:leader="none" w:pos="1271"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Option Agreement; Governing Law</w:t>
      </w:r>
      <w:r>
        <w:rPr>
          <w:rFonts w:ascii="Arial" w:cs="Arial" w:eastAsia="Arial" w:hAnsi="Arial"/>
          <w:sz w:val="17"/>
          <w:szCs w:val="17"/>
          <w:color w:val="auto"/>
        </w:rPr>
        <w:t>. The provisions of the Plan are incorporated herein by reference. The Plan and this Option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Option Agreement is governed by the laws of the State of California applicable to contracts executed in and to be performed in that State, except with respect to its choice of law rules.</w:t>
      </w:r>
    </w:p>
    <w:p>
      <w:pPr>
        <w:spacing w:after="0" w:line="176" w:lineRule="exact"/>
        <w:rPr>
          <w:rFonts w:ascii="Arial" w:cs="Arial" w:eastAsia="Arial" w:hAnsi="Arial"/>
          <w:sz w:val="17"/>
          <w:szCs w:val="17"/>
          <w:color w:val="auto"/>
        </w:rPr>
      </w:pPr>
    </w:p>
    <w:p>
      <w:pPr>
        <w:ind w:firstLine="436"/>
        <w:spacing w:after="0" w:line="270" w:lineRule="auto"/>
        <w:tabs>
          <w:tab w:leader="none" w:pos="845"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THE PARTICIPANT ACKNOWLEDGES AND AGREES THAT THE VESTING OF SHARES PURSUANT TO THE VESTING SCHEDULE HEREOF IS EARNED ONLY BY CONTINUING AS A SERVICE PROVIDER AT THE WILL OF THE COMPANY OR THE AFFILIATE EMPLOYING THE PARTICIPANT (NOT THROUGH THE ACT OF BEING HIRED, BEING GRANTED THE OPTION OR ACQUIRING SHARES HEREUNDER). THE PARTICIPANT FURTHER ACKNOWLEDGES AND AGREES THAT THIS OPTION AGREEMENT, THE OPTION GRANTED HEREUNDER, THE TRANSACTIONS CONTEMPLATED HEREUNDER AND THE VESTING SCHEDULE SET FORTH HEREIN DO NOT CONSTITUTE AN EXPRESS OR IMPLIED PROMISE OF CONTINUED ENGAGEMENT AS A SERVICE PROVIDER FOR THE VESTING PERIOD, FOR ANY PERIOD, OR AT ALL, AND SHALL NOT INTERFERE IN ANY WAY WITH THE PARTICIPANT’S RIGHT OR THE RIGHT OF THE COMPANY (OR THE AFFILIATE EMPLOYING THE PARTICIPANT) TO TERMINATE THE PARTICIPANT’S RELATIONSHIP AS A SERVICE PROVIDER AT ANY TIME, WITH OR WITHOUT CAUSE.</w:t>
      </w:r>
    </w:p>
    <w:p>
      <w:pPr>
        <w:spacing w:after="0" w:line="18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17" w:name="page318"/>
    <w:bookmarkEnd w:id="317"/>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GLOBAL SHARE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5"/>
          </w:tcPr>
          <w:p>
            <w:pPr>
              <w:ind w:left="440"/>
              <w:spacing w:after="0"/>
              <w:rPr>
                <w:sz w:val="20"/>
                <w:szCs w:val="20"/>
                <w:color w:val="auto"/>
              </w:rPr>
            </w:pPr>
            <w:r>
              <w:rPr>
                <w:rFonts w:ascii="Arial" w:cs="Arial" w:eastAsia="Arial" w:hAnsi="Arial"/>
                <w:sz w:val="18"/>
                <w:szCs w:val="18"/>
                <w:color w:val="auto"/>
                <w:w w:val="98"/>
              </w:rPr>
              <w:t>1.  Exercise of Option. Effective as of today,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520" w:type="dxa"/>
            <w:vAlign w:val="bottom"/>
            <w:gridSpan w:val="8"/>
          </w:tcPr>
          <w:p>
            <w:pPr>
              <w:jc w:val="right"/>
              <w:ind w:right="20"/>
              <w:spacing w:after="0"/>
              <w:rPr>
                <w:sz w:val="20"/>
                <w:szCs w:val="20"/>
                <w:color w:val="auto"/>
              </w:rPr>
            </w:pPr>
            <w:r>
              <w:rPr>
                <w:rFonts w:ascii="Arial" w:cs="Arial" w:eastAsia="Arial" w:hAnsi="Arial"/>
                <w:sz w:val="18"/>
                <w:szCs w:val="18"/>
                <w:color w:val="auto"/>
                <w:w w:val="96"/>
              </w:rPr>
              <w:t>, the undersigned (the “Participant”) hereby elects to exercise the Participant’s option</w:t>
            </w:r>
          </w:p>
        </w:tc>
      </w:tr>
      <w:tr>
        <w:trPr>
          <w:trHeight w:val="20"/>
        </w:trPr>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60" w:type="dxa"/>
            <w:vAlign w:val="bottom"/>
            <w:tcBorders>
              <w:left w:val="single" w:sz="8" w:color="auto"/>
            </w:tcBorders>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to purchase</w:t>
            </w:r>
          </w:p>
        </w:tc>
        <w:tc>
          <w:tcPr>
            <w:tcW w:w="9680" w:type="dxa"/>
            <w:vAlign w:val="bottom"/>
            <w:gridSpan w:val="12"/>
          </w:tcPr>
          <w:p>
            <w:pPr>
              <w:jc w:val="right"/>
              <w:spacing w:after="0" w:line="196" w:lineRule="exact"/>
              <w:rPr>
                <w:sz w:val="20"/>
                <w:szCs w:val="20"/>
                <w:color w:val="auto"/>
              </w:rPr>
            </w:pPr>
            <w:r>
              <w:rPr>
                <w:rFonts w:ascii="Arial" w:cs="Arial" w:eastAsia="Arial" w:hAnsi="Arial"/>
                <w:sz w:val="18"/>
                <w:szCs w:val="18"/>
                <w:color w:val="auto"/>
                <w:w w:val="95"/>
              </w:rPr>
              <w:t>shares of Common Stock (the “Shares”) of Zoom Video Communications, Inc. (the “Company”), under and pursuant to the 2011</w:t>
            </w:r>
          </w:p>
        </w:tc>
      </w:tr>
      <w:tr>
        <w:trPr>
          <w:trHeight w:val="20"/>
        </w:trPr>
        <w:tc>
          <w:tcPr>
            <w:tcW w:w="1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740" w:type="dxa"/>
            <w:vAlign w:val="bottom"/>
            <w:gridSpan w:val="9"/>
          </w:tcPr>
          <w:p>
            <w:pPr>
              <w:spacing w:after="0" w:line="196" w:lineRule="exact"/>
              <w:rPr>
                <w:sz w:val="20"/>
                <w:szCs w:val="20"/>
                <w:color w:val="auto"/>
              </w:rPr>
            </w:pPr>
            <w:r>
              <w:rPr>
                <w:rFonts w:ascii="Arial" w:cs="Arial" w:eastAsia="Arial" w:hAnsi="Arial"/>
                <w:sz w:val="18"/>
                <w:szCs w:val="18"/>
                <w:color w:val="auto"/>
                <w:w w:val="95"/>
              </w:rPr>
              <w:t>Global Share Plan (the “Plan”) and the U.S. Share Option Agreement pertaining to options granted on</w:t>
            </w:r>
          </w:p>
        </w:tc>
        <w:tc>
          <w:tcPr>
            <w:tcW w:w="4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7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(the “Option Agreement”). Unless</w:t>
            </w: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otherwise defined herein, the capitalized terms in this notice of exercise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shall have the meanings ascribed to those terms in the Plan.</w:t>
      </w:r>
    </w:p>
    <w:p>
      <w:pPr>
        <w:spacing w:after="0" w:line="170" w:lineRule="exact"/>
        <w:rPr>
          <w:sz w:val="20"/>
          <w:szCs w:val="20"/>
          <w:color w:val="auto"/>
        </w:rPr>
      </w:pPr>
    </w:p>
    <w:p>
      <w:pPr>
        <w:ind w:right="520" w:firstLine="436"/>
        <w:spacing w:after="0" w:line="308" w:lineRule="auto"/>
        <w:tabs>
          <w:tab w:leader="none" w:pos="7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The Participant herewith delivers to the Company the full Exercise Price of the Shares with respect to which the Participant is exercising the Option, and any and all withholding taxes due in connection with the exercise of the Option.</w:t>
      </w:r>
    </w:p>
    <w:p>
      <w:pPr>
        <w:spacing w:after="0" w:line="146" w:lineRule="exact"/>
        <w:rPr>
          <w:rFonts w:ascii="Arial" w:cs="Arial" w:eastAsia="Arial" w:hAnsi="Arial"/>
          <w:sz w:val="17"/>
          <w:szCs w:val="17"/>
          <w:color w:val="auto"/>
        </w:rPr>
      </w:pPr>
    </w:p>
    <w:p>
      <w:pPr>
        <w:ind w:right="60" w:firstLine="436"/>
        <w:spacing w:after="0" w:line="308" w:lineRule="auto"/>
        <w:tabs>
          <w:tab w:leader="none" w:pos="7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Representations of the Participant</w:t>
      </w:r>
      <w:r>
        <w:rPr>
          <w:rFonts w:ascii="Arial" w:cs="Arial" w:eastAsia="Arial" w:hAnsi="Arial"/>
          <w:sz w:val="17"/>
          <w:szCs w:val="17"/>
          <w:color w:val="auto"/>
        </w:rPr>
        <w:t>. The Participant hereby acknowledges that the Participant has received and read, and understands the Plan and the Option Agreement, including the Option Rules, and agrees to abide by and be bound by their terms and conditions.</w:t>
      </w:r>
    </w:p>
    <w:p>
      <w:pPr>
        <w:spacing w:after="0" w:line="146" w:lineRule="exact"/>
        <w:rPr>
          <w:rFonts w:ascii="Arial" w:cs="Arial" w:eastAsia="Arial" w:hAnsi="Arial"/>
          <w:sz w:val="17"/>
          <w:szCs w:val="17"/>
          <w:color w:val="auto"/>
        </w:rPr>
      </w:pPr>
    </w:p>
    <w:p>
      <w:pPr>
        <w:ind w:right="40" w:firstLine="436"/>
        <w:spacing w:after="0" w:line="257" w:lineRule="auto"/>
        <w:tabs>
          <w:tab w:leader="none" w:pos="755"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Rights as Member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Member shall exist with respect to the Shares subject to the Option, notwithstanding the exercise of the Option. The Shares shall be issued to the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87" w:lineRule="exact"/>
        <w:rPr>
          <w:rFonts w:ascii="Arial" w:cs="Arial" w:eastAsia="Arial" w:hAnsi="Arial"/>
          <w:sz w:val="18"/>
          <w:szCs w:val="18"/>
          <w:color w:val="auto"/>
        </w:rPr>
      </w:pPr>
    </w:p>
    <w:p>
      <w:pPr>
        <w:ind w:right="40" w:firstLine="436"/>
        <w:spacing w:after="0" w:line="286" w:lineRule="auto"/>
        <w:tabs>
          <w:tab w:leader="none" w:pos="7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w:t>
      </w:r>
      <w:r>
        <w:rPr>
          <w:rFonts w:ascii="Arial" w:cs="Arial" w:eastAsia="Arial" w:hAnsi="Arial"/>
          <w:sz w:val="17"/>
          <w:szCs w:val="17"/>
          <w:u w:val="single" w:color="auto"/>
          <w:color w:val="auto"/>
        </w:rPr>
        <w:t>Holder</w:t>
      </w:r>
      <w:r>
        <w:rPr>
          <w:rFonts w:ascii="Arial" w:cs="Arial" w:eastAsia="Arial" w:hAnsi="Arial"/>
          <w:sz w:val="17"/>
          <w:szCs w:val="17"/>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877"/>
        <w:spacing w:after="0" w:line="257" w:lineRule="auto"/>
        <w:tabs>
          <w:tab w:leader="none" w:pos="1261"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Shares shall deliver to the Company a written notice (the “</w:t>
      </w:r>
      <w:r>
        <w:rPr>
          <w:rFonts w:ascii="Arial" w:cs="Arial" w:eastAsia="Arial" w:hAnsi="Arial"/>
          <w:sz w:val="18"/>
          <w:szCs w:val="18"/>
          <w:u w:val="single" w:color="auto"/>
          <w:color w:val="auto"/>
        </w:rPr>
        <w:t>Notice</w:t>
      </w:r>
      <w:r>
        <w:rPr>
          <w:rFonts w:ascii="Arial" w:cs="Arial" w:eastAsia="Arial" w:hAnsi="Arial"/>
          <w:sz w:val="18"/>
          <w:szCs w:val="18"/>
          <w:color w:val="auto"/>
        </w:rPr>
        <w:t>”) stating: (i) the Holder’s bona fide intention to sell or otherwise transfer such Shares; (ii) the name of each proposed purchaser or other transferee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the Holder shall offer the Shares at the Offered Price to the Company or its assignee(s).</w:t>
      </w:r>
    </w:p>
    <w:p>
      <w:pPr>
        <w:sectPr>
          <w:pgSz w:w="11900" w:h="16838" w:orient="portrait"/>
          <w:cols w:equalWidth="0" w:num="1">
            <w:col w:w="10920"/>
          </w:cols>
          <w:pgMar w:left="440" w:top="270" w:right="539" w:bottom="1440" w:gutter="0" w:footer="0" w:header="0"/>
        </w:sectPr>
      </w:pPr>
    </w:p>
    <w:bookmarkStart w:id="318" w:name="page319"/>
    <w:bookmarkEnd w:id="318"/>
    <w:p>
      <w:pPr>
        <w:ind w:left="4" w:right="80" w:firstLine="877"/>
        <w:spacing w:after="0" w:line="263" w:lineRule="auto"/>
        <w:tabs>
          <w:tab w:leader="none" w:pos="1275"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3" w:lineRule="exact"/>
        <w:rPr>
          <w:rFonts w:ascii="Arial" w:cs="Arial" w:eastAsia="Arial" w:hAnsi="Arial"/>
          <w:sz w:val="18"/>
          <w:szCs w:val="18"/>
          <w:color w:val="auto"/>
        </w:rPr>
      </w:pPr>
    </w:p>
    <w:p>
      <w:pPr>
        <w:ind w:left="4" w:right="40" w:firstLine="877"/>
        <w:spacing w:after="0" w:line="263" w:lineRule="auto"/>
        <w:tabs>
          <w:tab w:leader="none" w:pos="1265"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3" w:lineRule="exact"/>
        <w:rPr>
          <w:rFonts w:ascii="Arial" w:cs="Arial" w:eastAsia="Arial" w:hAnsi="Arial"/>
          <w:sz w:val="18"/>
          <w:szCs w:val="18"/>
          <w:color w:val="auto"/>
        </w:rPr>
      </w:pPr>
    </w:p>
    <w:p>
      <w:pPr>
        <w:ind w:left="4" w:right="440" w:firstLine="877"/>
        <w:spacing w:after="0" w:line="311" w:lineRule="auto"/>
        <w:tabs>
          <w:tab w:leader="none" w:pos="1275"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8" w:lineRule="exact"/>
        <w:rPr>
          <w:rFonts w:ascii="Arial" w:cs="Arial" w:eastAsia="Arial" w:hAnsi="Arial"/>
          <w:sz w:val="16"/>
          <w:szCs w:val="16"/>
          <w:color w:val="auto"/>
        </w:rPr>
      </w:pPr>
    </w:p>
    <w:p>
      <w:pPr>
        <w:ind w:left="4" w:right="240" w:firstLine="877"/>
        <w:spacing w:after="0" w:line="287" w:lineRule="auto"/>
        <w:tabs>
          <w:tab w:leader="none" w:pos="1265"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w:t>
      </w:r>
    </w:p>
    <w:p>
      <w:pPr>
        <w:spacing w:after="0" w:line="2" w:lineRule="exact"/>
        <w:rPr>
          <w:rFonts w:ascii="Arial" w:cs="Arial" w:eastAsia="Arial" w:hAnsi="Arial"/>
          <w:sz w:val="16"/>
          <w:szCs w:val="16"/>
          <w:color w:val="auto"/>
        </w:rPr>
      </w:pPr>
    </w:p>
    <w:p>
      <w:pPr>
        <w:ind w:left="4" w:right="220" w:hanging="4"/>
        <w:spacing w:after="0" w:line="253" w:lineRule="auto"/>
        <w:tabs>
          <w:tab w:leader="none" w:pos="43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90" w:lineRule="exact"/>
        <w:rPr>
          <w:rFonts w:ascii="Arial" w:cs="Arial" w:eastAsia="Arial" w:hAnsi="Arial"/>
          <w:sz w:val="18"/>
          <w:szCs w:val="18"/>
          <w:color w:val="auto"/>
        </w:rPr>
      </w:pPr>
    </w:p>
    <w:p>
      <w:pPr>
        <w:ind w:left="4" w:right="80" w:firstLine="877"/>
        <w:spacing w:after="0" w:line="255" w:lineRule="auto"/>
        <w:tabs>
          <w:tab w:leader="none" w:pos="1245"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Anything to the contrary contained in this Section 5 notwithstanding and only as permitted by Applicable Law,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8"/>
          <w:szCs w:val="18"/>
          <w:u w:val="single" w:color="auto"/>
          <w:color w:val="auto"/>
        </w:rPr>
        <w:t>Immediate Family</w:t>
      </w:r>
      <w:r>
        <w:rPr>
          <w:rFonts w:ascii="Arial" w:cs="Arial" w:eastAsia="Arial" w:hAnsi="Arial"/>
          <w:sz w:val="18"/>
          <w:szCs w:val="18"/>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92" w:lineRule="exact"/>
        <w:rPr>
          <w:rFonts w:ascii="Arial" w:cs="Arial" w:eastAsia="Arial" w:hAnsi="Arial"/>
          <w:sz w:val="18"/>
          <w:szCs w:val="18"/>
          <w:color w:val="auto"/>
        </w:rPr>
      </w:pPr>
    </w:p>
    <w:p>
      <w:pPr>
        <w:ind w:left="4" w:right="40" w:firstLine="877"/>
        <w:spacing w:after="0" w:line="277" w:lineRule="auto"/>
        <w:tabs>
          <w:tab w:leader="none" w:pos="1275"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Company’s IPO, or (ii) a Change in Control in which the successor corporation has equity securities that are publicly traded.</w:t>
      </w:r>
    </w:p>
    <w:p>
      <w:pPr>
        <w:spacing w:after="0" w:line="170" w:lineRule="exact"/>
        <w:rPr>
          <w:sz w:val="20"/>
          <w:szCs w:val="20"/>
          <w:color w:val="auto"/>
        </w:rPr>
      </w:pPr>
    </w:p>
    <w:p>
      <w:pPr>
        <w:ind w:left="4" w:firstLine="436"/>
        <w:spacing w:after="0" w:line="259" w:lineRule="auto"/>
        <w:tabs>
          <w:tab w:leader="none" w:pos="759"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hereby acknowledges that he or she understands that the Participant may suffer adverse tax consequences as a result of the Participant’s purchase or disposition of the Shares. The Participant hereby represents that the Participant has consulted with any tax consultants the Participant deems advisable in connection with the purchase or disposition of the Shares and that the Participant is not relying on the Company for any tax advice.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19" w:name="page320"/>
    <w:bookmarkEnd w:id="319"/>
    <w:p>
      <w:pPr>
        <w:ind w:left="700" w:hanging="324"/>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0" w:right="220" w:firstLine="877"/>
        <w:spacing w:after="0" w:line="286" w:lineRule="auto"/>
        <w:tabs>
          <w:tab w:leader="none" w:pos="1201" w:val="left"/>
        </w:tabs>
        <w:numPr>
          <w:ilvl w:val="1"/>
          <w:numId w:val="293"/>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Participant hereby acknowledges, understands and agrees that the Company may cause the legends set forth below or legends substantially equivalent thereto, to be placed upon any certificate(s) evidencing ownership of the Shares together with any other legends that may be required by the Company or by state or U.S. federal securities laws or other Applicable Law:</w:t>
      </w:r>
    </w:p>
    <w:p>
      <w:pPr>
        <w:spacing w:after="0" w:line="57"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63"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80"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60" w:right="20" w:firstLine="877"/>
        <w:spacing w:after="0" w:line="263" w:lineRule="auto"/>
        <w:tabs>
          <w:tab w:leader="none" w:pos="1211"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60" w:right="420" w:firstLine="877"/>
        <w:spacing w:after="0" w:line="263" w:lineRule="auto"/>
        <w:tabs>
          <w:tab w:leader="none" w:pos="1201"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4" w:right="519" w:bottom="1440" w:gutter="0" w:footer="0" w:header="0"/>
        </w:sectPr>
      </w:pPr>
    </w:p>
    <w:bookmarkStart w:id="320" w:name="page321"/>
    <w:bookmarkEnd w:id="320"/>
    <w:p>
      <w:pPr>
        <w:ind w:right="200" w:firstLine="436"/>
        <w:spacing w:after="0" w:line="259" w:lineRule="auto"/>
        <w:tabs>
          <w:tab w:leader="none" w:pos="755"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8"/>
          <w:szCs w:val="18"/>
          <w:color w:val="auto"/>
        </w:rPr>
        <w:t>. The Company may assign any of its rights under this Exercise Notice to single or multiple assignees, and the terms and conditions of this Exercise Notice shall inure to the benefit of the successors and assigns of the Company. Subject to the restrictions on transfer herein set forth, the terms and conditions of this Exercise Notice shall be binding upon the Participant and his or her heirs, executors, administrators, successors and assigns.</w:t>
      </w:r>
    </w:p>
    <w:p>
      <w:pPr>
        <w:spacing w:after="0" w:line="186" w:lineRule="exact"/>
        <w:rPr>
          <w:rFonts w:ascii="Arial" w:cs="Arial" w:eastAsia="Arial" w:hAnsi="Arial"/>
          <w:sz w:val="18"/>
          <w:szCs w:val="18"/>
          <w:color w:val="auto"/>
        </w:rPr>
      </w:pPr>
    </w:p>
    <w:p>
      <w:pPr>
        <w:ind w:firstLine="436"/>
        <w:spacing w:after="0" w:line="263" w:lineRule="auto"/>
        <w:tabs>
          <w:tab w:leader="none" w:pos="755"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the Participant or by the Company forthwith to the Administrator, which shall review such dispute at its next regular meeting. The resolution of such a dispute by the Administrator shall be final and binding on all parties.</w:t>
      </w:r>
    </w:p>
    <w:p>
      <w:pPr>
        <w:spacing w:after="0" w:line="183" w:lineRule="exact"/>
        <w:rPr>
          <w:rFonts w:ascii="Arial" w:cs="Arial" w:eastAsia="Arial" w:hAnsi="Arial"/>
          <w:sz w:val="18"/>
          <w:szCs w:val="18"/>
          <w:color w:val="auto"/>
        </w:rPr>
      </w:pPr>
    </w:p>
    <w:p>
      <w:pPr>
        <w:ind w:right="60" w:firstLine="436"/>
        <w:spacing w:after="0" w:line="277" w:lineRule="auto"/>
        <w:tabs>
          <w:tab w:leader="none" w:pos="845"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laws of the State of California applicable to contracts executed in and to be performed in that State without giving effect to its choice of law rules.</w:t>
      </w:r>
    </w:p>
    <w:p>
      <w:pPr>
        <w:spacing w:after="0" w:line="170" w:lineRule="exact"/>
        <w:rPr>
          <w:rFonts w:ascii="Arial" w:cs="Arial" w:eastAsia="Arial" w:hAnsi="Arial"/>
          <w:sz w:val="18"/>
          <w:szCs w:val="18"/>
          <w:color w:val="auto"/>
        </w:rPr>
      </w:pPr>
    </w:p>
    <w:p>
      <w:pPr>
        <w:ind w:right="160" w:firstLine="436"/>
        <w:spacing w:after="0" w:line="279" w:lineRule="auto"/>
        <w:tabs>
          <w:tab w:leader="none" w:pos="838"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21" w:name="page322"/>
    <w:bookmarkEnd w:id="3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Exercise Notice is deemed made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Accepted by:</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ZOOM VIDEO COMMUNICATIONS, INC.</w:t>
            </w:r>
          </w:p>
        </w:tc>
      </w:tr>
      <w:tr>
        <w:trPr>
          <w:trHeight w:val="432"/>
        </w:trPr>
        <w:tc>
          <w:tcPr>
            <w:tcW w:w="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By</w:t>
            </w:r>
          </w:p>
        </w:tc>
      </w:tr>
      <w:tr>
        <w:trPr>
          <w:trHeight w:val="323"/>
        </w:trPr>
        <w:tc>
          <w:tcPr>
            <w:tcW w:w="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66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w:t>
            </w:r>
          </w:p>
        </w:tc>
      </w:tr>
      <w:tr>
        <w:trPr>
          <w:trHeight w:val="283"/>
        </w:trPr>
        <w:tc>
          <w:tcPr>
            <w:tcW w:w="51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44"/>
        </w:trPr>
        <w:tc>
          <w:tcPr>
            <w:tcW w:w="580" w:type="dxa"/>
            <w:vAlign w:val="bottom"/>
            <w:tcBorders>
              <w:top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23"/>
        </w:trPr>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31"/>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ind w:left="5840"/>
        <w:spacing w:after="0"/>
        <w:rPr>
          <w:sz w:val="20"/>
          <w:szCs w:val="20"/>
          <w:color w:val="auto"/>
        </w:rPr>
      </w:pPr>
      <w:r>
        <w:rPr>
          <w:rFonts w:ascii="Arial" w:cs="Arial" w:eastAsia="Arial" w:hAnsi="Arial"/>
          <w:sz w:val="18"/>
          <w:szCs w:val="18"/>
          <w:color w:val="auto"/>
        </w:rPr>
        <w:t>Date Received</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SIGNATURE PAGE TO EXERCISE NOTE</w:t>
      </w:r>
    </w:p>
    <w:p>
      <w:pPr>
        <w:sectPr>
          <w:pgSz w:w="11900" w:h="16838" w:orient="portrait"/>
          <w:cols w:equalWidth="0" w:num="1">
            <w:col w:w="11020"/>
          </w:cols>
          <w:pgMar w:left="440" w:top="274" w:right="4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C</w:t>
            </w:r>
          </w:p>
        </w:tc>
        <w:tc>
          <w:tcPr>
            <w:tcW w:w="1540" w:type="dxa"/>
            <w:vAlign w:val="bottom"/>
          </w:tcPr>
          <w:p>
            <w:pPr>
              <w:spacing w:after="0"/>
              <w:rPr>
                <w:sz w:val="17"/>
                <w:szCs w:val="17"/>
                <w:color w:val="auto"/>
              </w:rPr>
            </w:pPr>
          </w:p>
        </w:tc>
      </w:tr>
      <w:tr>
        <w:trPr>
          <w:trHeight w:val="453"/>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PARTICIPANT:</w:t>
            </w:r>
          </w:p>
        </w:tc>
        <w:tc>
          <w:tcPr>
            <w:tcW w:w="2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4"/>
        </w:trPr>
        <w:tc>
          <w:tcPr>
            <w:tcW w:w="1440" w:type="dxa"/>
            <w:vAlign w:val="bottom"/>
          </w:tcPr>
          <w:p>
            <w:pPr>
              <w:spacing w:after="0"/>
              <w:rPr>
                <w:sz w:val="20"/>
                <w:szCs w:val="20"/>
                <w:color w:val="auto"/>
              </w:rPr>
            </w:pPr>
            <w:r>
              <w:rPr>
                <w:rFonts w:ascii="Arial" w:cs="Arial" w:eastAsia="Arial" w:hAnsi="Arial"/>
                <w:sz w:val="18"/>
                <w:szCs w:val="18"/>
                <w:color w:val="auto"/>
              </w:rPr>
              <w:t>COMPANY:</w:t>
            </w:r>
          </w:p>
        </w:tc>
        <w:tc>
          <w:tcPr>
            <w:tcW w:w="6080" w:type="dxa"/>
            <w:vAlign w:val="bottom"/>
            <w:gridSpan w:val="5"/>
          </w:tcPr>
          <w:p>
            <w:pPr>
              <w:ind w:left="220"/>
              <w:spacing w:after="0"/>
              <w:rPr>
                <w:sz w:val="20"/>
                <w:szCs w:val="20"/>
                <w:color w:val="auto"/>
              </w:rPr>
            </w:pPr>
            <w:r>
              <w:rPr>
                <w:rFonts w:ascii="Arial" w:cs="Arial" w:eastAsia="Arial" w:hAnsi="Arial"/>
                <w:sz w:val="18"/>
                <w:szCs w:val="18"/>
                <w:color w:val="auto"/>
              </w:rPr>
              <w:t>ZOOM VIDEO COMMUNICATIONS, INC.</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SECURITIES:</w:t>
            </w:r>
          </w:p>
        </w:tc>
        <w:tc>
          <w:tcPr>
            <w:tcW w:w="608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No. of SHARES:</w:t>
            </w:r>
          </w:p>
        </w:tc>
        <w:tc>
          <w:tcPr>
            <w:tcW w:w="2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 connection with the purchase of the above-listed Securities, the Participant represents to the Company the following:</w:t>
      </w:r>
    </w:p>
    <w:p>
      <w:pPr>
        <w:spacing w:after="0" w:line="225" w:lineRule="exact"/>
        <w:rPr>
          <w:sz w:val="20"/>
          <w:szCs w:val="20"/>
          <w:color w:val="auto"/>
        </w:rPr>
      </w:pPr>
    </w:p>
    <w:p>
      <w:pPr>
        <w:ind w:firstLine="436"/>
        <w:spacing w:after="0" w:line="259" w:lineRule="auto"/>
        <w:tabs>
          <w:tab w:leader="none" w:pos="81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Participant hereby acknowledges that the Participant is aware of the Company’s business affairs and financial condition and has acquired sufficient information about the Company to reach an informed and knowledgeable decision to acquire the Securities. The Participant is acquiring these Securities for investment for the Participant’s own account only and not with a view to, or for resale in connection with, any “distribution” thereof within the meaning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69" w:lineRule="auto"/>
        <w:tabs>
          <w:tab w:leader="none" w:pos="82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Participant hereby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the Participant’s investment intent as expressed herein. In this connection, the Participant understands that, in the view of the Securities and Exchange Commission, the statutory basis for such exemption may be unavailable if the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The Participant further understands that the Securities must be held indefinitely unless they are subsequently registered under the Securities Act or an exemption from such registration is available. The Participant further acknowledges and understands that the Company is under no obligation to register the Securities. The Participant understands that the certificate evidencing the Securities will be imprinted with a legend that prohibits the transfer of the Securities unless they are registered or such registration is not required in the opinion of counsel satisfactory to the Company, and with any other legend required under applicable state securities laws.</w:t>
      </w:r>
    </w:p>
    <w:p>
      <w:pPr>
        <w:spacing w:after="0" w:line="181" w:lineRule="exact"/>
        <w:rPr>
          <w:rFonts w:ascii="Arial" w:cs="Arial" w:eastAsia="Arial" w:hAnsi="Arial"/>
          <w:sz w:val="17"/>
          <w:szCs w:val="17"/>
          <w:color w:val="auto"/>
        </w:rPr>
      </w:pPr>
    </w:p>
    <w:p>
      <w:pPr>
        <w:ind w:right="80" w:firstLine="436"/>
        <w:spacing w:after="0" w:line="279" w:lineRule="auto"/>
        <w:tabs>
          <w:tab w:leader="none" w:pos="8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w:t>
      </w:r>
    </w:p>
    <w:p>
      <w:pPr>
        <w:sectPr>
          <w:pgSz w:w="11900" w:h="16838" w:orient="portrait"/>
          <w:cols w:equalWidth="0" w:num="1">
            <w:col w:w="11000"/>
          </w:cols>
          <w:pgMar w:left="440" w:top="257" w:right="459" w:bottom="1440" w:gutter="0" w:footer="0" w:header="0"/>
        </w:sectPr>
      </w:pPr>
    </w:p>
    <w:bookmarkStart w:id="323" w:name="page324"/>
    <w:bookmarkEnd w:id="323"/>
    <w:p>
      <w:pPr>
        <w:ind w:left="4"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92" w:lineRule="exact"/>
        <w:rPr>
          <w:sz w:val="20"/>
          <w:szCs w:val="20"/>
          <w:color w:val="auto"/>
        </w:rPr>
      </w:pPr>
    </w:p>
    <w:p>
      <w:pPr>
        <w:ind w:left="4" w:right="320" w:firstLine="440"/>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left="4" w:right="160" w:hanging="4"/>
        <w:spacing w:after="0" w:line="255" w:lineRule="auto"/>
        <w:tabs>
          <w:tab w:leader="none" w:pos="26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89" w:lineRule="exact"/>
        <w:rPr>
          <w:rFonts w:ascii="Arial" w:cs="Arial" w:eastAsia="Arial" w:hAnsi="Arial"/>
          <w:sz w:val="18"/>
          <w:szCs w:val="18"/>
          <w:color w:val="auto"/>
        </w:rPr>
      </w:pPr>
    </w:p>
    <w:p>
      <w:pPr>
        <w:ind w:left="4" w:firstLine="436"/>
        <w:spacing w:after="0" w:line="254" w:lineRule="auto"/>
        <w:tabs>
          <w:tab w:leader="none" w:pos="83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The Participant understands that no assurances can be given that any such other registration exemption will be available in such event.</w:t>
      </w:r>
    </w:p>
    <w:p>
      <w:pPr>
        <w:spacing w:after="0" w:line="22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14605</wp:posOffset>
            </wp:positionV>
            <wp:extent cx="24860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Eric S. Yuan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Eric:</w:t>
      </w:r>
    </w:p>
    <w:p>
      <w:pPr>
        <w:spacing w:after="0" w:line="117"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You and Zoom Video Communications, Inc. (“Zoom”) previously entered into an Employment, Confidential Information and Assignment of Creative Works Agreement and Zoom’s Binding Arbitration Policy. This letter agreement confirms the terms of your employment with Zoom:</w:t>
      </w:r>
    </w:p>
    <w:p>
      <w:pPr>
        <w:spacing w:after="0" w:line="48" w:lineRule="exact"/>
        <w:rPr>
          <w:sz w:val="20"/>
          <w:szCs w:val="20"/>
          <w:color w:val="auto"/>
        </w:rPr>
      </w:pPr>
    </w:p>
    <w:p>
      <w:pPr>
        <w:ind w:left="424" w:right="40" w:hanging="424"/>
        <w:spacing w:after="0" w:line="303" w:lineRule="auto"/>
        <w:tabs>
          <w:tab w:leader="none" w:pos="424"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 will serve as President, Chief Executive Officer and Chairman of the Board of Directors (the “Board”) of Zoom, and you will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Board. This is a full-time exempt position. While you 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56" w:lineRule="exact"/>
        <w:rPr>
          <w:rFonts w:ascii="Arial" w:cs="Arial" w:eastAsia="Arial" w:hAnsi="Arial"/>
          <w:sz w:val="16"/>
          <w:szCs w:val="16"/>
          <w:color w:val="auto"/>
        </w:rPr>
      </w:pPr>
    </w:p>
    <w:p>
      <w:pPr>
        <w:ind w:left="424" w:hanging="424"/>
        <w:spacing w:after="0"/>
        <w:tabs>
          <w:tab w:leader="none" w:pos="424"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$300,000 per year, payable in accordance with Zoom’s standard payroll schedule.</w:t>
      </w:r>
    </w:p>
    <w:p>
      <w:pPr>
        <w:spacing w:after="0" w:line="153" w:lineRule="exact"/>
        <w:rPr>
          <w:rFonts w:ascii="Arial" w:cs="Arial" w:eastAsia="Arial" w:hAnsi="Arial"/>
          <w:sz w:val="16"/>
          <w:szCs w:val="16"/>
          <w:color w:val="auto"/>
        </w:rPr>
      </w:pPr>
    </w:p>
    <w:p>
      <w:pPr>
        <w:ind w:left="424" w:right="560" w:hanging="424"/>
        <w:spacing w:after="0" w:line="282" w:lineRule="auto"/>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pacing w:after="0" w:line="75" w:lineRule="exact"/>
        <w:rPr>
          <w:rFonts w:ascii="Arial" w:cs="Arial" w:eastAsia="Arial" w:hAnsi="Arial"/>
          <w:sz w:val="18"/>
          <w:szCs w:val="18"/>
          <w:color w:val="auto"/>
        </w:rPr>
      </w:pPr>
    </w:p>
    <w:p>
      <w:pPr>
        <w:ind w:left="444" w:right="100"/>
        <w:spacing w:after="0" w:line="255" w:lineRule="auto"/>
        <w:rPr>
          <w:rFonts w:ascii="Arial" w:cs="Arial" w:eastAsia="Arial" w:hAnsi="Arial"/>
          <w:sz w:val="18"/>
          <w:szCs w:val="18"/>
          <w:color w:val="auto"/>
        </w:rPr>
      </w:pPr>
      <w:r>
        <w:rPr>
          <w:rFonts w:ascii="Arial" w:cs="Arial" w:eastAsia="Arial" w:hAnsi="Arial"/>
          <w:sz w:val="18"/>
          <w:szCs w:val="18"/>
          <w:color w:val="auto"/>
        </w:rPr>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ectPr>
          <w:pgSz w:w="11900" w:h="16838" w:orient="portrait"/>
          <w:cols w:equalWidth="0" w:num="1">
            <w:col w:w="11024"/>
          </w:cols>
          <w:pgMar w:left="436" w:top="121" w:right="4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should a CIC Termination occur, you will receive as severance benefits:</w:t>
      </w:r>
    </w:p>
    <w:p>
      <w:pPr>
        <w:spacing w:after="0" w:line="131" w:lineRule="exact"/>
        <w:rPr>
          <w:sz w:val="20"/>
          <w:szCs w:val="20"/>
          <w:color w:val="auto"/>
        </w:rPr>
      </w:pPr>
    </w:p>
    <w:p>
      <w:pPr>
        <w:ind w:left="980" w:hanging="547"/>
        <w:spacing w:after="0" w:line="311" w:lineRule="auto"/>
        <w:tabs>
          <w:tab w:leader="none" w:pos="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4" w:lineRule="exact"/>
        <w:rPr>
          <w:rFonts w:ascii="Arial" w:cs="Arial" w:eastAsia="Arial" w:hAnsi="Arial"/>
          <w:sz w:val="16"/>
          <w:szCs w:val="16"/>
          <w:color w:val="auto"/>
        </w:rPr>
      </w:pPr>
    </w:p>
    <w:p>
      <w:pPr>
        <w:ind w:left="980" w:hanging="547"/>
        <w:spacing w:after="0" w:line="285" w:lineRule="auto"/>
        <w:tabs>
          <w:tab w:leader="none" w:pos="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 “Release”)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ectPr>
          <w:pgSz w:w="11900" w:h="16838" w:orient="portrait"/>
          <w:cols w:equalWidth="0" w:num="1">
            <w:col w:w="10560"/>
          </w:cols>
          <w:pgMar w:left="880" w:top="274" w:right="4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offer letter agreement, the following definitions shall apply:</w:t>
      </w:r>
    </w:p>
    <w:p>
      <w:pPr>
        <w:spacing w:after="0" w:line="131" w:lineRule="exact"/>
        <w:rPr>
          <w:sz w:val="20"/>
          <w:szCs w:val="20"/>
          <w:color w:val="auto"/>
        </w:rPr>
      </w:pPr>
    </w:p>
    <w:p>
      <w:pPr>
        <w:ind w:left="980" w:right="60" w:hanging="547"/>
        <w:spacing w:after="0" w:line="293" w:lineRule="auto"/>
        <w:tabs>
          <w:tab w:leader="none" w:pos="9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69" w:lineRule="exact"/>
        <w:rPr>
          <w:rFonts w:ascii="Arial" w:cs="Arial" w:eastAsia="Arial" w:hAnsi="Arial"/>
          <w:sz w:val="16"/>
          <w:szCs w:val="16"/>
          <w:color w:val="auto"/>
        </w:rPr>
      </w:pPr>
    </w:p>
    <w:p>
      <w:pPr>
        <w:ind w:left="980" w:hanging="547"/>
        <w:spacing w:after="0" w:line="254"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00" w:lineRule="exact"/>
        <w:rPr>
          <w:rFonts w:ascii="Arial" w:cs="Arial" w:eastAsia="Arial" w:hAnsi="Arial"/>
          <w:sz w:val="18"/>
          <w:szCs w:val="18"/>
          <w:color w:val="auto"/>
        </w:rPr>
      </w:pPr>
    </w:p>
    <w:p>
      <w:pPr>
        <w:ind w:left="980" w:hanging="547"/>
        <w:spacing w:after="0"/>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47"/>
        <w:spacing w:after="0" w:line="277"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33"/>
        <w:spacing w:after="0"/>
        <w:tabs>
          <w:tab w:leader="none" w:pos="18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33"/>
        <w:spacing w:after="0" w:line="263" w:lineRule="auto"/>
        <w:tabs>
          <w:tab w:leader="none" w:pos="18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9" w:lineRule="exact"/>
        <w:rPr>
          <w:rFonts w:ascii="Arial" w:cs="Arial" w:eastAsia="Arial" w:hAnsi="Arial"/>
          <w:sz w:val="18"/>
          <w:szCs w:val="18"/>
          <w:color w:val="auto"/>
        </w:rPr>
      </w:pPr>
    </w:p>
    <w:p>
      <w:pPr>
        <w:ind w:left="1860" w:right="400" w:hanging="333"/>
        <w:spacing w:after="0" w:line="263" w:lineRule="auto"/>
        <w:tabs>
          <w:tab w:leader="none" w:pos="18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pacing w:after="0" w:line="89" w:lineRule="exact"/>
        <w:rPr>
          <w:rFonts w:ascii="Arial" w:cs="Arial" w:eastAsia="Arial" w:hAnsi="Arial"/>
          <w:sz w:val="18"/>
          <w:szCs w:val="18"/>
          <w:color w:val="auto"/>
        </w:rPr>
      </w:pPr>
    </w:p>
    <w:p>
      <w:pPr>
        <w:ind w:left="1860" w:right="420" w:hanging="333"/>
        <w:spacing w:after="0" w:line="277" w:lineRule="auto"/>
        <w:tabs>
          <w:tab w:leader="none" w:pos="18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980" w:right="180"/>
        <w:spacing w:after="0" w:line="263"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ectPr>
          <w:pgSz w:w="11900" w:h="16838" w:orient="portrait"/>
          <w:cols w:equalWidth="0" w:num="1">
            <w:col w:w="10560"/>
          </w:cols>
          <w:pgMar w:left="880" w:top="274" w:right="459" w:bottom="1440" w:gutter="0" w:footer="0" w:header="0"/>
        </w:sectPr>
      </w:pPr>
    </w:p>
    <w:bookmarkStart w:id="327" w:name="page328"/>
    <w:bookmarkEnd w:id="327"/>
    <w:p>
      <w:pPr>
        <w:ind w:left="1424" w:hanging="547"/>
        <w:spacing w:after="0"/>
        <w:tabs>
          <w:tab w:leader="none" w:pos="1424"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24" w:right="380" w:hanging="547"/>
        <w:spacing w:after="0" w:line="263" w:lineRule="auto"/>
        <w:tabs>
          <w:tab w:leader="none" w:pos="142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24" w:hanging="424"/>
        <w:spacing w:after="0" w:line="274" w:lineRule="auto"/>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8" w:lineRule="exact"/>
        <w:rPr>
          <w:rFonts w:ascii="Arial" w:cs="Arial" w:eastAsia="Arial" w:hAnsi="Arial"/>
          <w:sz w:val="17"/>
          <w:szCs w:val="17"/>
          <w:color w:val="auto"/>
        </w:rPr>
      </w:pPr>
    </w:p>
    <w:p>
      <w:pPr>
        <w:ind w:left="424" w:right="220" w:hanging="424"/>
        <w:spacing w:after="0" w:line="314" w:lineRule="auto"/>
        <w:tabs>
          <w:tab w:leader="none" w:pos="424" w:val="left"/>
        </w:tabs>
        <w:numPr>
          <w:ilvl w:val="0"/>
          <w:numId w:val="301"/>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24" w:hanging="424"/>
        <w:spacing w:after="0" w:line="269" w:lineRule="auto"/>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It is intended that all of the benefits and other payments payable under this letter agreement satisfy, to the greatest extent possible,</w:t>
      </w:r>
      <w:r>
        <w:rPr>
          <w:rFonts w:ascii="Arial" w:cs="Arial" w:eastAsia="Arial" w:hAnsi="Arial"/>
          <w:sz w:val="17"/>
          <w:szCs w:val="17"/>
          <w:b w:val="1"/>
          <w:bCs w:val="1"/>
          <w:color w:val="auto"/>
        </w:rPr>
        <w:t xml:space="preserve"> </w:t>
      </w:r>
      <w:r>
        <w:rPr>
          <w:rFonts w:ascii="Arial" w:cs="Arial" w:eastAsia="Arial" w:hAnsi="Arial"/>
          <w:sz w:val="17"/>
          <w:szCs w:val="17"/>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w:t>
      </w:r>
    </w:p>
    <w:p>
      <w:pPr>
        <w:sectPr>
          <w:pgSz w:w="11900" w:h="16838" w:orient="portrait"/>
          <w:cols w:equalWidth="0" w:num="1">
            <w:col w:w="11004"/>
          </w:cols>
          <w:pgMar w:left="436" w:top="274" w:right="459" w:bottom="1440" w:gutter="0" w:footer="0" w:header="0"/>
        </w:sectPr>
      </w:pPr>
    </w:p>
    <w:bookmarkStart w:id="328" w:name="page329"/>
    <w:bookmarkEnd w:id="328"/>
    <w:p>
      <w:pPr>
        <w:ind w:left="424"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3" w:lineRule="exact"/>
        <w:rPr>
          <w:sz w:val="20"/>
          <w:szCs w:val="20"/>
          <w:color w:val="auto"/>
        </w:rPr>
      </w:pPr>
    </w:p>
    <w:p>
      <w:pPr>
        <w:ind w:left="424" w:hanging="424"/>
        <w:spacing w:after="0" w:line="269" w:lineRule="auto"/>
        <w:tabs>
          <w:tab w:leader="none" w:pos="424" w:val="left"/>
        </w:tabs>
        <w:numPr>
          <w:ilvl w:val="0"/>
          <w:numId w:val="302"/>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91" w:lineRule="exact"/>
        <w:rPr>
          <w:rFonts w:ascii="Arial" w:cs="Arial" w:eastAsia="Arial" w:hAnsi="Arial"/>
          <w:sz w:val="17"/>
          <w:szCs w:val="17"/>
          <w:color w:val="auto"/>
        </w:rPr>
      </w:pPr>
    </w:p>
    <w:p>
      <w:pPr>
        <w:ind w:left="424"/>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83" w:lineRule="exact"/>
        <w:rPr>
          <w:rFonts w:ascii="Arial" w:cs="Arial" w:eastAsia="Arial" w:hAnsi="Arial"/>
          <w:sz w:val="17"/>
          <w:szCs w:val="17"/>
          <w:color w:val="auto"/>
        </w:rPr>
      </w:pPr>
    </w:p>
    <w:p>
      <w:pPr>
        <w:ind w:left="424"/>
        <w:spacing w:after="0" w:line="286" w:lineRule="auto"/>
        <w:rPr>
          <w:rFonts w:ascii="Arial" w:cs="Arial" w:eastAsia="Arial" w:hAnsi="Arial"/>
          <w:sz w:val="17"/>
          <w:szCs w:val="17"/>
          <w:color w:val="auto"/>
        </w:rPr>
      </w:pPr>
      <w:r>
        <w:rPr>
          <w:rFonts w:ascii="Arial" w:cs="Arial" w:eastAsia="Arial" w:hAnsi="Arial"/>
          <w:sz w:val="16"/>
          <w:szCs w:val="16"/>
          <w:color w:val="auto"/>
        </w:rPr>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rFonts w:ascii="Arial" w:cs="Arial" w:eastAsia="Arial" w:hAnsi="Arial"/>
          <w:sz w:val="17"/>
          <w:szCs w:val="17"/>
          <w:color w:val="auto"/>
        </w:rPr>
      </w:pPr>
    </w:p>
    <w:p>
      <w:pPr>
        <w:ind w:left="424" w:right="300"/>
        <w:spacing w:after="0" w:line="323" w:lineRule="auto"/>
        <w:rPr>
          <w:rFonts w:ascii="Arial" w:cs="Arial" w:eastAsia="Arial" w:hAnsi="Arial"/>
          <w:sz w:val="17"/>
          <w:szCs w:val="17"/>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ectPr>
          <w:pgSz w:w="11900" w:h="16838" w:orient="portrait"/>
          <w:cols w:equalWidth="0" w:num="1">
            <w:col w:w="10984"/>
          </w:cols>
          <w:pgMar w:left="436" w:top="274" w:right="479" w:bottom="1440" w:gutter="0" w:footer="0" w:header="0"/>
        </w:sectPr>
      </w:pPr>
    </w:p>
    <w:bookmarkStart w:id="329" w:name="page330"/>
    <w:bookmarkEnd w:id="329"/>
    <w:p>
      <w:pPr>
        <w:ind w:left="424" w:right="20" w:hanging="424"/>
        <w:spacing w:after="0" w:line="272" w:lineRule="auto"/>
        <w:tabs>
          <w:tab w:leader="none" w:pos="424"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left="4" w:firstLine="881"/>
        <w:spacing w:after="0" w:line="263"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4"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Dan Scheinman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Member of the Compensation Committee of the Board of Directors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64"/>
          </w:cols>
          <w:pgMar w:left="436" w:top="270" w:right="49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232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0003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64" w:space="720"/>
            <w:col w:w="4680"/>
          </w:cols>
          <w:pgMar w:left="436" w:top="270" w:right="49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Eric S. Yuan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64" w:space="720"/>
            <w:col w:w="4680"/>
          </w:cols>
          <w:pgMar w:left="436" w:top="270" w:right="499" w:bottom="1440" w:gutter="0" w:footer="0" w:header="0"/>
          <w:type w:val="continuous"/>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Aparna Bawa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Aparna:</w:t>
      </w:r>
    </w:p>
    <w:p>
      <w:pPr>
        <w:spacing w:after="0" w:line="117"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You and Zoom Video Communications, Inc. (“Zoom”) previously entered into an offer letter dated August 1, 2018. You also signed an Employment, Confidential Information and Assignment of Creative Works Agreement and Zoom’s Binding Arbitration Policy. This letter agreement confirms the terms of your employment with Zoom:</w:t>
      </w:r>
    </w:p>
    <w:p>
      <w:pPr>
        <w:spacing w:after="0" w:line="85" w:lineRule="exact"/>
        <w:rPr>
          <w:sz w:val="20"/>
          <w:szCs w:val="20"/>
          <w:color w:val="auto"/>
        </w:rPr>
      </w:pPr>
    </w:p>
    <w:p>
      <w:pPr>
        <w:ind w:left="424" w:right="100" w:hanging="424"/>
        <w:spacing w:after="0" w:line="261"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General Counsel and Secretary, and you will report to Eric Yuan, CEO. This is a full-time exempt position. While you</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85" w:lineRule="exact"/>
        <w:rPr>
          <w:rFonts w:ascii="Arial" w:cs="Arial" w:eastAsia="Arial" w:hAnsi="Arial"/>
          <w:sz w:val="18"/>
          <w:szCs w:val="18"/>
          <w:color w:val="auto"/>
        </w:rPr>
      </w:pPr>
    </w:p>
    <w:p>
      <w:pPr>
        <w:ind w:left="424" w:right="60" w:hanging="424"/>
        <w:spacing w:after="0" w:line="294" w:lineRule="auto"/>
        <w:tabs>
          <w:tab w:leader="none" w:pos="424" w:val="left"/>
        </w:tabs>
        <w:numPr>
          <w:ilvl w:val="0"/>
          <w:numId w:val="304"/>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$250,000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35%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5" w:lineRule="exact"/>
        <w:rPr>
          <w:rFonts w:ascii="Arial" w:cs="Arial" w:eastAsia="Arial" w:hAnsi="Arial"/>
          <w:sz w:val="16"/>
          <w:szCs w:val="16"/>
          <w:color w:val="auto"/>
        </w:rPr>
      </w:pPr>
    </w:p>
    <w:p>
      <w:pPr>
        <w:ind w:left="424" w:right="560" w:hanging="424"/>
        <w:spacing w:after="0" w:line="282"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4"/>
          </w:cols>
          <w:pgMar w:left="436" w:top="121" w:right="439" w:bottom="1440" w:gutter="0" w:footer="0" w:header="0"/>
        </w:sectPr>
      </w:pPr>
    </w:p>
    <w:bookmarkStart w:id="331" w:name="page332"/>
    <w:bookmarkEnd w:id="33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47"/>
        <w:spacing w:after="0" w:line="311" w:lineRule="auto"/>
        <w:tabs>
          <w:tab w:leader="none" w:pos="9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4" w:lineRule="exact"/>
        <w:rPr>
          <w:rFonts w:ascii="Arial" w:cs="Arial" w:eastAsia="Arial" w:hAnsi="Arial"/>
          <w:sz w:val="16"/>
          <w:szCs w:val="16"/>
          <w:color w:val="auto"/>
        </w:rPr>
      </w:pPr>
    </w:p>
    <w:p>
      <w:pPr>
        <w:ind w:left="980" w:hanging="547"/>
        <w:spacing w:after="0" w:line="285" w:lineRule="auto"/>
        <w:tabs>
          <w:tab w:leader="none" w:pos="9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60"/>
          </w:cols>
          <w:pgMar w:left="880" w:top="274" w:right="459" w:bottom="1440" w:gutter="0" w:footer="0" w:header="0"/>
        </w:sectPr>
      </w:pPr>
    </w:p>
    <w:bookmarkStart w:id="332" w:name="page333"/>
    <w:bookmarkEnd w:id="33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60" w:hanging="547"/>
        <w:spacing w:after="0" w:line="293" w:lineRule="auto"/>
        <w:tabs>
          <w:tab w:leader="none" w:pos="98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69" w:lineRule="exact"/>
        <w:rPr>
          <w:rFonts w:ascii="Arial" w:cs="Arial" w:eastAsia="Arial" w:hAnsi="Arial"/>
          <w:sz w:val="16"/>
          <w:szCs w:val="16"/>
          <w:color w:val="auto"/>
        </w:rPr>
      </w:pPr>
    </w:p>
    <w:p>
      <w:pPr>
        <w:ind w:left="980" w:hanging="547"/>
        <w:spacing w:after="0" w:line="254"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00" w:lineRule="exact"/>
        <w:rPr>
          <w:rFonts w:ascii="Arial" w:cs="Arial" w:eastAsia="Arial" w:hAnsi="Arial"/>
          <w:sz w:val="18"/>
          <w:szCs w:val="18"/>
          <w:color w:val="auto"/>
        </w:rPr>
      </w:pPr>
    </w:p>
    <w:p>
      <w:pPr>
        <w:ind w:left="980" w:hanging="547"/>
        <w:spacing w:after="0"/>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47"/>
        <w:spacing w:after="0" w:line="277"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33"/>
        <w:spacing w:after="0"/>
        <w:tabs>
          <w:tab w:leader="none" w:pos="18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33"/>
        <w:spacing w:after="0" w:line="263" w:lineRule="auto"/>
        <w:tabs>
          <w:tab w:leader="none" w:pos="18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9" w:lineRule="exact"/>
        <w:rPr>
          <w:rFonts w:ascii="Arial" w:cs="Arial" w:eastAsia="Arial" w:hAnsi="Arial"/>
          <w:sz w:val="18"/>
          <w:szCs w:val="18"/>
          <w:color w:val="auto"/>
        </w:rPr>
      </w:pPr>
    </w:p>
    <w:p>
      <w:pPr>
        <w:ind w:left="1860" w:right="400" w:hanging="333"/>
        <w:spacing w:after="0" w:line="263" w:lineRule="auto"/>
        <w:tabs>
          <w:tab w:leader="none" w:pos="18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60"/>
          </w:cols>
          <w:pgMar w:left="880" w:top="274" w:right="459" w:bottom="1440" w:gutter="0" w:footer="0" w:header="0"/>
        </w:sectPr>
      </w:pPr>
    </w:p>
    <w:bookmarkStart w:id="333" w:name="page334"/>
    <w:bookmarkEnd w:id="333"/>
    <w:p>
      <w:pPr>
        <w:ind w:left="2304" w:right="420" w:hanging="333"/>
        <w:spacing w:after="0" w:line="277" w:lineRule="auto"/>
        <w:tabs>
          <w:tab w:leader="none" w:pos="2304"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24" w:right="180"/>
        <w:spacing w:after="0" w:line="263"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9" w:lineRule="exact"/>
        <w:rPr>
          <w:sz w:val="20"/>
          <w:szCs w:val="20"/>
          <w:color w:val="auto"/>
        </w:rPr>
      </w:pPr>
    </w:p>
    <w:p>
      <w:pPr>
        <w:ind w:left="1424" w:hanging="547"/>
        <w:spacing w:after="0"/>
        <w:tabs>
          <w:tab w:leader="none" w:pos="142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24" w:right="380" w:hanging="547"/>
        <w:spacing w:after="0" w:line="263" w:lineRule="auto"/>
        <w:tabs>
          <w:tab w:leader="none" w:pos="142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24" w:hanging="424"/>
        <w:spacing w:after="0" w:line="274" w:lineRule="auto"/>
        <w:tabs>
          <w:tab w:leader="none" w:pos="424" w:val="left"/>
        </w:tabs>
        <w:numPr>
          <w:ilvl w:val="0"/>
          <w:numId w:val="308"/>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8" w:lineRule="exact"/>
        <w:rPr>
          <w:rFonts w:ascii="Arial" w:cs="Arial" w:eastAsia="Arial" w:hAnsi="Arial"/>
          <w:sz w:val="17"/>
          <w:szCs w:val="17"/>
          <w:color w:val="auto"/>
        </w:rPr>
      </w:pPr>
    </w:p>
    <w:p>
      <w:pPr>
        <w:ind w:left="424" w:right="220" w:hanging="424"/>
        <w:spacing w:after="0" w:line="314" w:lineRule="auto"/>
        <w:tabs>
          <w:tab w:leader="none" w:pos="424" w:val="left"/>
        </w:tabs>
        <w:numPr>
          <w:ilvl w:val="0"/>
          <w:numId w:val="308"/>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04"/>
          </w:cols>
          <w:pgMar w:left="436" w:top="274" w:right="459" w:bottom="1440" w:gutter="0" w:footer="0" w:header="0"/>
        </w:sectPr>
      </w:pPr>
    </w:p>
    <w:bookmarkStart w:id="334" w:name="page335"/>
    <w:bookmarkEnd w:id="334"/>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24" w:right="4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1" w:lineRule="exact"/>
        <w:rPr>
          <w:sz w:val="20"/>
          <w:szCs w:val="20"/>
          <w:color w:val="auto"/>
        </w:rPr>
      </w:pPr>
    </w:p>
    <w:p>
      <w:pPr>
        <w:ind w:left="424" w:hanging="424"/>
        <w:spacing w:after="0" w:line="269" w:lineRule="auto"/>
        <w:tabs>
          <w:tab w:leader="none" w:pos="424" w:val="left"/>
        </w:tabs>
        <w:numPr>
          <w:ilvl w:val="0"/>
          <w:numId w:val="309"/>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91" w:lineRule="exact"/>
        <w:rPr>
          <w:rFonts w:ascii="Arial" w:cs="Arial" w:eastAsia="Arial" w:hAnsi="Arial"/>
          <w:sz w:val="17"/>
          <w:szCs w:val="17"/>
          <w:color w:val="auto"/>
        </w:rPr>
      </w:pPr>
    </w:p>
    <w:p>
      <w:pPr>
        <w:ind w:left="424"/>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0984"/>
          </w:cols>
          <w:pgMar w:left="436" w:top="274" w:right="479" w:bottom="1440" w:gutter="0" w:footer="0" w:header="0"/>
        </w:sectPr>
      </w:pPr>
    </w:p>
    <w:bookmarkStart w:id="335" w:name="page336"/>
    <w:bookmarkEnd w:id="335"/>
    <w:p>
      <w:pPr>
        <w:ind w:left="44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sz w:val="20"/>
          <w:szCs w:val="20"/>
          <w:color w:val="auto"/>
        </w:rPr>
      </w:pPr>
    </w:p>
    <w:p>
      <w:pPr>
        <w:ind w:left="444"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39" w:lineRule="exact"/>
        <w:rPr>
          <w:sz w:val="20"/>
          <w:szCs w:val="20"/>
          <w:color w:val="auto"/>
        </w:rPr>
      </w:pPr>
    </w:p>
    <w:p>
      <w:pPr>
        <w:ind w:left="424" w:right="40" w:hanging="424"/>
        <w:spacing w:after="0" w:line="272" w:lineRule="auto"/>
        <w:tabs>
          <w:tab w:leader="none" w:pos="424"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left="4" w:right="20" w:firstLine="881"/>
        <w:spacing w:after="0" w:line="263"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84"/>
          </w:cols>
          <w:pgMar w:left="436" w:top="274" w:right="47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232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00037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64" w:space="720"/>
            <w:col w:w="47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Aparna Bawa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64" w:space="720"/>
            <w:col w:w="4700"/>
          </w:cols>
          <w:pgMar w:left="436" w:top="274" w:right="479" w:bottom="1440" w:gutter="0" w:footer="0" w:header="0"/>
          <w:type w:val="continuous"/>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Gregory Holmes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Greg:</w:t>
      </w:r>
    </w:p>
    <w:p>
      <w:pPr>
        <w:spacing w:after="0" w:line="11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You and Zoom Video Communications, Inc. (“Zoom”) previously entered into an offer letter dated December 4, 2012. You also signed an Employment, Confidential Information and Assignment of Creative Works Agreement and Zoom’s Binding Arbitration Policy. This letter agreement confirms the terms of your employment with Zoom:</w:t>
      </w:r>
    </w:p>
    <w:p>
      <w:pPr>
        <w:spacing w:after="0" w:line="85" w:lineRule="exact"/>
        <w:rPr>
          <w:sz w:val="20"/>
          <w:szCs w:val="20"/>
          <w:color w:val="auto"/>
        </w:rPr>
      </w:pPr>
    </w:p>
    <w:p>
      <w:pPr>
        <w:ind w:left="424" w:right="160" w:hanging="424"/>
        <w:spacing w:after="0" w:line="261"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Head of Worldwide Sales, and you will report to Eric Yuan, CEO. This is a full-time exempt position. While you</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85" w:lineRule="exact"/>
        <w:rPr>
          <w:rFonts w:ascii="Arial" w:cs="Arial" w:eastAsia="Arial" w:hAnsi="Arial"/>
          <w:sz w:val="18"/>
          <w:szCs w:val="18"/>
          <w:color w:val="auto"/>
        </w:rPr>
      </w:pPr>
    </w:p>
    <w:p>
      <w:pPr>
        <w:ind w:left="424" w:right="120" w:hanging="424"/>
        <w:spacing w:after="0" w:line="254"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Zoom will pay you a salary at the rate of $250,000 per year, payable in accordance with Zoom’s standard payroll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also be eligible to earn and receive a discretionary bonus or bonuses in the total target amount per year of 100% of your annual salary rate, which may be paid annually, quarterly or monthly as determined by Zoom. The amount of the bonus(es), if any, that you earn will be determined by Zoom, in its discretion, based on Zoom’s performance and meeting milestones established by Zoom pursuant to Zoom’s sales commission plan or similar program applicable to you and/or Zoom’s corporate incentive bonus program. No amount of any bonus is guaranteed, and in addition to satisfaction of any other conditions established by Zoom for such bonus program, unless otherwise provided in the sales commission plan or similar program applicable to you, you must be an employee on the applicable bonus payment date(s) to earn and be eligible to receive a bonus.</w:t>
      </w:r>
    </w:p>
    <w:p>
      <w:pPr>
        <w:spacing w:after="0" w:line="97" w:lineRule="exact"/>
        <w:rPr>
          <w:rFonts w:ascii="Arial" w:cs="Arial" w:eastAsia="Arial" w:hAnsi="Arial"/>
          <w:sz w:val="18"/>
          <w:szCs w:val="18"/>
          <w:color w:val="auto"/>
        </w:rPr>
      </w:pPr>
    </w:p>
    <w:p>
      <w:pPr>
        <w:ind w:left="424" w:right="560" w:hanging="424"/>
        <w:spacing w:after="0" w:line="282"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4"/>
          </w:cols>
          <w:pgMar w:left="436" w:top="121" w:right="439" w:bottom="1440" w:gutter="0" w:footer="0" w:header="0"/>
        </w:sectPr>
      </w:pPr>
    </w:p>
    <w:bookmarkStart w:id="337" w:name="page338"/>
    <w:bookmarkEnd w:id="33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47"/>
        <w:spacing w:after="0" w:line="311" w:lineRule="auto"/>
        <w:tabs>
          <w:tab w:leader="none" w:pos="9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4" w:lineRule="exact"/>
        <w:rPr>
          <w:rFonts w:ascii="Arial" w:cs="Arial" w:eastAsia="Arial" w:hAnsi="Arial"/>
          <w:sz w:val="16"/>
          <w:szCs w:val="16"/>
          <w:color w:val="auto"/>
        </w:rPr>
      </w:pPr>
    </w:p>
    <w:p>
      <w:pPr>
        <w:ind w:left="980" w:hanging="547"/>
        <w:spacing w:after="0" w:line="285" w:lineRule="auto"/>
        <w:tabs>
          <w:tab w:leader="none" w:pos="9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ectPr>
          <w:pgSz w:w="11900" w:h="16838" w:orient="portrait"/>
          <w:cols w:equalWidth="0" w:num="1">
            <w:col w:w="10560"/>
          </w:cols>
          <w:pgMar w:left="880" w:top="274" w:right="459" w:bottom="1440" w:gutter="0" w:footer="0" w:header="0"/>
        </w:sectPr>
      </w:pPr>
    </w:p>
    <w:bookmarkStart w:id="338" w:name="page339"/>
    <w:bookmarkEnd w:id="33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 “Release”)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60" w:hanging="547"/>
        <w:spacing w:after="0" w:line="293" w:lineRule="auto"/>
        <w:tabs>
          <w:tab w:leader="none" w:pos="9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69" w:lineRule="exact"/>
        <w:rPr>
          <w:rFonts w:ascii="Arial" w:cs="Arial" w:eastAsia="Arial" w:hAnsi="Arial"/>
          <w:sz w:val="16"/>
          <w:szCs w:val="16"/>
          <w:color w:val="auto"/>
        </w:rPr>
      </w:pPr>
    </w:p>
    <w:p>
      <w:pPr>
        <w:ind w:left="980" w:hanging="547"/>
        <w:spacing w:after="0" w:line="254" w:lineRule="auto"/>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00" w:lineRule="exact"/>
        <w:rPr>
          <w:rFonts w:ascii="Arial" w:cs="Arial" w:eastAsia="Arial" w:hAnsi="Arial"/>
          <w:sz w:val="18"/>
          <w:szCs w:val="18"/>
          <w:color w:val="auto"/>
        </w:rPr>
      </w:pPr>
    </w:p>
    <w:p>
      <w:pPr>
        <w:ind w:left="980" w:hanging="547"/>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47"/>
        <w:spacing w:after="0" w:line="277" w:lineRule="auto"/>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33"/>
        <w:spacing w:after="0"/>
        <w:tabs>
          <w:tab w:leader="none" w:pos="18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33"/>
        <w:spacing w:after="0" w:line="263" w:lineRule="auto"/>
        <w:tabs>
          <w:tab w:leader="none" w:pos="18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9" w:lineRule="exact"/>
        <w:rPr>
          <w:rFonts w:ascii="Arial" w:cs="Arial" w:eastAsia="Arial" w:hAnsi="Arial"/>
          <w:sz w:val="18"/>
          <w:szCs w:val="18"/>
          <w:color w:val="auto"/>
        </w:rPr>
      </w:pPr>
    </w:p>
    <w:p>
      <w:pPr>
        <w:ind w:left="1860" w:right="400" w:hanging="333"/>
        <w:spacing w:after="0" w:line="263" w:lineRule="auto"/>
        <w:tabs>
          <w:tab w:leader="none" w:pos="18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60"/>
          </w:cols>
          <w:pgMar w:left="880" w:top="274" w:right="459" w:bottom="1440" w:gutter="0" w:footer="0" w:header="0"/>
        </w:sectPr>
      </w:pPr>
    </w:p>
    <w:bookmarkStart w:id="339" w:name="page340"/>
    <w:bookmarkEnd w:id="339"/>
    <w:p>
      <w:pPr>
        <w:ind w:left="2304" w:right="420" w:hanging="333"/>
        <w:spacing w:after="0" w:line="277" w:lineRule="auto"/>
        <w:tabs>
          <w:tab w:leader="none" w:pos="2304" w:val="left"/>
        </w:tabs>
        <w:numPr>
          <w:ilvl w:val="0"/>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ind w:left="884" w:right="100"/>
        <w:spacing w:after="0" w:line="263"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9" w:lineRule="exact"/>
        <w:rPr>
          <w:sz w:val="20"/>
          <w:szCs w:val="20"/>
          <w:color w:val="auto"/>
        </w:rPr>
      </w:pPr>
    </w:p>
    <w:p>
      <w:pPr>
        <w:ind w:left="1424" w:hanging="547"/>
        <w:spacing w:after="0"/>
        <w:tabs>
          <w:tab w:leader="none" w:pos="142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24" w:right="380" w:hanging="547"/>
        <w:spacing w:after="0" w:line="263" w:lineRule="auto"/>
        <w:tabs>
          <w:tab w:leader="none" w:pos="142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24" w:hanging="424"/>
        <w:spacing w:after="0" w:line="274" w:lineRule="auto"/>
        <w:tabs>
          <w:tab w:leader="none" w:pos="424" w:val="left"/>
        </w:tabs>
        <w:numPr>
          <w:ilvl w:val="0"/>
          <w:numId w:val="315"/>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8" w:lineRule="exact"/>
        <w:rPr>
          <w:rFonts w:ascii="Arial" w:cs="Arial" w:eastAsia="Arial" w:hAnsi="Arial"/>
          <w:sz w:val="17"/>
          <w:szCs w:val="17"/>
          <w:color w:val="auto"/>
        </w:rPr>
      </w:pPr>
    </w:p>
    <w:p>
      <w:pPr>
        <w:ind w:left="424" w:right="220" w:hanging="424"/>
        <w:spacing w:after="0" w:line="314" w:lineRule="auto"/>
        <w:tabs>
          <w:tab w:leader="none" w:pos="424"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24" w:hanging="424"/>
        <w:spacing w:after="0" w:line="298" w:lineRule="auto"/>
        <w:tabs>
          <w:tab w:leader="none" w:pos="424"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It is intended that all of the benefits and other payments payable under this letter agreement satisfy, to the greatest extent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w:t>
      </w:r>
    </w:p>
    <w:p>
      <w:pPr>
        <w:sectPr>
          <w:pgSz w:w="11900" w:h="16838" w:orient="portrait"/>
          <w:cols w:equalWidth="0" w:num="1">
            <w:col w:w="11004"/>
          </w:cols>
          <w:pgMar w:left="436" w:top="274" w:right="459" w:bottom="1440" w:gutter="0" w:footer="0" w:header="0"/>
        </w:sectPr>
      </w:pPr>
    </w:p>
    <w:bookmarkStart w:id="340" w:name="page341"/>
    <w:bookmarkEnd w:id="340"/>
    <w:p>
      <w:pPr>
        <w:ind w:left="42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 under this letter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83" w:lineRule="exact"/>
        <w:rPr>
          <w:sz w:val="20"/>
          <w:szCs w:val="20"/>
          <w:color w:val="auto"/>
        </w:rPr>
      </w:pPr>
    </w:p>
    <w:p>
      <w:pPr>
        <w:ind w:left="424" w:right="20" w:hanging="424"/>
        <w:spacing w:after="0" w:line="269" w:lineRule="auto"/>
        <w:tabs>
          <w:tab w:leader="none" w:pos="424" w:val="left"/>
        </w:tabs>
        <w:numPr>
          <w:ilvl w:val="0"/>
          <w:numId w:val="316"/>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77" w:lineRule="exact"/>
        <w:rPr>
          <w:rFonts w:ascii="Arial" w:cs="Arial" w:eastAsia="Arial" w:hAnsi="Arial"/>
          <w:sz w:val="17"/>
          <w:szCs w:val="17"/>
          <w:color w:val="auto"/>
        </w:rPr>
      </w:pPr>
    </w:p>
    <w:p>
      <w:pPr>
        <w:ind w:left="444"/>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1004"/>
          </w:cols>
          <w:pgMar w:left="436" w:top="274" w:right="459" w:bottom="1440" w:gutter="0" w:footer="0" w:header="0"/>
        </w:sectPr>
      </w:pPr>
    </w:p>
    <w:bookmarkStart w:id="341" w:name="page342"/>
    <w:bookmarkEnd w:id="341"/>
    <w:p>
      <w:pPr>
        <w:ind w:left="44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sz w:val="20"/>
          <w:szCs w:val="20"/>
          <w:color w:val="auto"/>
        </w:rPr>
      </w:pPr>
    </w:p>
    <w:p>
      <w:pPr>
        <w:ind w:left="444"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39" w:lineRule="exact"/>
        <w:rPr>
          <w:sz w:val="20"/>
          <w:szCs w:val="20"/>
          <w:color w:val="auto"/>
        </w:rPr>
      </w:pPr>
    </w:p>
    <w:p>
      <w:pPr>
        <w:ind w:left="424" w:right="40" w:hanging="424"/>
        <w:spacing w:after="0" w:line="272" w:lineRule="auto"/>
        <w:tabs>
          <w:tab w:leader="none" w:pos="424"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left="4" w:right="20" w:firstLine="881"/>
        <w:spacing w:after="0" w:line="263"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84"/>
          </w:cols>
          <w:pgMar w:left="436" w:top="274" w:right="47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 Gregory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232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0003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64" w:space="720"/>
            <w:col w:w="47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Gregory Holmes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64" w:space="720"/>
            <w:col w:w="4700"/>
          </w:cols>
          <w:pgMar w:left="436" w:top="274" w:right="479" w:bottom="1440" w:gutter="0" w:footer="0" w:header="0"/>
          <w:type w:val="continuous"/>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Janine Pelosi</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Janine:</w:t>
      </w:r>
    </w:p>
    <w:p>
      <w:pPr>
        <w:spacing w:after="0" w:line="11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You and Zoom Video Communications, Inc. (“Zoom”) previously entered into an offer letter dated February 17, 2015. You also signed an Employment, Confidential Information and Assignment of Creative Works Agreement and Zoom’s Binding Arbitration Policy. This letter agreement confirms the terms of your employment with Zoom:</w:t>
      </w:r>
    </w:p>
    <w:p>
      <w:pPr>
        <w:spacing w:after="0" w:line="85" w:lineRule="exact"/>
        <w:rPr>
          <w:sz w:val="20"/>
          <w:szCs w:val="20"/>
          <w:color w:val="auto"/>
        </w:rPr>
      </w:pPr>
    </w:p>
    <w:p>
      <w:pPr>
        <w:ind w:left="424" w:right="60" w:hanging="424"/>
        <w:spacing w:after="0" w:line="281" w:lineRule="auto"/>
        <w:tabs>
          <w:tab w:leader="none" w:pos="424"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 will serve as Head of Marketing and Online Business, and you will report to Eric Yuan, CEO. This is a full-time exempt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While you 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70" w:lineRule="exact"/>
        <w:rPr>
          <w:rFonts w:ascii="Arial" w:cs="Arial" w:eastAsia="Arial" w:hAnsi="Arial"/>
          <w:sz w:val="17"/>
          <w:szCs w:val="17"/>
          <w:color w:val="auto"/>
        </w:rPr>
      </w:pPr>
    </w:p>
    <w:p>
      <w:pPr>
        <w:ind w:left="424" w:right="60" w:hanging="424"/>
        <w:spacing w:after="0" w:line="294" w:lineRule="auto"/>
        <w:tabs>
          <w:tab w:leader="none" w:pos="424"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$250,000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20%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5" w:lineRule="exact"/>
        <w:rPr>
          <w:rFonts w:ascii="Arial" w:cs="Arial" w:eastAsia="Arial" w:hAnsi="Arial"/>
          <w:sz w:val="16"/>
          <w:szCs w:val="16"/>
          <w:color w:val="auto"/>
        </w:rPr>
      </w:pPr>
    </w:p>
    <w:p>
      <w:pPr>
        <w:ind w:left="424" w:right="560" w:hanging="424"/>
        <w:spacing w:after="0" w:line="282"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4"/>
          </w:cols>
          <w:pgMar w:left="436" w:top="121" w:right="439" w:bottom="1440" w:gutter="0" w:footer="0" w:header="0"/>
        </w:sectPr>
      </w:pPr>
    </w:p>
    <w:bookmarkStart w:id="343" w:name="page344"/>
    <w:bookmarkEnd w:id="34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47"/>
        <w:spacing w:after="0" w:line="311" w:lineRule="auto"/>
        <w:tabs>
          <w:tab w:leader="none" w:pos="9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4" w:lineRule="exact"/>
        <w:rPr>
          <w:rFonts w:ascii="Arial" w:cs="Arial" w:eastAsia="Arial" w:hAnsi="Arial"/>
          <w:sz w:val="16"/>
          <w:szCs w:val="16"/>
          <w:color w:val="auto"/>
        </w:rPr>
      </w:pPr>
    </w:p>
    <w:p>
      <w:pPr>
        <w:ind w:left="980" w:hanging="547"/>
        <w:spacing w:after="0" w:line="285" w:lineRule="auto"/>
        <w:tabs>
          <w:tab w:leader="none" w:pos="9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60"/>
          </w:cols>
          <w:pgMar w:left="880" w:top="274" w:right="459" w:bottom="1440" w:gutter="0" w:footer="0" w:header="0"/>
        </w:sectPr>
      </w:pPr>
    </w:p>
    <w:bookmarkStart w:id="344" w:name="page345"/>
    <w:bookmarkEnd w:id="34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60" w:hanging="547"/>
        <w:spacing w:after="0" w:line="293" w:lineRule="auto"/>
        <w:tabs>
          <w:tab w:leader="none" w:pos="9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69" w:lineRule="exact"/>
        <w:rPr>
          <w:rFonts w:ascii="Arial" w:cs="Arial" w:eastAsia="Arial" w:hAnsi="Arial"/>
          <w:sz w:val="16"/>
          <w:szCs w:val="16"/>
          <w:color w:val="auto"/>
        </w:rPr>
      </w:pPr>
    </w:p>
    <w:p>
      <w:pPr>
        <w:ind w:left="980" w:hanging="547"/>
        <w:spacing w:after="0" w:line="254" w:lineRule="auto"/>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00" w:lineRule="exact"/>
        <w:rPr>
          <w:rFonts w:ascii="Arial" w:cs="Arial" w:eastAsia="Arial" w:hAnsi="Arial"/>
          <w:sz w:val="18"/>
          <w:szCs w:val="18"/>
          <w:color w:val="auto"/>
        </w:rPr>
      </w:pPr>
    </w:p>
    <w:p>
      <w:pPr>
        <w:ind w:left="980" w:hanging="547"/>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47"/>
        <w:spacing w:after="0" w:line="277" w:lineRule="auto"/>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33"/>
        <w:spacing w:after="0"/>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33"/>
        <w:spacing w:after="0" w:line="263" w:lineRule="auto"/>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9" w:lineRule="exact"/>
        <w:rPr>
          <w:rFonts w:ascii="Arial" w:cs="Arial" w:eastAsia="Arial" w:hAnsi="Arial"/>
          <w:sz w:val="18"/>
          <w:szCs w:val="18"/>
          <w:color w:val="auto"/>
        </w:rPr>
      </w:pPr>
    </w:p>
    <w:p>
      <w:pPr>
        <w:ind w:left="1860" w:right="400" w:hanging="333"/>
        <w:spacing w:after="0" w:line="263" w:lineRule="auto"/>
        <w:tabs>
          <w:tab w:leader="none" w:pos="18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60"/>
          </w:cols>
          <w:pgMar w:left="880" w:top="274" w:right="459" w:bottom="1440" w:gutter="0" w:footer="0" w:header="0"/>
        </w:sectPr>
      </w:pPr>
    </w:p>
    <w:bookmarkStart w:id="345" w:name="page346"/>
    <w:bookmarkEnd w:id="345"/>
    <w:p>
      <w:pPr>
        <w:ind w:left="2304" w:right="420" w:hanging="333"/>
        <w:spacing w:after="0" w:line="277" w:lineRule="auto"/>
        <w:tabs>
          <w:tab w:leader="none" w:pos="2304"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24" w:right="180"/>
        <w:spacing w:after="0" w:line="263"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9" w:lineRule="exact"/>
        <w:rPr>
          <w:sz w:val="20"/>
          <w:szCs w:val="20"/>
          <w:color w:val="auto"/>
        </w:rPr>
      </w:pPr>
    </w:p>
    <w:p>
      <w:pPr>
        <w:ind w:left="1424" w:hanging="547"/>
        <w:spacing w:after="0"/>
        <w:tabs>
          <w:tab w:leader="none" w:pos="142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24" w:right="380" w:hanging="547"/>
        <w:spacing w:after="0" w:line="263" w:lineRule="auto"/>
        <w:tabs>
          <w:tab w:leader="none" w:pos="142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24" w:hanging="424"/>
        <w:spacing w:after="0" w:line="274" w:lineRule="auto"/>
        <w:tabs>
          <w:tab w:leader="none" w:pos="424"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8" w:lineRule="exact"/>
        <w:rPr>
          <w:rFonts w:ascii="Arial" w:cs="Arial" w:eastAsia="Arial" w:hAnsi="Arial"/>
          <w:sz w:val="17"/>
          <w:szCs w:val="17"/>
          <w:color w:val="auto"/>
        </w:rPr>
      </w:pPr>
    </w:p>
    <w:p>
      <w:pPr>
        <w:ind w:left="424" w:right="220" w:hanging="424"/>
        <w:spacing w:after="0" w:line="314" w:lineRule="auto"/>
        <w:tabs>
          <w:tab w:leader="none" w:pos="424"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04"/>
          </w:cols>
          <w:pgMar w:left="436" w:top="274" w:right="459" w:bottom="1440" w:gutter="0" w:footer="0" w:header="0"/>
        </w:sectPr>
      </w:pPr>
    </w:p>
    <w:bookmarkStart w:id="346" w:name="page347"/>
    <w:bookmarkEnd w:id="346"/>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24" w:right="4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1" w:lineRule="exact"/>
        <w:rPr>
          <w:sz w:val="20"/>
          <w:szCs w:val="20"/>
          <w:color w:val="auto"/>
        </w:rPr>
      </w:pPr>
    </w:p>
    <w:p>
      <w:pPr>
        <w:ind w:left="424" w:hanging="424"/>
        <w:spacing w:after="0" w:line="269" w:lineRule="auto"/>
        <w:tabs>
          <w:tab w:leader="none" w:pos="424" w:val="left"/>
        </w:tabs>
        <w:numPr>
          <w:ilvl w:val="0"/>
          <w:numId w:val="323"/>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91" w:lineRule="exact"/>
        <w:rPr>
          <w:rFonts w:ascii="Arial" w:cs="Arial" w:eastAsia="Arial" w:hAnsi="Arial"/>
          <w:sz w:val="17"/>
          <w:szCs w:val="17"/>
          <w:color w:val="auto"/>
        </w:rPr>
      </w:pPr>
    </w:p>
    <w:p>
      <w:pPr>
        <w:ind w:left="424"/>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0984"/>
          </w:cols>
          <w:pgMar w:left="436" w:top="274" w:right="479" w:bottom="1440" w:gutter="0" w:footer="0" w:header="0"/>
        </w:sectPr>
      </w:pPr>
    </w:p>
    <w:bookmarkStart w:id="347" w:name="page348"/>
    <w:bookmarkEnd w:id="347"/>
    <w:p>
      <w:pPr>
        <w:ind w:left="44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sz w:val="20"/>
          <w:szCs w:val="20"/>
          <w:color w:val="auto"/>
        </w:rPr>
      </w:pPr>
    </w:p>
    <w:p>
      <w:pPr>
        <w:ind w:left="444"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39" w:lineRule="exact"/>
        <w:rPr>
          <w:sz w:val="20"/>
          <w:szCs w:val="20"/>
          <w:color w:val="auto"/>
        </w:rPr>
      </w:pPr>
    </w:p>
    <w:p>
      <w:pPr>
        <w:ind w:left="424" w:right="40" w:hanging="424"/>
        <w:spacing w:after="0" w:line="272" w:lineRule="auto"/>
        <w:tabs>
          <w:tab w:leader="none" w:pos="424"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left="4" w:right="20" w:firstLine="881"/>
        <w:spacing w:after="0" w:line="263"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84"/>
          </w:cols>
          <w:pgMar w:left="436" w:top="274" w:right="47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 Janine Pelosi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232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00037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64" w:space="720"/>
            <w:col w:w="47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Janine Pelosi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64" w:space="720"/>
            <w:col w:w="4700"/>
          </w:cols>
          <w:pgMar w:left="436" w:top="274" w:right="479" w:bottom="1440" w:gutter="0" w:footer="0" w:header="0"/>
          <w:type w:val="continuous"/>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Kelly Steckelberg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Employment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Kelly:</w:t>
      </w:r>
    </w:p>
    <w:p>
      <w:pPr>
        <w:spacing w:after="0" w:line="11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You and Zoom Video Communications, Inc. (“Zoom”) previously entered into an offer letter dated August 23, 2017. You also signed an Employment, Confidential Information and Assignment of Creative Works Agreement and Zoom’s Binding Arbitration Policy. This letter agreement confirms the terms of your employment with Zoom:</w:t>
      </w:r>
    </w:p>
    <w:p>
      <w:pPr>
        <w:spacing w:after="0" w:line="85" w:lineRule="exact"/>
        <w:rPr>
          <w:sz w:val="20"/>
          <w:szCs w:val="20"/>
          <w:color w:val="auto"/>
        </w:rPr>
      </w:pPr>
    </w:p>
    <w:p>
      <w:pPr>
        <w:ind w:left="424" w:right="160" w:hanging="424"/>
        <w:spacing w:after="0" w:line="261"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Chief Financial Officer, and you will report to Eric Yuan, CEO. This is a full-time exempt position. While you render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85" w:lineRule="exact"/>
        <w:rPr>
          <w:rFonts w:ascii="Arial" w:cs="Arial" w:eastAsia="Arial" w:hAnsi="Arial"/>
          <w:sz w:val="18"/>
          <w:szCs w:val="18"/>
          <w:color w:val="auto"/>
        </w:rPr>
      </w:pPr>
    </w:p>
    <w:p>
      <w:pPr>
        <w:ind w:left="424" w:right="60" w:hanging="424"/>
        <w:spacing w:after="0" w:line="294" w:lineRule="auto"/>
        <w:tabs>
          <w:tab w:leader="none" w:pos="424" w:val="left"/>
        </w:tabs>
        <w:numPr>
          <w:ilvl w:val="0"/>
          <w:numId w:val="325"/>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$300,000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35%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5" w:lineRule="exact"/>
        <w:rPr>
          <w:rFonts w:ascii="Arial" w:cs="Arial" w:eastAsia="Arial" w:hAnsi="Arial"/>
          <w:sz w:val="16"/>
          <w:szCs w:val="16"/>
          <w:color w:val="auto"/>
        </w:rPr>
      </w:pPr>
    </w:p>
    <w:p>
      <w:pPr>
        <w:ind w:left="424" w:right="560" w:hanging="424"/>
        <w:spacing w:after="0" w:line="282"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4"/>
          </w:cols>
          <w:pgMar w:left="436" w:top="121" w:right="439" w:bottom="1440" w:gutter="0" w:footer="0" w:header="0"/>
        </w:sectPr>
      </w:pPr>
    </w:p>
    <w:bookmarkStart w:id="349" w:name="page350"/>
    <w:bookmarkEnd w:id="34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47"/>
        <w:spacing w:after="0" w:line="311"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4" w:lineRule="exact"/>
        <w:rPr>
          <w:rFonts w:ascii="Arial" w:cs="Arial" w:eastAsia="Arial" w:hAnsi="Arial"/>
          <w:sz w:val="16"/>
          <w:szCs w:val="16"/>
          <w:color w:val="auto"/>
        </w:rPr>
      </w:pPr>
    </w:p>
    <w:p>
      <w:pPr>
        <w:ind w:left="980" w:hanging="547"/>
        <w:spacing w:after="0" w:line="285"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60"/>
          </w:cols>
          <w:pgMar w:left="880" w:top="274" w:right="459" w:bottom="1440" w:gutter="0" w:footer="0" w:header="0"/>
        </w:sectPr>
      </w:pPr>
    </w:p>
    <w:bookmarkStart w:id="350" w:name="page351"/>
    <w:bookmarkEnd w:id="35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60" w:hanging="547"/>
        <w:spacing w:after="0" w:line="293" w:lineRule="auto"/>
        <w:tabs>
          <w:tab w:leader="none" w:pos="9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69" w:lineRule="exact"/>
        <w:rPr>
          <w:rFonts w:ascii="Arial" w:cs="Arial" w:eastAsia="Arial" w:hAnsi="Arial"/>
          <w:sz w:val="16"/>
          <w:szCs w:val="16"/>
          <w:color w:val="auto"/>
        </w:rPr>
      </w:pPr>
    </w:p>
    <w:p>
      <w:pPr>
        <w:ind w:left="980" w:hanging="547"/>
        <w:spacing w:after="0" w:line="254" w:lineRule="auto"/>
        <w:tabs>
          <w:tab w:leader="none" w:pos="9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00" w:lineRule="exact"/>
        <w:rPr>
          <w:rFonts w:ascii="Arial" w:cs="Arial" w:eastAsia="Arial" w:hAnsi="Arial"/>
          <w:sz w:val="18"/>
          <w:szCs w:val="18"/>
          <w:color w:val="auto"/>
        </w:rPr>
      </w:pPr>
    </w:p>
    <w:p>
      <w:pPr>
        <w:ind w:left="980" w:hanging="547"/>
        <w:spacing w:after="0"/>
        <w:tabs>
          <w:tab w:leader="none" w:pos="9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47"/>
        <w:spacing w:after="0" w:line="277" w:lineRule="auto"/>
        <w:tabs>
          <w:tab w:leader="none" w:pos="9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33"/>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33"/>
        <w:spacing w:after="0" w:line="263" w:lineRule="auto"/>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9" w:lineRule="exact"/>
        <w:rPr>
          <w:rFonts w:ascii="Arial" w:cs="Arial" w:eastAsia="Arial" w:hAnsi="Arial"/>
          <w:sz w:val="18"/>
          <w:szCs w:val="18"/>
          <w:color w:val="auto"/>
        </w:rPr>
      </w:pPr>
    </w:p>
    <w:p>
      <w:pPr>
        <w:ind w:left="1860" w:right="400" w:hanging="333"/>
        <w:spacing w:after="0" w:line="263" w:lineRule="auto"/>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60"/>
          </w:cols>
          <w:pgMar w:left="880" w:top="274" w:right="459" w:bottom="1440" w:gutter="0" w:footer="0" w:header="0"/>
        </w:sectPr>
      </w:pPr>
    </w:p>
    <w:bookmarkStart w:id="351" w:name="page352"/>
    <w:bookmarkEnd w:id="351"/>
    <w:p>
      <w:pPr>
        <w:ind w:left="2304" w:right="420" w:hanging="333"/>
        <w:spacing w:after="0" w:line="277" w:lineRule="auto"/>
        <w:tabs>
          <w:tab w:leader="none" w:pos="2304"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24" w:right="180"/>
        <w:spacing w:after="0" w:line="263"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9" w:lineRule="exact"/>
        <w:rPr>
          <w:sz w:val="20"/>
          <w:szCs w:val="20"/>
          <w:color w:val="auto"/>
        </w:rPr>
      </w:pPr>
    </w:p>
    <w:p>
      <w:pPr>
        <w:ind w:left="1424" w:hanging="547"/>
        <w:spacing w:after="0"/>
        <w:tabs>
          <w:tab w:leader="none" w:pos="142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24" w:right="380" w:hanging="547"/>
        <w:spacing w:after="0" w:line="263" w:lineRule="auto"/>
        <w:tabs>
          <w:tab w:leader="none" w:pos="142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24" w:hanging="424"/>
        <w:spacing w:after="0" w:line="274" w:lineRule="auto"/>
        <w:tabs>
          <w:tab w:leader="none" w:pos="424" w:val="left"/>
        </w:tabs>
        <w:numPr>
          <w:ilvl w:val="0"/>
          <w:numId w:val="329"/>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8" w:lineRule="exact"/>
        <w:rPr>
          <w:rFonts w:ascii="Arial" w:cs="Arial" w:eastAsia="Arial" w:hAnsi="Arial"/>
          <w:sz w:val="17"/>
          <w:szCs w:val="17"/>
          <w:color w:val="auto"/>
        </w:rPr>
      </w:pPr>
    </w:p>
    <w:p>
      <w:pPr>
        <w:ind w:left="424" w:right="220" w:hanging="424"/>
        <w:spacing w:after="0" w:line="314" w:lineRule="auto"/>
        <w:tabs>
          <w:tab w:leader="none" w:pos="424" w:val="left"/>
        </w:tabs>
        <w:numPr>
          <w:ilvl w:val="0"/>
          <w:numId w:val="329"/>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04"/>
          </w:cols>
          <w:pgMar w:left="436" w:top="274" w:right="459" w:bottom="1440" w:gutter="0" w:footer="0" w:header="0"/>
        </w:sectPr>
      </w:pPr>
    </w:p>
    <w:bookmarkStart w:id="352" w:name="page353"/>
    <w:bookmarkEnd w:id="352"/>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24" w:right="6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1" w:lineRule="exact"/>
        <w:rPr>
          <w:sz w:val="20"/>
          <w:szCs w:val="20"/>
          <w:color w:val="auto"/>
        </w:rPr>
      </w:pPr>
    </w:p>
    <w:p>
      <w:pPr>
        <w:ind w:left="424" w:right="20" w:hanging="424"/>
        <w:spacing w:after="0" w:line="269" w:lineRule="auto"/>
        <w:tabs>
          <w:tab w:leader="none" w:pos="424" w:val="left"/>
        </w:tabs>
        <w:numPr>
          <w:ilvl w:val="0"/>
          <w:numId w:val="330"/>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77" w:lineRule="exact"/>
        <w:rPr>
          <w:rFonts w:ascii="Arial" w:cs="Arial" w:eastAsia="Arial" w:hAnsi="Arial"/>
          <w:sz w:val="17"/>
          <w:szCs w:val="17"/>
          <w:color w:val="auto"/>
        </w:rPr>
      </w:pPr>
    </w:p>
    <w:p>
      <w:pPr>
        <w:ind w:left="444"/>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1004"/>
          </w:cols>
          <w:pgMar w:left="436" w:top="274" w:right="459" w:bottom="1440" w:gutter="0" w:footer="0" w:header="0"/>
        </w:sectPr>
      </w:pPr>
    </w:p>
    <w:bookmarkStart w:id="353" w:name="page354"/>
    <w:bookmarkEnd w:id="353"/>
    <w:p>
      <w:pPr>
        <w:ind w:left="44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sz w:val="20"/>
          <w:szCs w:val="20"/>
          <w:color w:val="auto"/>
        </w:rPr>
      </w:pPr>
    </w:p>
    <w:p>
      <w:pPr>
        <w:ind w:left="444"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39" w:lineRule="exact"/>
        <w:rPr>
          <w:sz w:val="20"/>
          <w:szCs w:val="20"/>
          <w:color w:val="auto"/>
        </w:rPr>
      </w:pPr>
    </w:p>
    <w:p>
      <w:pPr>
        <w:ind w:left="424" w:right="40" w:hanging="424"/>
        <w:spacing w:after="0" w:line="272" w:lineRule="auto"/>
        <w:tabs>
          <w:tab w:leader="none" w:pos="424"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left="4" w:right="20" w:firstLine="881"/>
        <w:spacing w:after="0" w:line="263"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232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84"/>
          </w:cols>
          <w:pgMar w:left="436" w:top="274" w:right="47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232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31457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344" w:space="720"/>
            <w:col w:w="492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Kelly Steckelberg</w:t>
      </w:r>
    </w:p>
    <w:p>
      <w:pPr>
        <w:spacing w:after="0" w:line="20" w:lineRule="exact"/>
        <w:rPr>
          <w:sz w:val="20"/>
          <w:szCs w:val="20"/>
          <w:color w:val="auto"/>
        </w:rPr>
      </w:pPr>
      <w:r>
        <w:rPr>
          <w:sz w:val="20"/>
          <w:szCs w:val="20"/>
          <w:color w:val="auto"/>
        </w:rPr>
        <w:br w:type="column"/>
      </w:r>
    </w:p>
    <w:p>
      <w:pPr>
        <w:jc w:val="center"/>
        <w:ind w:right="4580"/>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344" w:space="720"/>
            <w:col w:w="4920"/>
          </w:cols>
          <w:pgMar w:left="436" w:top="274" w:right="479" w:bottom="1440" w:gutter="0" w:footer="0" w:header="0"/>
          <w:type w:val="continuous"/>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OFFICE LEASE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KBSIII ALMADEN FINANCIAL PLAZA,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August 1, 2016</w:t>
      </w:r>
    </w:p>
    <w:p>
      <w:pPr>
        <w:sectPr>
          <w:pgSz w:w="11900" w:h="16838" w:orient="portrait"/>
          <w:cols w:equalWidth="0" w:num="1">
            <w:col w:w="10020"/>
          </w:cols>
          <w:pgMar w:left="1440" w:top="121" w:right="43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LEASE</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THIS OFFICE LEASE (this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is made between </w:t>
      </w:r>
      <w:r>
        <w:rPr>
          <w:rFonts w:ascii="Arial" w:cs="Arial" w:eastAsia="Arial" w:hAnsi="Arial"/>
          <w:sz w:val="18"/>
          <w:szCs w:val="18"/>
          <w:b w:val="1"/>
          <w:bCs w:val="1"/>
          <w:color w:val="auto"/>
        </w:rPr>
        <w:t>KBSIII ALMADEN FINANCIAL PLAZA, LLC</w:t>
      </w:r>
      <w:r>
        <w:rPr>
          <w:rFonts w:ascii="Arial" w:cs="Arial" w:eastAsia="Arial" w:hAnsi="Arial"/>
          <w:sz w:val="18"/>
          <w:szCs w:val="18"/>
          <w:color w:val="auto"/>
        </w:rPr>
        <w:t xml:space="preserve">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the Tenant described in </w:t>
      </w:r>
      <w:r>
        <w:rPr>
          <w:rFonts w:ascii="Arial" w:cs="Arial" w:eastAsia="Arial" w:hAnsi="Arial"/>
          <w:sz w:val="18"/>
          <w:szCs w:val="18"/>
          <w:i w:val="1"/>
          <w:iCs w:val="1"/>
          <w:color w:val="auto"/>
        </w:rPr>
        <w:t>Item 1</w:t>
      </w:r>
      <w:r>
        <w:rPr>
          <w:rFonts w:ascii="Arial" w:cs="Arial" w:eastAsia="Arial" w:hAnsi="Arial"/>
          <w:sz w:val="18"/>
          <w:szCs w:val="18"/>
          <w:color w:val="auto"/>
        </w:rPr>
        <w:t xml:space="preserve"> of the Basic Lease Provisions.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OF PREMISES</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Landlord hereby leases to Tenant and Tenant hereby leases from Landlord, subject to all of the terms and conditions set forth herein those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xml:space="preserve">”) described in Item 3 of the Basic Lease Provisions and as shown in the drawing attached hereto as </w:t>
      </w:r>
      <w:r>
        <w:rPr>
          <w:rFonts w:ascii="Arial" w:cs="Arial" w:eastAsia="Arial" w:hAnsi="Arial"/>
          <w:sz w:val="16"/>
          <w:szCs w:val="16"/>
          <w:i w:val="1"/>
          <w:iCs w:val="1"/>
          <w:u w:val="single" w:color="auto"/>
          <w:color w:val="auto"/>
        </w:rPr>
        <w:t>Exhibit A-1</w:t>
      </w:r>
      <w:r>
        <w:rPr>
          <w:rFonts w:ascii="Arial" w:cs="Arial" w:eastAsia="Arial" w:hAnsi="Arial"/>
          <w:sz w:val="16"/>
          <w:szCs w:val="16"/>
          <w:color w:val="auto"/>
        </w:rPr>
        <w:t xml:space="preserve">. The Premises are located in the Building described in </w:t>
      </w:r>
      <w:r>
        <w:rPr>
          <w:rFonts w:ascii="Arial" w:cs="Arial" w:eastAsia="Arial" w:hAnsi="Arial"/>
          <w:sz w:val="16"/>
          <w:szCs w:val="16"/>
          <w:i w:val="1"/>
          <w:iCs w:val="1"/>
          <w:color w:val="auto"/>
        </w:rPr>
        <w:t>Item 2</w:t>
      </w:r>
      <w:r>
        <w:rPr>
          <w:rFonts w:ascii="Arial" w:cs="Arial" w:eastAsia="Arial" w:hAnsi="Arial"/>
          <w:sz w:val="16"/>
          <w:szCs w:val="16"/>
          <w:color w:val="auto"/>
        </w:rPr>
        <w:t xml:space="preserve"> of the Basic Lease Provisions. The Building is located on that certain land (the “</w:t>
      </w:r>
      <w:r>
        <w:rPr>
          <w:rFonts w:ascii="Arial" w:cs="Arial" w:eastAsia="Arial" w:hAnsi="Arial"/>
          <w:sz w:val="16"/>
          <w:szCs w:val="16"/>
          <w:u w:val="single" w:color="auto"/>
          <w:color w:val="auto"/>
        </w:rPr>
        <w:t>Land</w:t>
      </w:r>
      <w:r>
        <w:rPr>
          <w:rFonts w:ascii="Arial" w:cs="Arial" w:eastAsia="Arial" w:hAnsi="Arial"/>
          <w:sz w:val="16"/>
          <w:szCs w:val="16"/>
          <w:color w:val="auto"/>
        </w:rPr>
        <w:t xml:space="preserve">”) more particularly described on </w:t>
      </w:r>
      <w:r>
        <w:rPr>
          <w:rFonts w:ascii="Arial" w:cs="Arial" w:eastAsia="Arial" w:hAnsi="Arial"/>
          <w:sz w:val="16"/>
          <w:szCs w:val="16"/>
          <w:i w:val="1"/>
          <w:iCs w:val="1"/>
          <w:u w:val="single" w:color="auto"/>
          <w:color w:val="auto"/>
        </w:rPr>
        <w:t>Exhibit A-2</w:t>
      </w:r>
      <w:r>
        <w:rPr>
          <w:rFonts w:ascii="Arial" w:cs="Arial" w:eastAsia="Arial" w:hAnsi="Arial"/>
          <w:sz w:val="16"/>
          <w:szCs w:val="16"/>
          <w:color w:val="auto"/>
        </w:rPr>
        <w:t xml:space="preserve"> attached here to, which is also improved with landscaping, parking facilities and other improvements, fixtures and common areas and appurtenances now or hereafter placed, constructed or erected on the Land (sometimes referred to herein as the “</w:t>
      </w:r>
      <w:r>
        <w:rPr>
          <w:rFonts w:ascii="Arial" w:cs="Arial" w:eastAsia="Arial" w:hAnsi="Arial"/>
          <w:sz w:val="16"/>
          <w:szCs w:val="16"/>
          <w:u w:val="single" w:color="auto"/>
          <w:color w:val="auto"/>
        </w:rPr>
        <w:t>Project</w:t>
      </w:r>
      <w:r>
        <w:rPr>
          <w:rFonts w:ascii="Arial" w:cs="Arial" w:eastAsia="Arial" w:hAnsi="Arial"/>
          <w:sz w:val="16"/>
          <w:szCs w:val="16"/>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40" w:type="dxa"/>
            <w:vAlign w:val="bottom"/>
            <w:gridSpan w:val="18"/>
          </w:tcPr>
          <w:p>
            <w:pPr>
              <w:ind w:left="280"/>
              <w:spacing w:after="0"/>
              <w:rPr>
                <w:sz w:val="20"/>
                <w:szCs w:val="20"/>
                <w:color w:val="auto"/>
              </w:rPr>
            </w:pPr>
            <w:r>
              <w:rPr>
                <w:rFonts w:ascii="Arial" w:cs="Arial" w:eastAsia="Arial" w:hAnsi="Arial"/>
                <w:sz w:val="18"/>
                <w:szCs w:val="18"/>
                <w:b w:val="1"/>
                <w:bCs w:val="1"/>
                <w:color w:val="auto"/>
              </w:rPr>
              <w:t>BASIC LEASE PROVISIONS</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8"/>
                <w:szCs w:val="18"/>
                <w:b w:val="1"/>
                <w:bCs w:val="1"/>
                <w:color w:val="auto"/>
              </w:rPr>
              <w:t>1.</w:t>
            </w:r>
          </w:p>
        </w:tc>
        <w:tc>
          <w:tcPr>
            <w:tcW w:w="3000" w:type="dxa"/>
            <w:vAlign w:val="bottom"/>
          </w:tcPr>
          <w:p>
            <w:pPr>
              <w:ind w:left="100"/>
              <w:spacing w:after="0"/>
              <w:rPr>
                <w:sz w:val="20"/>
                <w:szCs w:val="20"/>
                <w:color w:val="auto"/>
              </w:rPr>
            </w:pPr>
            <w:r>
              <w:rPr>
                <w:rFonts w:ascii="Arial" w:cs="Arial" w:eastAsia="Arial" w:hAnsi="Arial"/>
                <w:sz w:val="18"/>
                <w:szCs w:val="18"/>
                <w:b w:val="1"/>
                <w:bCs w:val="1"/>
                <w:color w:val="auto"/>
              </w:rPr>
              <w:t>Tenant:</w:t>
            </w:r>
          </w:p>
        </w:tc>
        <w:tc>
          <w:tcPr>
            <w:tcW w:w="7640" w:type="dxa"/>
            <w:vAlign w:val="bottom"/>
            <w:gridSpan w:val="20"/>
          </w:tcPr>
          <w:p>
            <w:pPr>
              <w:ind w:left="400"/>
              <w:spacing w:after="0"/>
              <w:rPr>
                <w:sz w:val="20"/>
                <w:szCs w:val="20"/>
                <w:color w:val="auto"/>
              </w:rPr>
            </w:pPr>
            <w:r>
              <w:rPr>
                <w:rFonts w:ascii="Arial" w:cs="Arial" w:eastAsia="Arial" w:hAnsi="Arial"/>
                <w:sz w:val="18"/>
                <w:szCs w:val="18"/>
                <w:b w:val="1"/>
                <w:bCs w:val="1"/>
                <w:color w:val="auto"/>
              </w:rPr>
              <w:t>ZOOM VIDEO COMMUNICATIONS, INC.</w:t>
            </w:r>
            <w:r>
              <w:rPr>
                <w:rFonts w:ascii="Arial" w:cs="Arial" w:eastAsia="Arial" w:hAnsi="Arial"/>
                <w:sz w:val="18"/>
                <w:szCs w:val="18"/>
                <w:color w:val="auto"/>
              </w:rPr>
              <w:t>, a Delaware corporation (“Tenant”)</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0"/>
                <w:szCs w:val="20"/>
                <w:color w:val="auto"/>
              </w:rPr>
            </w:pPr>
            <w:r>
              <w:rPr>
                <w:rFonts w:ascii="Arial" w:cs="Arial" w:eastAsia="Arial" w:hAnsi="Arial"/>
                <w:sz w:val="18"/>
                <w:szCs w:val="18"/>
                <w:b w:val="1"/>
                <w:bCs w:val="1"/>
                <w:color w:val="auto"/>
              </w:rPr>
              <w:t>2.</w:t>
            </w:r>
          </w:p>
        </w:tc>
        <w:tc>
          <w:tcPr>
            <w:tcW w:w="3000" w:type="dxa"/>
            <w:vAlign w:val="bottom"/>
          </w:tcPr>
          <w:p>
            <w:pPr>
              <w:ind w:left="100"/>
              <w:spacing w:after="0"/>
              <w:rPr>
                <w:sz w:val="20"/>
                <w:szCs w:val="20"/>
                <w:color w:val="auto"/>
              </w:rPr>
            </w:pPr>
            <w:r>
              <w:rPr>
                <w:rFonts w:ascii="Arial" w:cs="Arial" w:eastAsia="Arial" w:hAnsi="Arial"/>
                <w:sz w:val="18"/>
                <w:szCs w:val="18"/>
                <w:b w:val="1"/>
                <w:bCs w:val="1"/>
                <w:color w:val="auto"/>
              </w:rPr>
              <w:t>Building:</w:t>
            </w:r>
          </w:p>
        </w:tc>
        <w:tc>
          <w:tcPr>
            <w:tcW w:w="5820" w:type="dxa"/>
            <w:vAlign w:val="bottom"/>
            <w:gridSpan w:val="17"/>
          </w:tcPr>
          <w:p>
            <w:pPr>
              <w:ind w:left="400"/>
              <w:spacing w:after="0"/>
              <w:rPr>
                <w:sz w:val="20"/>
                <w:szCs w:val="20"/>
                <w:color w:val="auto"/>
              </w:rPr>
            </w:pPr>
            <w:r>
              <w:rPr>
                <w:rFonts w:ascii="Arial" w:cs="Arial" w:eastAsia="Arial" w:hAnsi="Arial"/>
                <w:sz w:val="18"/>
                <w:szCs w:val="18"/>
                <w:color w:val="auto"/>
              </w:rPr>
              <w:t>The Almaden</w:t>
            </w:r>
          </w:p>
        </w:tc>
        <w:tc>
          <w:tcPr>
            <w:tcW w:w="520" w:type="dxa"/>
            <w:vAlign w:val="bottom"/>
            <w:tcBorders>
              <w:top w:val="single" w:sz="8" w:color="auto"/>
            </w:tcBorders>
          </w:tcPr>
          <w:p>
            <w:pPr>
              <w:spacing w:after="0"/>
              <w:rPr>
                <w:sz w:val="24"/>
                <w:szCs w:val="24"/>
                <w:color w:val="auto"/>
              </w:rPr>
            </w:pP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55 Almaden Boulevard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San Jose, California 95113</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3000" w:type="dxa"/>
            <w:vAlign w:val="bottom"/>
          </w:tcPr>
          <w:p>
            <w:pPr>
              <w:ind w:left="100"/>
              <w:spacing w:after="0"/>
              <w:rPr>
                <w:sz w:val="20"/>
                <w:szCs w:val="20"/>
                <w:color w:val="auto"/>
              </w:rPr>
            </w:pPr>
            <w:r>
              <w:rPr>
                <w:rFonts w:ascii="Arial" w:cs="Arial" w:eastAsia="Arial" w:hAnsi="Arial"/>
                <w:sz w:val="18"/>
                <w:szCs w:val="18"/>
                <w:b w:val="1"/>
                <w:bCs w:val="1"/>
                <w:color w:val="auto"/>
              </w:rPr>
              <w:t>Description of Premises:</w:t>
            </w: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Suite: 500</w:t>
            </w: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Rentable Area:</w:t>
            </w: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w w:val="91"/>
              </w:rPr>
              <w:t>17 639 square feet; provided, however, pursuant to Paragraph 1(d) of the Lease Tenant is currently</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w w:val="88"/>
              </w:rPr>
              <w:t>subleasing that certain space containing 17,514 square feet of Rentable Area designated as Suite 600</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40" w:type="dxa"/>
            <w:vAlign w:val="bottom"/>
            <w:gridSpan w:val="20"/>
          </w:tcPr>
          <w:p>
            <w:pPr>
              <w:ind w:left="400"/>
              <w:spacing w:after="0" w:line="190" w:lineRule="exact"/>
              <w:rPr>
                <w:sz w:val="20"/>
                <w:szCs w:val="20"/>
                <w:color w:val="auto"/>
              </w:rPr>
            </w:pPr>
            <w:r>
              <w:rPr>
                <w:rFonts w:ascii="Arial" w:cs="Arial" w:eastAsia="Arial" w:hAnsi="Arial"/>
                <w:sz w:val="18"/>
                <w:szCs w:val="18"/>
                <w:color w:val="auto"/>
                <w:w w:val="93"/>
              </w:rPr>
              <w:t>(the “Suite 600 Space”) in the Building. Upon both the expiration of the Tenants Sublease and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640" w:type="dxa"/>
            <w:vAlign w:val="bottom"/>
            <w:gridSpan w:val="20"/>
          </w:tcPr>
          <w:p>
            <w:pPr>
              <w:ind w:left="400"/>
              <w:spacing w:after="0" w:line="196" w:lineRule="exact"/>
              <w:rPr>
                <w:sz w:val="20"/>
                <w:szCs w:val="20"/>
                <w:color w:val="auto"/>
              </w:rPr>
            </w:pPr>
            <w:r>
              <w:rPr>
                <w:rFonts w:ascii="Arial" w:cs="Arial" w:eastAsia="Arial" w:hAnsi="Arial"/>
                <w:sz w:val="18"/>
                <w:szCs w:val="18"/>
                <w:color w:val="auto"/>
                <w:w w:val="91"/>
              </w:rPr>
              <w:t>Armanino Lease (each as defined in Paragraph l(d) below) with respect to the Suite 600 Space,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640" w:type="dxa"/>
            <w:vAlign w:val="bottom"/>
            <w:gridSpan w:val="20"/>
          </w:tcPr>
          <w:p>
            <w:pPr>
              <w:ind w:left="400"/>
              <w:spacing w:after="0" w:line="196" w:lineRule="exact"/>
              <w:rPr>
                <w:sz w:val="20"/>
                <w:szCs w:val="20"/>
                <w:color w:val="auto"/>
              </w:rPr>
            </w:pPr>
            <w:r>
              <w:rPr>
                <w:rFonts w:ascii="Arial" w:cs="Arial" w:eastAsia="Arial" w:hAnsi="Arial"/>
                <w:sz w:val="18"/>
                <w:szCs w:val="18"/>
                <w:color w:val="auto"/>
                <w:w w:val="94"/>
              </w:rPr>
              <w:t>“Premises” shall be expanded to include the Suite 600 Space for a total of 35,153 square feet of</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w w:val="89"/>
              </w:rPr>
              <w:t>Rentable Area. The Armanino Lease and the Tenant’s Sublease are currently scheduled to expire 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w w:val="89"/>
              </w:rPr>
              <w:t>October 31, 2018 so that the commencement date with respect to the Suite 600 Space is estimated to</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40" w:type="dxa"/>
            <w:vAlign w:val="bottom"/>
            <w:gridSpan w:val="20"/>
          </w:tcPr>
          <w:p>
            <w:pPr>
              <w:ind w:left="400"/>
              <w:spacing w:after="0" w:line="190" w:lineRule="exact"/>
              <w:rPr>
                <w:sz w:val="20"/>
                <w:szCs w:val="20"/>
                <w:color w:val="auto"/>
              </w:rPr>
            </w:pPr>
            <w:r>
              <w:rPr>
                <w:rFonts w:ascii="Arial" w:cs="Arial" w:eastAsia="Arial" w:hAnsi="Arial"/>
                <w:sz w:val="18"/>
                <w:szCs w:val="18"/>
                <w:color w:val="auto"/>
              </w:rPr>
              <w:t>occur on or about November 1, 2018 (the “Estimated Suite 600 Commencement Date”).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Building Size:</w:t>
            </w:r>
          </w:p>
        </w:tc>
        <w:tc>
          <w:tcPr>
            <w:tcW w:w="266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140,220 square feet (subject to Paragraph 18)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Project Size:</w:t>
            </w:r>
          </w:p>
        </w:tc>
        <w:tc>
          <w:tcPr>
            <w:tcW w:w="2660" w:type="dxa"/>
            <w:vAlign w:val="bottom"/>
            <w:gridSpan w:val="5"/>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416,126 square feet (subject to Paragraph 18)</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Tenant’s Proportionate Share of</w:t>
            </w:r>
          </w:p>
        </w:tc>
        <w:tc>
          <w:tcPr>
            <w:tcW w:w="2660" w:type="dxa"/>
            <w:vAlign w:val="bottom"/>
            <w:gridSpan w:val="5"/>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40" w:type="dxa"/>
            <w:vAlign w:val="bottom"/>
            <w:gridSpan w:val="2"/>
            <w:vMerge w:val="continue"/>
          </w:tcPr>
          <w:p>
            <w:pPr>
              <w:spacing w:after="0"/>
              <w:rPr>
                <w:sz w:val="24"/>
                <w:szCs w:val="24"/>
                <w:color w:val="auto"/>
              </w:rPr>
            </w:pP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12.5795% (17,639 rsf / 140,220 rsf) (See Paragraph 3)</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Building:</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Tenant’s Proportionate Share of</w:t>
            </w:r>
          </w:p>
        </w:tc>
        <w:tc>
          <w:tcPr>
            <w:tcW w:w="7640" w:type="dxa"/>
            <w:vAlign w:val="bottom"/>
            <w:gridSpan w:val="20"/>
          </w:tcPr>
          <w:p>
            <w:pPr>
              <w:ind w:left="400"/>
              <w:spacing w:after="0"/>
              <w:rPr>
                <w:sz w:val="20"/>
                <w:szCs w:val="20"/>
                <w:color w:val="auto"/>
              </w:rPr>
            </w:pPr>
            <w:r>
              <w:rPr>
                <w:rFonts w:ascii="Arial" w:cs="Arial" w:eastAsia="Arial" w:hAnsi="Arial"/>
                <w:sz w:val="18"/>
                <w:szCs w:val="18"/>
                <w:color w:val="auto"/>
              </w:rPr>
              <w:t>4.2389% (17,639 rsf / 416,126 rsf) (See Paragraph 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Project:</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3000" w:type="dxa"/>
            <w:vAlign w:val="bottom"/>
            <w:vMerge w:val="continue"/>
          </w:tcPr>
          <w:p>
            <w:pPr>
              <w:spacing w:after="0"/>
              <w:rPr>
                <w:sz w:val="20"/>
                <w:szCs w:val="20"/>
                <w:color w:val="auto"/>
              </w:rPr>
            </w:pPr>
          </w:p>
        </w:tc>
        <w:tc>
          <w:tcPr>
            <w:tcW w:w="7640" w:type="dxa"/>
            <w:vAlign w:val="bottom"/>
            <w:gridSpan w:val="20"/>
            <w:vMerge w:val="restart"/>
          </w:tcPr>
          <w:p>
            <w:pPr>
              <w:ind w:left="400"/>
              <w:spacing w:after="0"/>
              <w:rPr>
                <w:sz w:val="20"/>
                <w:szCs w:val="20"/>
                <w:color w:val="auto"/>
              </w:rPr>
            </w:pPr>
            <w:r>
              <w:rPr>
                <w:rFonts w:ascii="Arial" w:cs="Arial" w:eastAsia="Arial" w:hAnsi="Arial"/>
                <w:sz w:val="18"/>
                <w:szCs w:val="18"/>
                <w:color w:val="auto"/>
                <w:w w:val="95"/>
              </w:rPr>
              <w:t>Commencing on the Suite 600 Commencement Date (as defined in Paragraph 1(d) below) and</w:t>
            </w: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764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640"/>
        <w:spacing w:after="0" w:line="311" w:lineRule="auto"/>
        <w:rPr>
          <w:sz w:val="20"/>
          <w:szCs w:val="20"/>
          <w:color w:val="auto"/>
        </w:rPr>
      </w:pPr>
      <w:r>
        <w:rPr>
          <w:rFonts w:ascii="Arial" w:cs="Arial" w:eastAsia="Arial" w:hAnsi="Arial"/>
          <w:sz w:val="16"/>
          <w:szCs w:val="16"/>
          <w:color w:val="auto"/>
        </w:rPr>
        <w:t>continuing thereafter through the remainder of the Lease Term, (i) the Tenant’s Proportionate Share of the Building shall be amended to be 25.0699% (35 153 rsf / 140 220 rsf) and (ii) the Tenant’s Proportionate Share of the Project shall be amended to be 8.4477% (35,153 rsf/ 416,126 rsf).</w:t>
      </w:r>
    </w:p>
    <w:p>
      <w:pPr>
        <w:sectPr>
          <w:pgSz w:w="11900" w:h="16838" w:orient="portrait"/>
          <w:cols w:equalWidth="0" w:num="1">
            <w:col w:w="10980"/>
          </w:cols>
          <w:pgMar w:left="440" w:top="270" w:right="479" w:bottom="1440" w:gutter="0" w:footer="0" w:header="0"/>
        </w:sectPr>
      </w:pPr>
    </w:p>
    <w:bookmarkStart w:id="356" w:name="page357"/>
    <w:bookmarkEnd w:id="356"/>
    <w:p>
      <w:pPr>
        <w:ind w:left="344" w:hanging="344"/>
        <w:spacing w:after="0"/>
        <w:tabs>
          <w:tab w:leader="none" w:pos="344"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Basic Annual Rent:</w:t>
      </w:r>
    </w:p>
    <w:p>
      <w:pPr>
        <w:spacing w:after="0" w:line="121" w:lineRule="exact"/>
        <w:rPr>
          <w:rFonts w:ascii="Arial" w:cs="Arial" w:eastAsia="Arial" w:hAnsi="Arial"/>
          <w:sz w:val="18"/>
          <w:szCs w:val="18"/>
          <w:b w:val="1"/>
          <w:bCs w:val="1"/>
          <w:color w:val="auto"/>
        </w:rPr>
      </w:pPr>
    </w:p>
    <w:p>
      <w:pPr>
        <w:ind w:left="364" w:right="94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Months 01 to 12*. inclusive</w:t>
      </w:r>
      <w:r>
        <w:rPr>
          <w:rFonts w:ascii="Arial" w:cs="Arial" w:eastAsia="Arial" w:hAnsi="Arial"/>
          <w:sz w:val="16"/>
          <w:szCs w:val="16"/>
          <w:color w:val="auto"/>
        </w:rPr>
        <w:t>: Monthly Installment:</w:t>
      </w:r>
    </w:p>
    <w:p>
      <w:pPr>
        <w:spacing w:after="0" w:line="15" w:lineRule="exact"/>
        <w:rPr>
          <w:rFonts w:ascii="Arial" w:cs="Arial" w:eastAsia="Arial" w:hAnsi="Arial"/>
          <w:sz w:val="18"/>
          <w:szCs w:val="18"/>
          <w:b w:val="1"/>
          <w:bCs w:val="1"/>
          <w:color w:val="auto"/>
        </w:rPr>
      </w:pPr>
    </w:p>
    <w:p>
      <w:pPr>
        <w:ind w:left="364"/>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*If the Commencement Date is a day other than the first day of a calendar month, then this period shall be twelve (12) full calendar months plus the partial month in which the Commencement Date occurs so that each subsequent rental period shall occur on the first day of a calendar month.</w:t>
      </w:r>
    </w:p>
    <w:p>
      <w:pPr>
        <w:spacing w:after="0" w:line="57"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Months 13 to 24, inclusive</w:t>
      </w:r>
      <w:r>
        <w:rPr>
          <w:rFonts w:ascii="Arial" w:cs="Arial" w:eastAsia="Arial" w:hAnsi="Arial"/>
          <w:sz w:val="18"/>
          <w:szCs w:val="18"/>
          <w:color w:val="auto"/>
        </w:rPr>
        <w:t>:</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Monthly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Months 25 to 36, inclusive</w:t>
      </w:r>
      <w:r>
        <w:rPr>
          <w:rFonts w:ascii="Arial" w:cs="Arial" w:eastAsia="Arial" w:hAnsi="Arial"/>
          <w:sz w:val="18"/>
          <w:szCs w:val="18"/>
          <w:color w:val="auto"/>
        </w:rPr>
        <w:t>:</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Monthly Installment: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Months 37 to 48, inclusive</w:t>
      </w:r>
      <w:r>
        <w:rPr>
          <w:rFonts w:ascii="Arial" w:cs="Arial" w:eastAsia="Arial" w:hAnsi="Arial"/>
          <w:sz w:val="18"/>
          <w:szCs w:val="18"/>
          <w:color w:val="auto"/>
        </w:rPr>
        <w:t>:</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Monthly Installment:</w:t>
      </w:r>
    </w:p>
    <w:p>
      <w:pPr>
        <w:spacing w:after="0" w:line="103" w:lineRule="exact"/>
        <w:rPr>
          <w:sz w:val="20"/>
          <w:szCs w:val="20"/>
          <w:color w:val="auto"/>
        </w:rPr>
      </w:pPr>
    </w:p>
    <w:p>
      <w:pPr>
        <w:ind w:left="364"/>
        <w:spacing w:after="0"/>
        <w:rPr>
          <w:sz w:val="20"/>
          <w:szCs w:val="20"/>
          <w:color w:val="auto"/>
        </w:rPr>
      </w:pPr>
      <w:r>
        <w:rPr>
          <w:rFonts w:ascii="Arial" w:cs="Arial" w:eastAsia="Arial" w:hAnsi="Arial"/>
          <w:sz w:val="18"/>
          <w:szCs w:val="18"/>
          <w:u w:val="single" w:color="auto"/>
          <w:color w:val="auto"/>
        </w:rPr>
        <w:t>Months 49 to 60, inclusive</w:t>
      </w:r>
      <w:r>
        <w:rPr>
          <w:rFonts w:ascii="Arial" w:cs="Arial" w:eastAsia="Arial" w:hAnsi="Arial"/>
          <w:sz w:val="18"/>
          <w:szCs w:val="18"/>
          <w:color w:val="auto"/>
        </w:rPr>
        <w:t>:</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Monthly Installment:</w:t>
      </w:r>
    </w:p>
    <w:p>
      <w:pPr>
        <w:spacing w:after="0" w:line="99" w:lineRule="exact"/>
        <w:rPr>
          <w:sz w:val="20"/>
          <w:szCs w:val="20"/>
          <w:color w:val="auto"/>
        </w:rPr>
      </w:pPr>
    </w:p>
    <w:p>
      <w:pPr>
        <w:ind w:left="344" w:hanging="344"/>
        <w:spacing w:after="0"/>
        <w:tabs>
          <w:tab w:leader="none" w:pos="344"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Installment Payable Upon Execution:</w:t>
      </w:r>
    </w:p>
    <w:p>
      <w:pPr>
        <w:spacing w:after="0" w:line="128" w:lineRule="exact"/>
        <w:rPr>
          <w:rFonts w:ascii="Arial" w:cs="Arial" w:eastAsia="Arial" w:hAnsi="Arial"/>
          <w:sz w:val="17"/>
          <w:szCs w:val="17"/>
          <w:b w:val="1"/>
          <w:bCs w:val="1"/>
          <w:color w:val="auto"/>
        </w:rPr>
      </w:pPr>
    </w:p>
    <w:p>
      <w:pPr>
        <w:ind w:left="364" w:right="620" w:hanging="364"/>
        <w:spacing w:after="0" w:line="282" w:lineRule="auto"/>
        <w:tabs>
          <w:tab w:leader="none" w:pos="355"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 Payable Upon Execution:</w:t>
      </w:r>
    </w:p>
    <w:p>
      <w:pPr>
        <w:spacing w:after="0" w:line="53" w:lineRule="exact"/>
        <w:rPr>
          <w:rFonts w:ascii="Arial" w:cs="Arial" w:eastAsia="Arial" w:hAnsi="Arial"/>
          <w:sz w:val="18"/>
          <w:szCs w:val="18"/>
          <w:b w:val="1"/>
          <w:bCs w:val="1"/>
          <w:color w:val="auto"/>
        </w:rPr>
      </w:pPr>
    </w:p>
    <w:p>
      <w:pPr>
        <w:ind w:left="344" w:hanging="344"/>
        <w:spacing w:after="0"/>
        <w:tabs>
          <w:tab w:leader="none" w:pos="3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Base Year for Operating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Paragraph 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-215900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$31,311.00* ($3.55/square foot of Rentable Area/month)</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this period the Basic Annual Rent shall be calculated only on 8,820 square feet of Rentable Area and the Basic Annual Rent attributable to the remaining 8,819 square feet of Rentable Area shall be abated. For purposes of calculating the Termination Fee payable in connection with Addendum Three attached hereto, the total Basic Annual Rent abated rent during this period is estimated to be $375 689.40. To the extent the Suite 600 Commencement Date occur during this period then the monthly installment of Basic Annual Rent payable by Tenant shall be increased in accordance with Paragraph 1(d) below.</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$64,558.74* ($3.66/square foot of Rentable Area/month)</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*To the extent the Suite 600 Commencement Date occurs during this period, then the monthly installment of Basic Annual Rent payable by Tenant shall be increased in accordance with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1(d)</w:t>
      </w:r>
      <w:r>
        <w:rPr>
          <w:rFonts w:ascii="Arial" w:cs="Arial" w:eastAsia="Arial" w:hAnsi="Arial"/>
          <w:sz w:val="18"/>
          <w:szCs w:val="18"/>
          <w:color w:val="auto"/>
        </w:rPr>
        <w:t xml:space="preserve"> below.</w:t>
      </w:r>
    </w:p>
    <w:p>
      <w:pPr>
        <w:spacing w:after="0" w:line="319"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$66,499.03 ($3.77/square foot of Rentable Area/month); provided, however from and after the Estimated Suite 600 Commencement Date and continuing for the remainder of this period the monthly installment of Basic Annual Rent shall be equal to $132,526.81 (which is equal to $3.77/square foot of Rentable Area/month for the initial Premises plus the Suite 600 Space)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$136,393.64 ($3.88/square foot of Rentable Area/month)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$140,612.00 ($4.00/square foot of Rentable Area/month)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$31,311.00 (to be applied towards the initial installment of Basic Annual Rent due 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$175,000.00, in the form of a letter of credit (See </w:t>
      </w:r>
      <w:r>
        <w:rPr>
          <w:rFonts w:ascii="Arial" w:cs="Arial" w:eastAsia="Arial" w:hAnsi="Arial"/>
          <w:sz w:val="18"/>
          <w:szCs w:val="18"/>
          <w:u w:val="single" w:color="auto"/>
          <w:color w:val="auto"/>
        </w:rPr>
        <w:t>Paragraph 2(c)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2016 (See </w:t>
      </w:r>
      <w:r>
        <w:rPr>
          <w:rFonts w:ascii="Arial" w:cs="Arial" w:eastAsia="Arial" w:hAnsi="Arial"/>
          <w:sz w:val="18"/>
          <w:szCs w:val="18"/>
          <w:u w:val="single" w:color="auto"/>
          <w:color w:val="auto"/>
        </w:rPr>
        <w:t>Paragraph 3</w:t>
      </w:r>
      <w:r>
        <w:rPr>
          <w:rFonts w:ascii="Arial" w:cs="Arial" w:eastAsia="Arial" w:hAnsi="Arial"/>
          <w:sz w:val="18"/>
          <w:szCs w:val="18"/>
          <w:color w:val="auto"/>
        </w:rPr>
        <w:t>)</w:t>
      </w:r>
    </w:p>
    <w:p>
      <w:pPr>
        <w:spacing w:after="0" w:line="15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364" w:space="280"/>
            <w:col w:w="7360"/>
          </w:cols>
          <w:pgMar w:left="436" w:top="270" w:right="459" w:bottom="1440" w:gutter="0" w:footer="0" w:header="0"/>
        </w:sectPr>
      </w:pPr>
    </w:p>
    <w:bookmarkStart w:id="357" w:name="page358"/>
    <w:bookmarkEnd w:id="357"/>
    <w:p>
      <w:pPr>
        <w:ind w:left="344" w:hanging="344"/>
        <w:spacing w:after="0"/>
        <w:tabs>
          <w:tab w:leader="none" w:pos="3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Initial Term:</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344" w:hanging="344"/>
        <w:spacing w:after="0"/>
        <w:tabs>
          <w:tab w:leader="none" w:pos="344"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Estimated Commencement Date:</w:t>
      </w:r>
    </w:p>
    <w:p>
      <w:pPr>
        <w:spacing w:after="0" w:line="128" w:lineRule="exact"/>
        <w:rPr>
          <w:rFonts w:ascii="Arial" w:cs="Arial" w:eastAsia="Arial" w:hAnsi="Arial"/>
          <w:sz w:val="17"/>
          <w:szCs w:val="17"/>
          <w:b w:val="1"/>
          <w:bCs w:val="1"/>
          <w:color w:val="auto"/>
        </w:rPr>
      </w:pPr>
    </w:p>
    <w:p>
      <w:pPr>
        <w:ind w:left="344" w:hanging="344"/>
        <w:spacing w:after="0"/>
        <w:tabs>
          <w:tab w:leader="none" w:pos="3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Termination Date:</w:t>
      </w:r>
    </w:p>
    <w:p>
      <w:pPr>
        <w:spacing w:after="0" w:line="117" w:lineRule="exact"/>
        <w:rPr>
          <w:rFonts w:ascii="Arial" w:cs="Arial" w:eastAsia="Arial" w:hAnsi="Arial"/>
          <w:sz w:val="18"/>
          <w:szCs w:val="18"/>
          <w:b w:val="1"/>
          <w:bCs w:val="1"/>
          <w:color w:val="auto"/>
        </w:rPr>
      </w:pPr>
    </w:p>
    <w:p>
      <w:pPr>
        <w:ind w:left="364" w:right="260" w:hanging="364"/>
        <w:spacing w:after="0" w:line="407" w:lineRule="auto"/>
        <w:tabs>
          <w:tab w:leader="none" w:pos="35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Broker(s) (See </w:t>
      </w:r>
      <w:r>
        <w:rPr>
          <w:rFonts w:ascii="Arial" w:cs="Arial" w:eastAsia="Arial" w:hAnsi="Arial"/>
          <w:sz w:val="18"/>
          <w:szCs w:val="18"/>
          <w:b w:val="1"/>
          <w:bCs w:val="1"/>
          <w:u w:val="single" w:color="auto"/>
          <w:color w:val="auto"/>
        </w:rPr>
        <w:t>Paragraph 19(k)</w:t>
      </w:r>
      <w:r>
        <w:rPr>
          <w:rFonts w:ascii="Arial" w:cs="Arial" w:eastAsia="Arial" w:hAnsi="Arial"/>
          <w:sz w:val="18"/>
          <w:szCs w:val="18"/>
          <w:b w:val="1"/>
          <w:bCs w:val="1"/>
          <w:color w:val="auto"/>
        </w:rPr>
        <w:t>): Landlord’s Broker:</w:t>
      </w:r>
    </w:p>
    <w:p>
      <w:pPr>
        <w:spacing w:after="0" w:line="377"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Tenant’s Broker:</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344" w:hanging="344"/>
        <w:spacing w:after="0"/>
        <w:tabs>
          <w:tab w:leader="none" w:pos="3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Parking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4" w:hanging="344"/>
        <w:spacing w:after="0"/>
        <w:tabs>
          <w:tab w:leader="none" w:pos="34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Addresses for Notices:</w:t>
      </w:r>
    </w:p>
    <w:p>
      <w:pPr>
        <w:spacing w:after="0" w:line="117"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5"/>
          <w:szCs w:val="15"/>
          <w:b w:val="1"/>
          <w:bCs w:val="1"/>
          <w:color w:val="auto"/>
        </w:rPr>
        <w:t>Prior to occupancy of the Premises:</w:t>
      </w:r>
    </w:p>
    <w:p>
      <w:pPr>
        <w:spacing w:after="0" w:line="169" w:lineRule="exact"/>
        <w:rPr>
          <w:rFonts w:ascii="Arial" w:cs="Arial" w:eastAsia="Arial" w:hAnsi="Arial"/>
          <w:sz w:val="18"/>
          <w:szCs w:val="18"/>
          <w:b w:val="1"/>
          <w:bCs w:val="1"/>
          <w:color w:val="auto"/>
        </w:rPr>
      </w:pPr>
    </w:p>
    <w:p>
      <w:pPr>
        <w:ind w:left="364" w:right="2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Zoom Video Communications. Inc. 55 Almaden, Suite 600</w:t>
      </w:r>
    </w:p>
    <w:p>
      <w:pPr>
        <w:spacing w:after="0" w:line="1"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8"/>
          <w:szCs w:val="18"/>
          <w:color w:val="auto"/>
        </w:rPr>
        <w:t>San Jose, California 95113</w:t>
      </w:r>
    </w:p>
    <w:p>
      <w:pPr>
        <w:spacing w:after="0" w:line="20" w:lineRule="exact"/>
        <w:rPr>
          <w:sz w:val="20"/>
          <w:szCs w:val="20"/>
          <w:color w:val="auto"/>
        </w:rPr>
      </w:pPr>
      <w:r>
        <w:rPr>
          <w:sz w:val="20"/>
          <w:szCs w:val="20"/>
          <w:color w:val="auto"/>
        </w:rPr>
        <w:br w:type="column"/>
      </w:r>
    </w:p>
    <w:p>
      <w:pPr>
        <w:ind w:right="260"/>
        <w:spacing w:after="0" w:line="263" w:lineRule="auto"/>
        <w:rPr>
          <w:sz w:val="20"/>
          <w:szCs w:val="20"/>
          <w:color w:val="auto"/>
        </w:rPr>
      </w:pPr>
      <w:r>
        <w:rPr>
          <w:rFonts w:ascii="Arial" w:cs="Arial" w:eastAsia="Arial" w:hAnsi="Arial"/>
          <w:sz w:val="18"/>
          <w:szCs w:val="18"/>
          <w:color w:val="auto"/>
        </w:rPr>
        <w:t xml:space="preserve">Sixty (60) full calendar months plus, if the Commencement Date occurs on a day other than the first day of a calendar month the partial month in which the Commencement Date occurs (See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-516890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Santana Row, Fifth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95128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Newmark Cornish &amp; Carey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2804 Mission College Blvd.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 total of fifty-four (54) unreserved parking spaces at an additional charge equal to the then prevailing rate charged by Landlord for the use of such spaces (which as of the Date of this Lease is equal to $120.00 per unreserved space per month) as such rate is subject to change from time to time, plus applicable taxes; provided, however during the Initial Term the parking rate charged for such unreserved space shall not increase by more than the greater of (i) three percent (3%) per year, cumulative and compounding or (ii) the CPI Increase (as defined in </w:t>
      </w:r>
      <w:r>
        <w:rPr>
          <w:rFonts w:ascii="Arial" w:cs="Arial" w:eastAsia="Arial" w:hAnsi="Arial"/>
          <w:sz w:val="17"/>
          <w:szCs w:val="17"/>
          <w:u w:val="single" w:color="auto"/>
          <w:color w:val="auto"/>
        </w:rPr>
        <w:t>Paragraph 18(a)</w:t>
      </w:r>
      <w:r>
        <w:rPr>
          <w:rFonts w:ascii="Arial" w:cs="Arial" w:eastAsia="Arial" w:hAnsi="Arial"/>
          <w:sz w:val="17"/>
          <w:szCs w:val="17"/>
          <w:color w:val="auto"/>
        </w:rPr>
        <w:t xml:space="preserve"> below). Notwithstanding the foregoing to the contrary, the parking rate for twenty-seven (27) of such parking spaces shall be abated during the initial twelve (12) month period following the Commencement Date (and such parking charge abatement shall be factored into the Termination Fee payable under Addendum Three hereof). Commencing on the Suite 600 Commencement Date, Tenant shall be allocated an additional fifty-four (54) unreserved parking spaces (i. e. which are allocable to the Suite 600 Space) at an additional charge equal to the then prevailing rate charged by Landlord for the use of such spaces, as such rate is subject to change from time to time plus applicable taxes. (See </w:t>
      </w:r>
      <w:r>
        <w:rPr>
          <w:rFonts w:ascii="Arial" w:cs="Arial" w:eastAsia="Arial" w:hAnsi="Arial"/>
          <w:sz w:val="17"/>
          <w:szCs w:val="17"/>
          <w:u w:val="single" w:color="auto"/>
          <w:color w:val="auto"/>
        </w:rPr>
        <w:t>Paragraph 18</w:t>
      </w:r>
      <w:r>
        <w:rPr>
          <w:rFonts w:ascii="Arial" w:cs="Arial" w:eastAsia="Arial" w:hAnsi="Arial"/>
          <w:sz w:val="17"/>
          <w:szCs w:val="17"/>
          <w:color w:val="auto"/>
        </w:rPr>
        <w:t>)</w:t>
      </w:r>
    </w:p>
    <w:p>
      <w:pPr>
        <w:spacing w:after="0" w:line="39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Management Office: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KBSIII Almaden Financial Plaza,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Embarcadero Realty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Almaden Boulevard Suite 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Property Manager</w:t>
      </w:r>
    </w:p>
    <w:p>
      <w:pPr>
        <w:spacing w:after="0" w:line="15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144" w:space="720"/>
            <w:col w:w="7120"/>
          </w:cols>
          <w:pgMar w:left="436" w:top="270" w:right="47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b w:val="1"/>
                <w:bCs w:val="1"/>
                <w:color w:val="auto"/>
              </w:rPr>
              <w:t>After occupancy of the Premises:</w:t>
            </w:r>
          </w:p>
        </w:tc>
        <w:tc>
          <w:tcPr>
            <w:tcW w:w="7480" w:type="dxa"/>
            <w:vAlign w:val="bottom"/>
            <w:gridSpan w:val="3"/>
          </w:tcPr>
          <w:p>
            <w:pPr>
              <w:ind w:left="200"/>
              <w:spacing w:after="0"/>
              <w:rPr>
                <w:sz w:val="20"/>
                <w:szCs w:val="20"/>
                <w:color w:val="auto"/>
              </w:rPr>
            </w:pPr>
            <w:r>
              <w:rPr>
                <w:rFonts w:ascii="Arial" w:cs="Arial" w:eastAsia="Arial" w:hAnsi="Arial"/>
                <w:sz w:val="18"/>
                <w:szCs w:val="18"/>
                <w:b w:val="1"/>
                <w:bCs w:val="1"/>
                <w:color w:val="auto"/>
              </w:rPr>
              <w:t>With a copy to:</w:t>
            </w:r>
          </w:p>
        </w:tc>
      </w:tr>
      <w:tr>
        <w:trPr>
          <w:trHeight w:val="323"/>
        </w:trPr>
        <w:tc>
          <w:tcPr>
            <w:tcW w:w="2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Zoom Video Communications. Inc.</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KBS Capital Advisors, LLC</w:t>
            </w:r>
          </w:p>
        </w:tc>
      </w:tr>
      <w:tr>
        <w:trPr>
          <w:trHeight w:val="216"/>
        </w:trPr>
        <w:tc>
          <w:tcPr>
            <w:tcW w:w="280" w:type="dxa"/>
            <w:vAlign w:val="bottom"/>
          </w:tcPr>
          <w:p>
            <w:pPr>
              <w:spacing w:after="0"/>
              <w:rPr>
                <w:sz w:val="18"/>
                <w:szCs w:val="18"/>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55 Almaden, Suite 500</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800 Newport Center Drive, Suite 700</w:t>
            </w:r>
          </w:p>
        </w:tc>
      </w:tr>
      <w:tr>
        <w:trPr>
          <w:trHeight w:val="216"/>
        </w:trPr>
        <w:tc>
          <w:tcPr>
            <w:tcW w:w="280" w:type="dxa"/>
            <w:vAlign w:val="bottom"/>
          </w:tcPr>
          <w:p>
            <w:pPr>
              <w:spacing w:after="0"/>
              <w:rPr>
                <w:sz w:val="18"/>
                <w:szCs w:val="18"/>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San Jose, California 95113</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Newport Beach, California 92660</w:t>
            </w: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Attn: Brent Carroll, Senior Vice President</w:t>
            </w:r>
          </w:p>
        </w:tc>
      </w:tr>
      <w:tr>
        <w:trPr>
          <w:trHeight w:val="323"/>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15.</w:t>
            </w:r>
          </w:p>
        </w:tc>
        <w:tc>
          <w:tcPr>
            <w:tcW w:w="3160" w:type="dxa"/>
            <w:vAlign w:val="bottom"/>
            <w:gridSpan w:val="3"/>
          </w:tcPr>
          <w:p>
            <w:pPr>
              <w:ind w:left="60"/>
              <w:spacing w:after="0"/>
              <w:rPr>
                <w:sz w:val="20"/>
                <w:szCs w:val="20"/>
                <w:color w:val="auto"/>
              </w:rPr>
            </w:pPr>
            <w:r>
              <w:rPr>
                <w:rFonts w:ascii="Arial" w:cs="Arial" w:eastAsia="Arial" w:hAnsi="Arial"/>
                <w:sz w:val="18"/>
                <w:szCs w:val="18"/>
                <w:b w:val="1"/>
                <w:bCs w:val="1"/>
                <w:color w:val="auto"/>
              </w:rPr>
              <w:t>Place of Payment:</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w w:val="90"/>
              </w:rPr>
              <w:t>All payments payable under this Lease shall be sent to Landlord at the Project Management Office at</w:t>
            </w: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w w:val="96"/>
              </w:rPr>
              <w:t xml:space="preserve">the address specified in </w:t>
            </w:r>
            <w:r>
              <w:rPr>
                <w:rFonts w:ascii="Arial" w:cs="Arial" w:eastAsia="Arial" w:hAnsi="Arial"/>
                <w:sz w:val="18"/>
                <w:szCs w:val="18"/>
                <w:i w:val="1"/>
                <w:iCs w:val="1"/>
                <w:color w:val="auto"/>
                <w:w w:val="96"/>
              </w:rPr>
              <w:t>Item 14</w:t>
            </w:r>
            <w:r>
              <w:rPr>
                <w:rFonts w:ascii="Arial" w:cs="Arial" w:eastAsia="Arial" w:hAnsi="Arial"/>
                <w:sz w:val="18"/>
                <w:szCs w:val="18"/>
                <w:color w:val="auto"/>
                <w:w w:val="96"/>
              </w:rPr>
              <w:t xml:space="preserve"> or to such other address as Landlord may designate in writing.</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16.</w:t>
            </w:r>
          </w:p>
        </w:tc>
        <w:tc>
          <w:tcPr>
            <w:tcW w:w="3160" w:type="dxa"/>
            <w:vAlign w:val="bottom"/>
            <w:gridSpan w:val="3"/>
          </w:tcPr>
          <w:p>
            <w:pPr>
              <w:ind w:left="60"/>
              <w:spacing w:after="0"/>
              <w:rPr>
                <w:sz w:val="20"/>
                <w:szCs w:val="20"/>
                <w:color w:val="auto"/>
              </w:rPr>
            </w:pPr>
            <w:r>
              <w:rPr>
                <w:rFonts w:ascii="Arial" w:cs="Arial" w:eastAsia="Arial" w:hAnsi="Arial"/>
                <w:sz w:val="18"/>
                <w:szCs w:val="18"/>
                <w:b w:val="1"/>
                <w:bCs w:val="1"/>
                <w:color w:val="auto"/>
              </w:rPr>
              <w:t>Guarantor:</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17.</w:t>
            </w:r>
          </w:p>
        </w:tc>
        <w:tc>
          <w:tcPr>
            <w:tcW w:w="3160" w:type="dxa"/>
            <w:vAlign w:val="bottom"/>
            <w:gridSpan w:val="3"/>
          </w:tcPr>
          <w:p>
            <w:pPr>
              <w:ind w:left="60"/>
              <w:spacing w:after="0"/>
              <w:rPr>
                <w:sz w:val="20"/>
                <w:szCs w:val="20"/>
                <w:color w:val="auto"/>
              </w:rPr>
            </w:pPr>
            <w:r>
              <w:rPr>
                <w:rFonts w:ascii="Arial" w:cs="Arial" w:eastAsia="Arial" w:hAnsi="Arial"/>
                <w:sz w:val="18"/>
                <w:szCs w:val="18"/>
                <w:b w:val="1"/>
                <w:bCs w:val="1"/>
                <w:color w:val="auto"/>
              </w:rPr>
              <w:t>Date of this Lease:</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See cover page</w:t>
            </w:r>
          </w:p>
        </w:tc>
      </w:tr>
      <w:tr>
        <w:trPr>
          <w:trHeight w:val="283"/>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18.</w:t>
            </w:r>
          </w:p>
        </w:tc>
        <w:tc>
          <w:tcPr>
            <w:tcW w:w="3160" w:type="dxa"/>
            <w:vAlign w:val="bottom"/>
            <w:gridSpan w:val="3"/>
          </w:tcPr>
          <w:p>
            <w:pPr>
              <w:ind w:left="60"/>
              <w:spacing w:after="0"/>
              <w:rPr>
                <w:sz w:val="20"/>
                <w:szCs w:val="20"/>
                <w:color w:val="auto"/>
              </w:rPr>
            </w:pPr>
            <w:r>
              <w:rPr>
                <w:rFonts w:ascii="Arial" w:cs="Arial" w:eastAsia="Arial" w:hAnsi="Arial"/>
                <w:sz w:val="18"/>
                <w:szCs w:val="18"/>
                <w:b w:val="1"/>
                <w:bCs w:val="1"/>
                <w:color w:val="auto"/>
              </w:rPr>
              <w:t>Tenant Improvements:</w:t>
            </w:r>
          </w:p>
        </w:tc>
        <w:tc>
          <w:tcPr>
            <w:tcW w:w="7480" w:type="dxa"/>
            <w:vAlign w:val="bottom"/>
            <w:gridSpan w:val="3"/>
          </w:tcPr>
          <w:p>
            <w:pPr>
              <w:ind w:left="2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Exhibit B</w:t>
            </w:r>
          </w:p>
        </w:tc>
      </w:tr>
      <w:tr>
        <w:trPr>
          <w:trHeight w:val="30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19.</w:t>
            </w:r>
          </w:p>
        </w:tc>
        <w:tc>
          <w:tcPr>
            <w:tcW w:w="31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The “State” is the State of California.</w:t>
            </w:r>
          </w:p>
        </w:tc>
        <w:tc>
          <w:tcPr>
            <w:tcW w:w="5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3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75" w:lineRule="auto"/>
        <w:rPr>
          <w:sz w:val="20"/>
          <w:szCs w:val="20"/>
          <w:color w:val="auto"/>
        </w:rPr>
      </w:pPr>
      <w:r>
        <w:rPr>
          <w:rFonts w:ascii="Arial" w:cs="Arial" w:eastAsia="Arial" w:hAnsi="Arial"/>
          <w:sz w:val="17"/>
          <w:szCs w:val="17"/>
          <w:color w:val="auto"/>
        </w:rPr>
        <w:t>This Lease consists of the foregoing introductory paragraphs and Basic Lease Provisions, the provisions of the Standard Lease Provisions (the “</w:t>
      </w:r>
      <w:r>
        <w:rPr>
          <w:rFonts w:ascii="Arial" w:cs="Arial" w:eastAsia="Arial" w:hAnsi="Arial"/>
          <w:sz w:val="17"/>
          <w:szCs w:val="17"/>
          <w:u w:val="single" w:color="auto"/>
          <w:color w:val="auto"/>
        </w:rPr>
        <w:t>Standard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Lease Provisions</w:t>
      </w:r>
      <w:r>
        <w:rPr>
          <w:rFonts w:ascii="Arial" w:cs="Arial" w:eastAsia="Arial" w:hAnsi="Arial"/>
          <w:sz w:val="17"/>
          <w:szCs w:val="17"/>
          <w:color w:val="auto"/>
        </w:rPr>
        <w:t xml:space="preserve">”) (consisting of </w:t>
      </w:r>
      <w:r>
        <w:rPr>
          <w:rFonts w:ascii="Arial" w:cs="Arial" w:eastAsia="Arial" w:hAnsi="Arial"/>
          <w:sz w:val="17"/>
          <w:szCs w:val="17"/>
          <w:u w:val="single" w:color="auto"/>
          <w:color w:val="auto"/>
        </w:rPr>
        <w:t>Paragraphs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Paragraph 19</w:t>
      </w:r>
      <w:r>
        <w:rPr>
          <w:rFonts w:ascii="Arial" w:cs="Arial" w:eastAsia="Arial" w:hAnsi="Arial"/>
          <w:sz w:val="17"/>
          <w:szCs w:val="17"/>
          <w:color w:val="auto"/>
        </w:rPr>
        <w:t xml:space="preserve"> which follow) and </w:t>
      </w:r>
      <w:r>
        <w:rPr>
          <w:rFonts w:ascii="Arial" w:cs="Arial" w:eastAsia="Arial" w:hAnsi="Arial"/>
          <w:sz w:val="17"/>
          <w:szCs w:val="17"/>
          <w:i w:val="1"/>
          <w:iCs w:val="1"/>
          <w:u w:val="single" w:color="auto"/>
          <w:color w:val="auto"/>
        </w:rPr>
        <w:t>Exhibits A-I</w:t>
      </w:r>
      <w:r>
        <w:rPr>
          <w:rFonts w:ascii="Arial" w:cs="Arial" w:eastAsia="Arial" w:hAnsi="Arial"/>
          <w:sz w:val="17"/>
          <w:szCs w:val="17"/>
          <w:color w:val="auto"/>
        </w:rPr>
        <w:t xml:space="preserve"> through </w:t>
      </w:r>
      <w:r>
        <w:rPr>
          <w:rFonts w:ascii="Arial" w:cs="Arial" w:eastAsia="Arial" w:hAnsi="Arial"/>
          <w:sz w:val="17"/>
          <w:szCs w:val="17"/>
          <w:i w:val="1"/>
          <w:iCs w:val="1"/>
          <w:u w:val="single" w:color="auto"/>
          <w:color w:val="auto"/>
        </w:rPr>
        <w:t>Exhibit A-3</w:t>
      </w:r>
      <w:r>
        <w:rPr>
          <w:rFonts w:ascii="Arial" w:cs="Arial" w:eastAsia="Arial" w:hAnsi="Arial"/>
          <w:sz w:val="17"/>
          <w:szCs w:val="17"/>
          <w:color w:val="auto"/>
        </w:rPr>
        <w:t xml:space="preserve"> and </w:t>
      </w:r>
      <w:r>
        <w:rPr>
          <w:rFonts w:ascii="Arial" w:cs="Arial" w:eastAsia="Arial" w:hAnsi="Arial"/>
          <w:sz w:val="17"/>
          <w:szCs w:val="17"/>
          <w:i w:val="1"/>
          <w:iCs w:val="1"/>
          <w:u w:val="single" w:color="auto"/>
          <w:color w:val="auto"/>
        </w:rPr>
        <w:t>Exhibits B</w:t>
      </w:r>
      <w:r>
        <w:rPr>
          <w:rFonts w:ascii="Arial" w:cs="Arial" w:eastAsia="Arial" w:hAnsi="Arial"/>
          <w:sz w:val="17"/>
          <w:szCs w:val="17"/>
          <w:color w:val="auto"/>
        </w:rPr>
        <w:t xml:space="preserve"> through </w:t>
      </w:r>
      <w:r>
        <w:rPr>
          <w:rFonts w:ascii="Arial" w:cs="Arial" w:eastAsia="Arial" w:hAnsi="Arial"/>
          <w:sz w:val="17"/>
          <w:szCs w:val="17"/>
          <w:i w:val="1"/>
          <w:iCs w:val="1"/>
          <w:u w:val="single" w:color="auto"/>
          <w:color w:val="auto"/>
        </w:rPr>
        <w:t>Exhibit J</w:t>
      </w:r>
      <w:r>
        <w:rPr>
          <w:rFonts w:ascii="Arial" w:cs="Arial" w:eastAsia="Arial" w:hAnsi="Arial"/>
          <w:sz w:val="17"/>
          <w:szCs w:val="17"/>
          <w:color w:val="auto"/>
        </w:rPr>
        <w:t>, and the following Addenda:</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Addendum One: Two Renewal Options al Market, Addendum Two: One-Time Right of First Offer, and Addendum</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Three: Cancellation Option</w:t>
      </w:r>
      <w:r>
        <w:rPr>
          <w:rFonts w:ascii="Arial" w:cs="Arial" w:eastAsia="Arial" w:hAnsi="Arial"/>
          <w:sz w:val="17"/>
          <w:szCs w:val="17"/>
          <w:color w:val="auto"/>
        </w:rPr>
        <w:t>, all of which are incorporated herein by this reference. In the event of any conflict between the provisions of the Basic Lease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and the provisions of the Standard Lease Provisions, the Standard Lease Provisions shall control.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59" w:name="page360"/>
    <w:bookmarkEnd w:id="35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LEASE PROVISIONS</w:t>
      </w:r>
    </w:p>
    <w:p>
      <w:pPr>
        <w:spacing w:after="0" w:line="374" w:lineRule="exact"/>
        <w:rPr>
          <w:sz w:val="20"/>
          <w:szCs w:val="20"/>
          <w:color w:val="auto"/>
        </w:rPr>
      </w:pPr>
    </w:p>
    <w:p>
      <w:pPr>
        <w:ind w:left="424" w:hanging="424"/>
        <w:spacing w:after="0"/>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121" w:lineRule="exact"/>
        <w:rPr>
          <w:rFonts w:ascii="Arial" w:cs="Arial" w:eastAsia="Arial" w:hAnsi="Arial"/>
          <w:sz w:val="18"/>
          <w:szCs w:val="18"/>
          <w:b w:val="1"/>
          <w:bCs w:val="1"/>
          <w:color w:val="auto"/>
        </w:rPr>
      </w:pPr>
    </w:p>
    <w:p>
      <w:pPr>
        <w:jc w:val="both"/>
        <w:ind w:left="4" w:right="160" w:firstLine="436"/>
        <w:spacing w:after="0" w:line="287" w:lineRule="auto"/>
        <w:tabs>
          <w:tab w:leader="none" w:pos="821"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Initial Term of this Lease and the Rent (defined below) shall commence on the earliest of (i) the date that the Tenant Improvements are Substantially Completed, or (ii) the date the Tenant Improvements would have been Substantially Completed except for Tenant Delays or (iii) the date that Tenant, or any person occupying any of the Premises with Tenants permission, commences business operations from the Premises or</w:t>
      </w:r>
    </w:p>
    <w:p>
      <w:pPr>
        <w:spacing w:after="0" w:line="2" w:lineRule="exact"/>
        <w:rPr>
          <w:rFonts w:ascii="Arial" w:cs="Arial" w:eastAsia="Arial" w:hAnsi="Arial"/>
          <w:sz w:val="16"/>
          <w:szCs w:val="16"/>
          <w:color w:val="auto"/>
        </w:rPr>
      </w:pPr>
    </w:p>
    <w:p>
      <w:pPr>
        <w:ind w:left="4"/>
        <w:spacing w:after="0" w:line="288" w:lineRule="auto"/>
        <w:rPr>
          <w:rFonts w:ascii="Arial" w:cs="Arial" w:eastAsia="Arial" w:hAnsi="Arial"/>
          <w:sz w:val="16"/>
          <w:szCs w:val="16"/>
          <w:color w:val="auto"/>
        </w:rPr>
      </w:pPr>
      <w:r>
        <w:rPr>
          <w:rFonts w:ascii="Arial" w:cs="Arial" w:eastAsia="Arial" w:hAnsi="Arial"/>
          <w:sz w:val="16"/>
          <w:szCs w:val="16"/>
          <w:color w:val="auto"/>
        </w:rPr>
        <w:t>(iv) September 1, 2016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the Termination Date shall mean the last day of the calendar month following the sixtieth (60th) full calendar month anniversary of the Commencement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Unless earlier terminated in accordance with the provisions hereof the Initial Term of this Lease shall be the period shown in </w:t>
      </w:r>
      <w:r>
        <w:rPr>
          <w:rFonts w:ascii="Arial" w:cs="Arial" w:eastAsia="Arial" w:hAnsi="Arial"/>
          <w:sz w:val="16"/>
          <w:szCs w:val="16"/>
          <w:i w:val="1"/>
          <w:iCs w:val="1"/>
          <w:color w:val="auto"/>
        </w:rPr>
        <w:t>Item 9</w:t>
      </w:r>
      <w:r>
        <w:rPr>
          <w:rFonts w:ascii="Arial" w:cs="Arial" w:eastAsia="Arial" w:hAnsi="Arial"/>
          <w:sz w:val="16"/>
          <w:szCs w:val="16"/>
          <w:color w:val="auto"/>
        </w:rPr>
        <w:t xml:space="preserve"> of the Basic Lease Provision. As used herein, “</w:t>
      </w:r>
      <w:r>
        <w:rPr>
          <w:rFonts w:ascii="Arial" w:cs="Arial" w:eastAsia="Arial" w:hAnsi="Arial"/>
          <w:sz w:val="16"/>
          <w:szCs w:val="16"/>
          <w:u w:val="single" w:color="auto"/>
          <w:color w:val="auto"/>
        </w:rPr>
        <w:t>Lease Term</w:t>
      </w:r>
      <w:r>
        <w:rPr>
          <w:rFonts w:ascii="Arial" w:cs="Arial" w:eastAsia="Arial" w:hAnsi="Arial"/>
          <w:sz w:val="16"/>
          <w:szCs w:val="16"/>
          <w:color w:val="auto"/>
        </w:rPr>
        <w:t xml:space="preserve">” shall mean the Initial Term referred to in </w:t>
      </w:r>
      <w:r>
        <w:rPr>
          <w:rFonts w:ascii="Arial" w:cs="Arial" w:eastAsia="Arial" w:hAnsi="Arial"/>
          <w:sz w:val="16"/>
          <w:szCs w:val="16"/>
          <w:i w:val="1"/>
          <w:iCs w:val="1"/>
          <w:color w:val="auto"/>
        </w:rPr>
        <w:t>Item 9</w:t>
      </w:r>
      <w:r>
        <w:rPr>
          <w:rFonts w:ascii="Arial" w:cs="Arial" w:eastAsia="Arial" w:hAnsi="Arial"/>
          <w:sz w:val="16"/>
          <w:szCs w:val="16"/>
          <w:color w:val="auto"/>
        </w:rPr>
        <w:t xml:space="preserve"> of the Basic Lease Provisions subject to any extension of the Initial Term hereof exercised in accordance with the terms and conditions expressly set forth herein. This Lease shall be a binding contractual obligation effective upon execution hereof by Landlord and Tenant, notwithstanding the later commencement of the Initial Term of this Lease. The terms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and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or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xml:space="preserve">” are defined in the attached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Work Letter. “</w:t>
      </w:r>
      <w:r>
        <w:rPr>
          <w:rFonts w:ascii="Arial" w:cs="Arial" w:eastAsia="Arial" w:hAnsi="Arial"/>
          <w:sz w:val="16"/>
          <w:szCs w:val="16"/>
          <w:u w:val="single" w:color="auto"/>
          <w:color w:val="auto"/>
        </w:rPr>
        <w:t>Tenant Delays</w:t>
      </w:r>
      <w:r>
        <w:rPr>
          <w:rFonts w:ascii="Arial" w:cs="Arial" w:eastAsia="Arial" w:hAnsi="Arial"/>
          <w:sz w:val="16"/>
          <w:szCs w:val="16"/>
          <w:color w:val="auto"/>
        </w:rPr>
        <w:t xml:space="preserve">” consist of those delays defined in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 w:right="20" w:firstLine="436"/>
        <w:spacing w:after="0" w:line="284" w:lineRule="auto"/>
        <w:tabs>
          <w:tab w:leader="none" w:pos="831" w:val="left"/>
        </w:tabs>
        <w:numPr>
          <w:ilvl w:val="1"/>
          <w:numId w:val="336"/>
        </w:numPr>
        <w:rPr>
          <w:rFonts w:ascii="Arial" w:cs="Arial" w:eastAsia="Arial" w:hAnsi="Arial"/>
          <w:sz w:val="16"/>
          <w:szCs w:val="16"/>
          <w:color w:val="auto"/>
        </w:rPr>
      </w:pPr>
      <w:r>
        <w:rPr>
          <w:rFonts w:ascii="Arial" w:cs="Arial" w:eastAsia="Arial" w:hAnsi="Arial"/>
          <w:sz w:val="16"/>
          <w:szCs w:val="16"/>
          <w:color w:val="auto"/>
        </w:rPr>
        <w:t xml:space="preserve">The Premises will be delivered to Tenant when the Tenant Improvement have been Substantially Completed. If delivery of the Premises is delayed or otherwise does not occur on the Estimated Commencement Date, set forth in </w:t>
      </w:r>
      <w:r>
        <w:rPr>
          <w:rFonts w:ascii="Arial" w:cs="Arial" w:eastAsia="Arial" w:hAnsi="Arial"/>
          <w:sz w:val="16"/>
          <w:szCs w:val="16"/>
          <w:i w:val="1"/>
          <w:iCs w:val="1"/>
          <w:color w:val="auto"/>
        </w:rPr>
        <w:t>Item 10</w:t>
      </w:r>
      <w:r>
        <w:rPr>
          <w:rFonts w:ascii="Arial" w:cs="Arial" w:eastAsia="Arial" w:hAnsi="Arial"/>
          <w:sz w:val="16"/>
          <w:szCs w:val="16"/>
          <w:color w:val="auto"/>
        </w:rPr>
        <w:t xml:space="preserve"> of the Basic Lease Provisions, this Lease shall not be void or voidable, nor shall Landlord be liable to Tenant for any loss or damage resulting therefrom and in no event shall the Commencement Date be deferred (i.e., in no event shall the Commencement Date be later than September I 2016 even if the Tenant Improvements are not Substantially Completed by such date). Beginning no earlier than fourteen {14) days prior to the date on which the Landlord estimates the Tenant Improvements will be Substantially Completed will occur (such date being referred to herein as the “</w:t>
      </w:r>
      <w:r>
        <w:rPr>
          <w:rFonts w:ascii="Arial" w:cs="Arial" w:eastAsia="Arial" w:hAnsi="Arial"/>
          <w:sz w:val="16"/>
          <w:szCs w:val="16"/>
          <w:u w:val="single" w:color="auto"/>
          <w:color w:val="auto"/>
        </w:rPr>
        <w:t>Pre-Completion Access Date</w:t>
      </w:r>
      <w:r>
        <w:rPr>
          <w:rFonts w:ascii="Arial" w:cs="Arial" w:eastAsia="Arial" w:hAnsi="Arial"/>
          <w:sz w:val="16"/>
          <w:szCs w:val="16"/>
          <w:color w:val="auto"/>
        </w:rPr>
        <w:t>”) and ending on the day immediately preceding the date that the Tenant Improvements have been Substantially Completed (such period being referred to as the “</w:t>
      </w:r>
      <w:r>
        <w:rPr>
          <w:rFonts w:ascii="Arial" w:cs="Arial" w:eastAsia="Arial" w:hAnsi="Arial"/>
          <w:sz w:val="16"/>
          <w:szCs w:val="16"/>
          <w:u w:val="single" w:color="auto"/>
          <w:color w:val="auto"/>
        </w:rPr>
        <w:t>Pre-Completion Access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Tenant, and Tenant’s contractors reasonably approved by Landlord may access the Premises (the “</w:t>
      </w:r>
      <w:r>
        <w:rPr>
          <w:rFonts w:ascii="Arial" w:cs="Arial" w:eastAsia="Arial" w:hAnsi="Arial"/>
          <w:sz w:val="16"/>
          <w:szCs w:val="16"/>
          <w:u w:val="single" w:color="auto"/>
          <w:color w:val="auto"/>
        </w:rPr>
        <w:t>Pre-Completion Access</w:t>
      </w:r>
      <w:r>
        <w:rPr>
          <w:rFonts w:ascii="Arial" w:cs="Arial" w:eastAsia="Arial" w:hAnsi="Arial"/>
          <w:sz w:val="16"/>
          <w:szCs w:val="16"/>
          <w:color w:val="auto"/>
        </w:rPr>
        <w:t>”) for the sole purpose of installing Tenant’s furniture equipment computer and phone cabling and wiring systems in the Premises ; provided, however Tenant and/or Tenant’s contractors, must coordinate all access to the Premises during such Pre-Completion Access Period with the Property Manager of the Building prior to such access. All terms, conditions rules regulations and obligations of Tenant, as set forth in this Lease, shall apply during the Pre-Completion Access Period. Tenant, and its approved contractors, shall not interfere with the completion of construction of the Tenant Improvement or cause any labor dispute as a result of such Pre-Completion Access, and Tenant hereby agrees to indemnify, defend and hold Landlord harmless from any loss or damage to such property and all liability loss or damage arising from any injury to the Project Building or the property of Landlord its contractors, subcontractors or materialmen and any death or personal injury to any person or persons arising out of such Pre-Completion Access EVEN IF SUCH LOSS DAMAGE, LIABILITY, DEATH, OR PERSONAL INJURY WAS CAUSED SOLELY OR IN PART BY LANDLORDS NEGLIGENCE, BUT NOT TO THE EXTENT CAUSED BY THE GROSS NEGLIGENCE OR WILLFUL MISCONDUCT OF LANDLORD. Any such Pre-Completion Access shall be subject to Tenant providing to Landlord satisfactory evidence of insurance for personal injury and property damage related to such Pre-Completion Access Period prior to the commencement of the Pre-Completion Access Period, including such insurance from Tenant’s contractors, as required by Landlord for third party contractors working in the Building. Any delay in putting Tenant in possession of the Premises due to such Pre-Completion Access Period shall not serve to extend the Lease Term of this Lease or to make Landlord liable for any damages arising therefrom.</w:t>
      </w:r>
    </w:p>
    <w:p>
      <w:pPr>
        <w:spacing w:after="0" w:line="179" w:lineRule="exact"/>
        <w:rPr>
          <w:rFonts w:ascii="Arial" w:cs="Arial" w:eastAsia="Arial" w:hAnsi="Arial"/>
          <w:sz w:val="16"/>
          <w:szCs w:val="16"/>
          <w:color w:val="auto"/>
        </w:rPr>
      </w:pPr>
    </w:p>
    <w:p>
      <w:pPr>
        <w:ind w:left="4" w:right="20" w:firstLine="436"/>
        <w:spacing w:after="0" w:line="272" w:lineRule="auto"/>
        <w:tabs>
          <w:tab w:leader="none" w:pos="824"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Upon Substantial Completion of the Tenant Improvements, Landlord shall prepare and deliver to Tenant, a Tenant Commencement Certificate in the form of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Certificate</w:t>
      </w:r>
      <w:r>
        <w:rPr>
          <w:rFonts w:ascii="Arial" w:cs="Arial" w:eastAsia="Arial" w:hAnsi="Arial"/>
          <w:sz w:val="17"/>
          <w:szCs w:val="17"/>
          <w:color w:val="auto"/>
        </w:rPr>
        <w:t>”) which Tenant shall acknowledge by executing a copy and returning it to Landlord. If upon receipt of the Certificate, Tenant believes Substantial Completion of the Tenant Improvements has not occurred, Tenant shall provide written notice (“</w:t>
      </w:r>
      <w:r>
        <w:rPr>
          <w:rFonts w:ascii="Arial" w:cs="Arial" w:eastAsia="Arial" w:hAnsi="Arial"/>
          <w:sz w:val="17"/>
          <w:szCs w:val="17"/>
          <w:u w:val="single" w:color="auto"/>
          <w:color w:val="auto"/>
        </w:rPr>
        <w:t>Incompletion Notice</w:t>
      </w:r>
      <w:r>
        <w:rPr>
          <w:rFonts w:ascii="Arial" w:cs="Arial" w:eastAsia="Arial" w:hAnsi="Arial"/>
          <w:sz w:val="17"/>
          <w:szCs w:val="17"/>
          <w:color w:val="auto"/>
        </w:rPr>
        <w:t xml:space="preserve">”) to Landlord specifying the particular Tenant Improvements which have not been Substantially Completed. Landlord shall then Substantially Complete the Tenant Improvements specified in the Incompletion Notice or, if Landlord disagrees with die Incompletion Notice, refer the matter to the Architect (as defined in the Work Letter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for resolution of whether Substantial Completion has occurred. If Tenant fails to sign and return the Certificate or an Incompletion Notice to Landlord within ten (10) days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360" w:name="page361"/>
    <w:bookmarkEnd w:id="360"/>
    <w:p>
      <w:pPr>
        <w:ind w:left="4"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receipt of the Certificate from Landlord the Certificate as sent by Landlord shall be deemed to have correctly set forth the Commencement Date and the other matters addressed in the Certificate. Failure of Landlord to send the Certificate shall have no effect on the Commencement Date.</w:t>
      </w:r>
    </w:p>
    <w:p>
      <w:pPr>
        <w:spacing w:after="0" w:line="124" w:lineRule="exact"/>
        <w:rPr>
          <w:sz w:val="20"/>
          <w:szCs w:val="20"/>
          <w:color w:val="auto"/>
        </w:rPr>
      </w:pPr>
    </w:p>
    <w:p>
      <w:pPr>
        <w:ind w:left="4" w:firstLine="436"/>
        <w:spacing w:after="0" w:line="283" w:lineRule="auto"/>
        <w:tabs>
          <w:tab w:leader="none" w:pos="834" w:val="left"/>
        </w:tabs>
        <w:numPr>
          <w:ilvl w:val="1"/>
          <w:numId w:val="337"/>
        </w:numPr>
        <w:rPr>
          <w:rFonts w:ascii="Arial" w:cs="Arial" w:eastAsia="Arial" w:hAnsi="Arial"/>
          <w:sz w:val="16"/>
          <w:szCs w:val="16"/>
          <w:color w:val="auto"/>
        </w:rPr>
      </w:pPr>
      <w:r>
        <w:rPr>
          <w:rFonts w:ascii="Arial" w:cs="Arial" w:eastAsia="Arial" w:hAnsi="Arial"/>
          <w:sz w:val="16"/>
          <w:szCs w:val="16"/>
          <w:color w:val="auto"/>
        </w:rPr>
        <w:t>Landlord is currently leasing the Suite 600 Space to Armanino LLP (“</w:t>
      </w:r>
      <w:r>
        <w:rPr>
          <w:rFonts w:ascii="Arial" w:cs="Arial" w:eastAsia="Arial" w:hAnsi="Arial"/>
          <w:sz w:val="16"/>
          <w:szCs w:val="16"/>
          <w:u w:val="single" w:color="auto"/>
          <w:color w:val="auto"/>
        </w:rPr>
        <w:t>Armanino</w:t>
      </w:r>
      <w:r>
        <w:rPr>
          <w:rFonts w:ascii="Arial" w:cs="Arial" w:eastAsia="Arial" w:hAnsi="Arial"/>
          <w:sz w:val="16"/>
          <w:szCs w:val="16"/>
          <w:color w:val="auto"/>
        </w:rPr>
        <w:t>”) pursuant to a lease agreement (the “</w:t>
      </w:r>
      <w:r>
        <w:rPr>
          <w:rFonts w:ascii="Arial" w:cs="Arial" w:eastAsia="Arial" w:hAnsi="Arial"/>
          <w:sz w:val="16"/>
          <w:szCs w:val="16"/>
          <w:u w:val="single" w:color="auto"/>
          <w:color w:val="auto"/>
        </w:rPr>
        <w:t>Armanino Lease</w:t>
      </w:r>
      <w:r>
        <w:rPr>
          <w:rFonts w:ascii="Arial" w:cs="Arial" w:eastAsia="Arial" w:hAnsi="Arial"/>
          <w:sz w:val="16"/>
          <w:szCs w:val="16"/>
          <w:color w:val="auto"/>
        </w:rPr>
        <w:t>”) scheduled to expire on October 31, 2018. Tenant is leasing the Suite 600 Space from Armanino pursuant to a sublease agreement (the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Sublease</w:t>
      </w:r>
      <w:r>
        <w:rPr>
          <w:rFonts w:ascii="Arial" w:cs="Arial" w:eastAsia="Arial" w:hAnsi="Arial"/>
          <w:sz w:val="16"/>
          <w:szCs w:val="16"/>
          <w:color w:val="auto"/>
        </w:rPr>
        <w:t>”) which is also scheduled to expire on October 31, 2018. The parties hereby anticipate that upon the expiration of the Armanino Lease and the Tenant’s Sublease that the Premises shall be expanded to include the Suite 600 Space. Landlord shall deliver the Suite 600 Space to Tenant upon the date that the Armanino Lease expires or is earlier terminated and Armanino surrenders the Suite 600 Space to Landlord. The date of delivery of the Suite 600 Space to Tenant by Landlord shall be known as the “</w:t>
      </w:r>
      <w:r>
        <w:rPr>
          <w:rFonts w:ascii="Arial" w:cs="Arial" w:eastAsia="Arial" w:hAnsi="Arial"/>
          <w:sz w:val="16"/>
          <w:szCs w:val="16"/>
          <w:u w:val="single" w:color="auto"/>
          <w:color w:val="auto"/>
        </w:rPr>
        <w:t>Suite 600 Commencement Date</w:t>
      </w:r>
      <w:r>
        <w:rPr>
          <w:rFonts w:ascii="Arial" w:cs="Arial" w:eastAsia="Arial" w:hAnsi="Arial"/>
          <w:sz w:val="16"/>
          <w:szCs w:val="16"/>
          <w:color w:val="auto"/>
        </w:rPr>
        <w:t>” and Tenant acknowledges that such Suite 600 Commencement Date may occur prior to the Estimated Suite 600 Commencement Date in the event the Armanino Lease is terminated prior to its scheduled expiration date. ln the event the Suite 600 Commencement Date occurs prior to the Estimated Suite 600 Commencement Date, then, for the time period commencing on the Suite 600 Commencement Date and continuing thereafter through the day preceding the Estimated Suite 600 Commencement Date in addition to the Basic Annual Rent, Additional Rent and other sums payable hereunder with respect to the initial Premises, Tenant shall also pay to Landlord an additional sum for the Suite 600 Space equal to the amount that Armanino would have been required to pay to Landlord under the Armanino Lease during such period had the Armanino Lease not been terminated prior to its scheduled expiration. From and after the Estimated Suite</w:t>
      </w:r>
    </w:p>
    <w:p>
      <w:pPr>
        <w:spacing w:after="0" w:line="2" w:lineRule="exact"/>
        <w:rPr>
          <w:rFonts w:ascii="Arial" w:cs="Arial" w:eastAsia="Arial" w:hAnsi="Arial"/>
          <w:sz w:val="16"/>
          <w:szCs w:val="16"/>
          <w:color w:val="auto"/>
        </w:rPr>
      </w:pPr>
    </w:p>
    <w:p>
      <w:pPr>
        <w:ind w:left="4" w:right="40" w:hanging="4"/>
        <w:spacing w:after="0" w:line="253" w:lineRule="auto"/>
        <w:tabs>
          <w:tab w:leader="none" w:pos="31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Commencement Date through the remainder of the Lease Term, the Basic Annual Rent rate and Base Year attributable to the Suite 600 Space shall be the same Basic Annual Rent rate and Base Year that is then attributable to the initial Premises leased hereunder during such time period (subject to periodic escalations as set forth herein). Tenant hereby acknowledges that its right to lease the Suite 600 Space from Landlord is subject and subordinate to any rights of renewal that Armanino has in the Armanino Lease.</w:t>
      </w:r>
    </w:p>
    <w:p>
      <w:pPr>
        <w:spacing w:after="0" w:line="337" w:lineRule="exact"/>
        <w:rPr>
          <w:rFonts w:ascii="Arial" w:cs="Arial" w:eastAsia="Arial" w:hAnsi="Arial"/>
          <w:sz w:val="18"/>
          <w:szCs w:val="18"/>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ANNUAL RENT AND SECURITY DEPOSIT</w:t>
      </w:r>
    </w:p>
    <w:p>
      <w:pPr>
        <w:spacing w:after="0" w:line="121" w:lineRule="exact"/>
        <w:rPr>
          <w:rFonts w:ascii="Arial" w:cs="Arial" w:eastAsia="Arial" w:hAnsi="Arial"/>
          <w:sz w:val="18"/>
          <w:szCs w:val="18"/>
          <w:b w:val="1"/>
          <w:bCs w:val="1"/>
          <w:color w:val="auto"/>
        </w:rPr>
      </w:pPr>
    </w:p>
    <w:p>
      <w:pPr>
        <w:ind w:left="4" w:right="440" w:firstLine="436"/>
        <w:spacing w:after="0" w:line="291" w:lineRule="auto"/>
        <w:tabs>
          <w:tab w:leader="none" w:pos="821"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Tenant agrees to pay during each Lease Year (defined below) of the Lease Term as Basic Annual Rent (“</w:t>
      </w:r>
      <w:r>
        <w:rPr>
          <w:rFonts w:ascii="Arial" w:cs="Arial" w:eastAsia="Arial" w:hAnsi="Arial"/>
          <w:sz w:val="16"/>
          <w:szCs w:val="16"/>
          <w:u w:val="single" w:color="auto"/>
          <w:color w:val="auto"/>
        </w:rPr>
        <w:t>Basic Annual Rent</w:t>
      </w:r>
      <w:r>
        <w:rPr>
          <w:rFonts w:ascii="Arial" w:cs="Arial" w:eastAsia="Arial" w:hAnsi="Arial"/>
          <w:sz w:val="16"/>
          <w:szCs w:val="16"/>
          <w:color w:val="auto"/>
        </w:rPr>
        <w:t xml:space="preserve">”) for the Premises the sums shown for such periods in </w:t>
      </w:r>
      <w:r>
        <w:rPr>
          <w:rFonts w:ascii="Arial" w:cs="Arial" w:eastAsia="Arial" w:hAnsi="Arial"/>
          <w:sz w:val="16"/>
          <w:szCs w:val="16"/>
          <w:i w:val="1"/>
          <w:iCs w:val="1"/>
          <w:color w:val="auto"/>
        </w:rPr>
        <w:t>Item 5</w:t>
      </w:r>
      <w:r>
        <w:rPr>
          <w:rFonts w:ascii="Arial" w:cs="Arial" w:eastAsia="Arial" w:hAnsi="Arial"/>
          <w:sz w:val="16"/>
          <w:szCs w:val="16"/>
          <w:color w:val="auto"/>
        </w:rPr>
        <w:t xml:space="preserve"> of the Basic Lease Provisions. For purposes of this Lease, a “</w:t>
      </w:r>
      <w:r>
        <w:rPr>
          <w:rFonts w:ascii="Arial" w:cs="Arial" w:eastAsia="Arial" w:hAnsi="Arial"/>
          <w:sz w:val="16"/>
          <w:szCs w:val="16"/>
          <w:u w:val="single" w:color="auto"/>
          <w:color w:val="auto"/>
        </w:rPr>
        <w:t>Lease Year</w:t>
      </w:r>
      <w:r>
        <w:rPr>
          <w:rFonts w:ascii="Arial" w:cs="Arial" w:eastAsia="Arial" w:hAnsi="Arial"/>
          <w:sz w:val="16"/>
          <w:szCs w:val="16"/>
          <w:color w:val="auto"/>
        </w:rPr>
        <w:t>” shall be each twelve</w:t>
      </w:r>
    </w:p>
    <w:p>
      <w:pPr>
        <w:ind w:left="4" w:right="220"/>
        <w:spacing w:after="0" w:line="290" w:lineRule="auto"/>
        <w:rPr>
          <w:rFonts w:ascii="Arial" w:cs="Arial" w:eastAsia="Arial" w:hAnsi="Arial"/>
          <w:sz w:val="16"/>
          <w:szCs w:val="16"/>
          <w:color w:val="auto"/>
        </w:rPr>
      </w:pPr>
      <w:r>
        <w:rPr>
          <w:rFonts w:ascii="Arial" w:cs="Arial" w:eastAsia="Arial" w:hAnsi="Arial"/>
          <w:sz w:val="17"/>
          <w:szCs w:val="17"/>
          <w:color w:val="auto"/>
        </w:rPr>
        <w:t>(12) calendar month period commencing on the Commencement Date (or anniversary thereof); provided, however, that if the Commencement Date is not the first of a month, then the first Lease Year shall also include the partial month in which the Commencement Date occurred.</w:t>
      </w:r>
    </w:p>
    <w:p>
      <w:pPr>
        <w:spacing w:after="0" w:line="161" w:lineRule="exact"/>
        <w:rPr>
          <w:rFonts w:ascii="Arial" w:cs="Arial" w:eastAsia="Arial" w:hAnsi="Arial"/>
          <w:sz w:val="16"/>
          <w:szCs w:val="16"/>
          <w:color w:val="auto"/>
        </w:rPr>
      </w:pPr>
    </w:p>
    <w:p>
      <w:pPr>
        <w:ind w:left="4" w:right="60" w:firstLine="436"/>
        <w:spacing w:after="0" w:line="270" w:lineRule="auto"/>
        <w:tabs>
          <w:tab w:leader="none" w:pos="834" w:val="left"/>
        </w:tabs>
        <w:numPr>
          <w:ilvl w:val="1"/>
          <w:numId w:val="339"/>
        </w:numPr>
        <w:rPr>
          <w:rFonts w:ascii="Arial" w:cs="Arial" w:eastAsia="Arial" w:hAnsi="Arial"/>
          <w:sz w:val="17"/>
          <w:szCs w:val="17"/>
          <w:color w:val="auto"/>
        </w:rPr>
      </w:pPr>
      <w:r>
        <w:rPr>
          <w:rFonts w:ascii="Arial" w:cs="Arial" w:eastAsia="Arial" w:hAnsi="Arial"/>
          <w:sz w:val="17"/>
          <w:szCs w:val="17"/>
          <w:color w:val="auto"/>
        </w:rPr>
        <w:t>Except as expressly provided to the contrary here in, Basic Annual Rent shall be payable in consecutive monthly installments, in advance without demand, deduction or offset commencing on the Commencement Date and continuing on the first day of each calendar month thereafter until the expiration of the Lease Term. The first full monthly installment of Basic Annual Rent shall be payable upon Tenant’s execution of this Lease. The obligation of Tenant to pay Rent and other sums to Landlord and the obligations of Landlord under this Lease are independent obligations. If the Commencement Date is a day other than the first day of a calendar month or the Lease Term expires on a day other than the last day of a calendar month, then the Rent for such partial month shall be calculated on a per diem basis. In the event Landlord delivers possession of the Premises to Tenant prior to the Commencement Date, Tenant agrees it shall be bound by and subject to all terms, covenants, conditions and obligations of this Lease during the period between the date possession is delivered and the Commencement Date other than the payment of Basic Annual Rent in the same manner as if delivery had occurred on the Commencement Date.</w:t>
      </w:r>
    </w:p>
    <w:p>
      <w:pPr>
        <w:spacing w:after="0" w:line="180" w:lineRule="exact"/>
        <w:rPr>
          <w:rFonts w:ascii="Arial" w:cs="Arial" w:eastAsia="Arial" w:hAnsi="Arial"/>
          <w:sz w:val="17"/>
          <w:szCs w:val="17"/>
          <w:color w:val="auto"/>
        </w:rPr>
      </w:pPr>
    </w:p>
    <w:p>
      <w:pPr>
        <w:ind w:left="4" w:firstLine="436"/>
        <w:spacing w:after="0" w:line="291" w:lineRule="auto"/>
        <w:tabs>
          <w:tab w:leader="none" w:pos="824" w:val="left"/>
        </w:tabs>
        <w:numPr>
          <w:ilvl w:val="1"/>
          <w:numId w:val="339"/>
        </w:numPr>
        <w:rPr>
          <w:rFonts w:ascii="Arial" w:cs="Arial" w:eastAsia="Arial" w:hAnsi="Arial"/>
          <w:sz w:val="16"/>
          <w:szCs w:val="16"/>
          <w:color w:val="auto"/>
        </w:rPr>
      </w:pPr>
      <w:r>
        <w:rPr>
          <w:rFonts w:ascii="Arial" w:cs="Arial" w:eastAsia="Arial" w:hAnsi="Arial"/>
          <w:sz w:val="16"/>
          <w:szCs w:val="16"/>
          <w:color w:val="auto"/>
        </w:rPr>
        <w:t>Simultaneously with the execution of this Lease, Tenant shall deliver to Landlord a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in form and substance as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or otherwise satisfactory to Landlord in its reasonable discretion, from a bank acceptable to Landlord in Landlord s reasonable determination in the initial amount of the Security Deposit, as set forth in </w:t>
      </w:r>
      <w:r>
        <w:rPr>
          <w:rFonts w:ascii="Arial" w:cs="Arial" w:eastAsia="Arial" w:hAnsi="Arial"/>
          <w:sz w:val="16"/>
          <w:szCs w:val="16"/>
          <w:i w:val="1"/>
          <w:iCs w:val="1"/>
          <w:u w:val="single" w:color="auto"/>
          <w:color w:val="auto"/>
        </w:rPr>
        <w:t>Item 7</w:t>
      </w:r>
      <w:r>
        <w:rPr>
          <w:rFonts w:ascii="Arial" w:cs="Arial" w:eastAsia="Arial" w:hAnsi="Arial"/>
          <w:sz w:val="16"/>
          <w:szCs w:val="16"/>
          <w:color w:val="auto"/>
        </w:rPr>
        <w:t xml:space="preserve"> of the Basic Lease Provisions as security for the performance of the provisions hereof by Tenant, if applicable. At a minimum the Letter of Credit shall provide for the following: (i) it shall terminate no sooner than thirty days following the actual expiration date of the Lease Term, or, if it shall terminate earlier the Letter of Credit shall provide that it will automatically renew or be replaced annually unless Landlord (the beneficiary thereof) is notified in writing by the issuer at least thirty (30) days prior to the expiry date that the Letter of Credit will not be renewed or replaced; and if Landlord is so notified of such non-renewal/non-replacement,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61" w:name="page362"/>
    <w:bookmarkEnd w:id="361"/>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Landlord (the beneficiary thereof) shall have the right to draw the full amount of such Letter of Credit prior to such earlier expiry date and the amounts so drawn shall be held by Landlord as a Security Deposit, and applied and disbursed in accordance with the terms of the next following paragraph; (b) it shall be irrevocable and (c) it shall be transferable to any successor to Landlord’s interest under this Lease. If at any time during the Lease Term the bank or financial institution that issues the letter of credit is declared insolvent or is placed into receivership by the Federal Deposit Insurance Corporation or any other governmental or quasi-governmental institution, or if there is a material adverse change in the financial or business condition of the bank or financial institution from the date of the Lease as reasonably determined by Landlord, then following written notice from Landlord, Tenant shall have ten (10) business days to replace the Letter of Credit with a new letter of credit from a bank or financial institution acceptable to Landlord in Landlord’s reasonable discretion. If Tenant does not replace the Letter of Credit with a new letter of credit from a bank or financial institution acceptable to Landlord within such ten (10) business day period, then notwithstanding anything in the Lease to the contrary, Tenant shall be in default and Landlord shall have the right to draw upon the Letter of Credit for the full amount of the Letter of Credit and apply the proceeds thereof in accordance with the terms and conditions of this </w:t>
      </w:r>
      <w:r>
        <w:rPr>
          <w:rFonts w:ascii="Arial" w:cs="Arial" w:eastAsia="Arial" w:hAnsi="Arial"/>
          <w:sz w:val="17"/>
          <w:szCs w:val="17"/>
          <w:u w:val="single" w:color="auto"/>
          <w:color w:val="auto"/>
        </w:rPr>
        <w:t>Paragraph 2(c)</w:t>
      </w:r>
      <w:r>
        <w:rPr>
          <w:rFonts w:ascii="Arial" w:cs="Arial" w:eastAsia="Arial" w:hAnsi="Arial"/>
          <w:sz w:val="17"/>
          <w:szCs w:val="17"/>
          <w:color w:val="auto"/>
        </w:rPr>
        <w:t>.</w:t>
      </w:r>
    </w:p>
    <w:p>
      <w:pPr>
        <w:spacing w:after="0" w:line="182"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If Tenant defaults with respect to any provision of this Lease, including, without limitation the provisions relating to the payment of Rent or the cleaning of the Premises upon the termination of this Lease, or amounts which Landlord may be entitled to recover pursuant to the provisions of Section 1951.2 of the California Civil Code Landlord may draw down the Letter of Credit and use, apply or retain such portion of the proceeds from the Letter of Credit as may be necessary (i) for the payment of any Rent or any other sum in default, (ii) for the payment of any other amount which Landlord may spend or become obligated to spend by reason of Tenant s default hereunder or (iii) to compensate Landlord for any other loss or damage which Landlord may suffer by reason of Tenant’s default hereunder including, without limitation, costs and reasonable attorneys’ fees incurred by Landlord to recover possession of the Premises following a default by Tenant hereunder. The use or application of the proceed from the Letter of Credit or any portion thereof shall not prevent Landlord from exercising any other right or remedy provided hereunder or under any Law and shall not be construed as liquidated damages. In the event Landlord draws down the Letter of Credit pursuant to the terms of this Lease, Landlord shall riot be required to keep the proceeds of the Letter of Credit separate from its general funds and Tenant shall not be entitled to interest thereon.</w:t>
      </w:r>
    </w:p>
    <w:p>
      <w:pPr>
        <w:spacing w:after="0" w:line="168"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If any portion of the Letter of Credit is so used or applied Tenant shall upon demand therefor, deposit cash with Landlord in an amount sufficient to restore the Security Deposit within five (5) business days to the appropriate amount as determined hereunder. If Tenant shall fully perform every provision of this Lease to be performed by it, the Security Deposit or any balance thereof shall be returned to Tenant (or, at Landlord’s option, to the last assignee of Tenant’s interest hereunder) within thirty (30) days following the expiration or sooner termination of this Lease; provided, however, that Landlord may retain the Security Deposit until such time as any amount due from Tenant in accordance with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below has been determined and paid to Landlord in full.</w:t>
      </w:r>
    </w:p>
    <w:p>
      <w:pPr>
        <w:spacing w:after="0" w:line="192" w:lineRule="exact"/>
        <w:rPr>
          <w:sz w:val="20"/>
          <w:szCs w:val="20"/>
          <w:color w:val="auto"/>
        </w:rPr>
      </w:pPr>
    </w:p>
    <w:p>
      <w:pPr>
        <w:ind w:left="4" w:right="20" w:firstLine="436"/>
        <w:spacing w:after="0" w:line="254" w:lineRule="auto"/>
        <w:tabs>
          <w:tab w:leader="none" w:pos="831" w:val="left"/>
        </w:tabs>
        <w:numPr>
          <w:ilvl w:val="1"/>
          <w:numId w:val="340"/>
        </w:numPr>
        <w:rPr>
          <w:rFonts w:ascii="Arial" w:cs="Arial" w:eastAsia="Arial" w:hAnsi="Arial"/>
          <w:sz w:val="18"/>
          <w:szCs w:val="18"/>
          <w:color w:val="auto"/>
        </w:rPr>
      </w:pPr>
      <w:r>
        <w:rPr>
          <w:rFonts w:ascii="Arial" w:cs="Arial" w:eastAsia="Arial" w:hAnsi="Arial"/>
          <w:sz w:val="18"/>
          <w:szCs w:val="18"/>
          <w:color w:val="auto"/>
        </w:rPr>
        <w:t xml:space="preserve">The parties agree that for all purposes hereunder the Premises shall be stipulated to contain the number of square feet of Rentable Area described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Upon the request of Landlord Landlord’s space planner shall verify the exact number of square feet of Rentable Area in the Premises. In the event there is a variation of three percent (3%) or more from the number of square feet specified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Landlord and Tenant shall execute an amendment to this Lease for the purpose of making appropriate adjustments to the Basic Annual Rent, the Security Deposit, Tenant’s Proportionate Share and such other provisions hereof as shall be appropriate under the circumstances. Landlord calculated the Rentable Area described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using the definition of Rentable Area contained in </w:t>
      </w:r>
      <w:r>
        <w:rPr>
          <w:rFonts w:ascii="Arial" w:cs="Arial" w:eastAsia="Arial" w:hAnsi="Arial"/>
          <w:sz w:val="18"/>
          <w:szCs w:val="18"/>
          <w:i w:val="1"/>
          <w:iCs w:val="1"/>
          <w:u w:val="single" w:color="auto"/>
          <w:color w:val="auto"/>
        </w:rPr>
        <w:t>Exhibit A-3</w:t>
      </w:r>
      <w:r>
        <w:rPr>
          <w:rFonts w:ascii="Arial" w:cs="Arial" w:eastAsia="Arial" w:hAnsi="Arial"/>
          <w:sz w:val="18"/>
          <w:szCs w:val="18"/>
          <w:color w:val="auto"/>
        </w:rPr>
        <w:t xml:space="preserve"> of this Lease.</w:t>
      </w:r>
    </w:p>
    <w:p>
      <w:pPr>
        <w:spacing w:after="0" w:line="339" w:lineRule="exact"/>
        <w:rPr>
          <w:rFonts w:ascii="Arial" w:cs="Arial" w:eastAsia="Arial" w:hAnsi="Arial"/>
          <w:sz w:val="18"/>
          <w:szCs w:val="18"/>
          <w:color w:val="auto"/>
        </w:rPr>
      </w:pPr>
    </w:p>
    <w:p>
      <w:pPr>
        <w:ind w:left="424" w:hanging="424"/>
        <w:spacing w:after="0"/>
        <w:tabs>
          <w:tab w:leader="none" w:pos="42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p>
    <w:p>
      <w:pPr>
        <w:spacing w:after="0" w:line="121" w:lineRule="exact"/>
        <w:rPr>
          <w:rFonts w:ascii="Arial" w:cs="Arial" w:eastAsia="Arial" w:hAnsi="Arial"/>
          <w:sz w:val="18"/>
          <w:szCs w:val="18"/>
          <w:b w:val="1"/>
          <w:bCs w:val="1"/>
          <w:color w:val="auto"/>
        </w:rPr>
      </w:pPr>
    </w:p>
    <w:p>
      <w:pPr>
        <w:ind w:left="4" w:right="280" w:firstLine="436"/>
        <w:spacing w:after="0" w:line="263" w:lineRule="auto"/>
        <w:tabs>
          <w:tab w:leader="none" w:pos="82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Operating Costs (defined below) for the Project for any calendar year during the Lease Term exceed Base Operating Costs (defined below), Tenant shall pay to Landlord as additional rent (“</w:t>
      </w:r>
      <w:r>
        <w:rPr>
          <w:rFonts w:ascii="Arial" w:cs="Arial" w:eastAsia="Arial" w:hAnsi="Arial"/>
          <w:sz w:val="18"/>
          <w:szCs w:val="18"/>
          <w:u w:val="single" w:color="auto"/>
          <w:color w:val="auto"/>
        </w:rPr>
        <w:t>Additional Rent</w:t>
      </w:r>
      <w:r>
        <w:rPr>
          <w:rFonts w:ascii="Arial" w:cs="Arial" w:eastAsia="Arial" w:hAnsi="Arial"/>
          <w:sz w:val="18"/>
          <w:szCs w:val="18"/>
          <w:color w:val="auto"/>
        </w:rPr>
        <w:t>”) an amount equal to Tenant’s Proportionate Share (defined below) of such excess.</w:t>
      </w:r>
    </w:p>
    <w:p>
      <w:pPr>
        <w:spacing w:after="0" w:line="183" w:lineRule="exact"/>
        <w:rPr>
          <w:rFonts w:ascii="Arial" w:cs="Arial" w:eastAsia="Arial" w:hAnsi="Arial"/>
          <w:sz w:val="18"/>
          <w:szCs w:val="18"/>
          <w:color w:val="auto"/>
        </w:rPr>
      </w:pPr>
    </w:p>
    <w:p>
      <w:pPr>
        <w:ind w:left="4" w:right="100" w:firstLine="436"/>
        <w:spacing w:after="0" w:line="259" w:lineRule="auto"/>
        <w:tabs>
          <w:tab w:leader="none" w:pos="83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xml:space="preserve">” is, subject to the provisions of </w:t>
      </w:r>
      <w:r>
        <w:rPr>
          <w:rFonts w:ascii="Arial" w:cs="Arial" w:eastAsia="Arial" w:hAnsi="Arial"/>
          <w:sz w:val="18"/>
          <w:szCs w:val="18"/>
          <w:u w:val="single" w:color="auto"/>
          <w:color w:val="auto"/>
        </w:rPr>
        <w:t>Paragraph 18</w:t>
      </w:r>
      <w:r>
        <w:rPr>
          <w:rFonts w:ascii="Arial" w:cs="Arial" w:eastAsia="Arial" w:hAnsi="Arial"/>
          <w:sz w:val="18"/>
          <w:szCs w:val="18"/>
          <w:color w:val="auto"/>
        </w:rPr>
        <w:t xml:space="preserve">, the percentage number described in </w:t>
      </w:r>
      <w:r>
        <w:rPr>
          <w:rFonts w:ascii="Arial" w:cs="Arial" w:eastAsia="Arial" w:hAnsi="Arial"/>
          <w:sz w:val="18"/>
          <w:szCs w:val="18"/>
          <w:i w:val="1"/>
          <w:iCs w:val="1"/>
          <w:color w:val="auto"/>
        </w:rPr>
        <w:t>Item 4</w:t>
      </w:r>
      <w:r>
        <w:rPr>
          <w:rFonts w:ascii="Arial" w:cs="Arial" w:eastAsia="Arial" w:hAnsi="Arial"/>
          <w:sz w:val="18"/>
          <w:szCs w:val="18"/>
          <w:color w:val="auto"/>
        </w:rPr>
        <w:t xml:space="preserve"> of the Basic Lease Provisions. Tenant’s Proportionate Share represents, subject to the provisions of </w:t>
      </w:r>
      <w:r>
        <w:rPr>
          <w:rFonts w:ascii="Arial" w:cs="Arial" w:eastAsia="Arial" w:hAnsi="Arial"/>
          <w:sz w:val="18"/>
          <w:szCs w:val="18"/>
          <w:u w:val="single" w:color="auto"/>
          <w:color w:val="auto"/>
        </w:rPr>
        <w:t>Paragraph 18</w:t>
      </w:r>
      <w:r>
        <w:rPr>
          <w:rFonts w:ascii="Arial" w:cs="Arial" w:eastAsia="Arial" w:hAnsi="Arial"/>
          <w:sz w:val="18"/>
          <w:szCs w:val="18"/>
          <w:color w:val="auto"/>
        </w:rPr>
        <w:t>, a fraction, the numerator of which is the number of square feet of Rentable Area in the Premises and the denominator of which is the number of square feet of Rentable Area in the Building or the Project, as determined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62" w:name="page363"/>
    <w:bookmarkEnd w:id="36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Landlord pursuant to </w:t>
      </w:r>
      <w:r>
        <w:rPr>
          <w:rFonts w:ascii="Arial" w:cs="Arial" w:eastAsia="Arial" w:hAnsi="Arial"/>
          <w:sz w:val="18"/>
          <w:szCs w:val="18"/>
          <w:u w:val="single" w:color="auto"/>
          <w:color w:val="auto"/>
        </w:rPr>
        <w:t>Paragraph 18</w:t>
      </w:r>
      <w:r>
        <w:rPr>
          <w:rFonts w:ascii="Arial" w:cs="Arial" w:eastAsia="Arial" w:hAnsi="Arial"/>
          <w:sz w:val="18"/>
          <w:szCs w:val="18"/>
          <w:color w:val="auto"/>
        </w:rPr>
        <w:t xml:space="preserve">. Notwithstanding the foregoing to the contrary, subject to the terms of </w:t>
      </w:r>
      <w:r>
        <w:rPr>
          <w:rFonts w:ascii="Arial" w:cs="Arial" w:eastAsia="Arial" w:hAnsi="Arial"/>
          <w:sz w:val="18"/>
          <w:szCs w:val="18"/>
          <w:u w:val="single" w:color="auto"/>
          <w:color w:val="auto"/>
        </w:rPr>
        <w:t>Paragraph 1(d)</w:t>
      </w:r>
      <w:r>
        <w:rPr>
          <w:rFonts w:ascii="Arial" w:cs="Arial" w:eastAsia="Arial" w:hAnsi="Arial"/>
          <w:sz w:val="18"/>
          <w:szCs w:val="18"/>
          <w:color w:val="auto"/>
        </w:rPr>
        <w:t xml:space="preserve"> above, during the initial twelve (12) month period following the Commencement Date, the Additional Rent shall be abated for that portion of the Premises consisting of 8,819 square feet of Rentable Area (</w:t>
      </w:r>
      <w:r>
        <w:rPr>
          <w:rFonts w:ascii="Arial" w:cs="Arial" w:eastAsia="Arial" w:hAnsi="Arial"/>
          <w:sz w:val="18"/>
          <w:szCs w:val="18"/>
          <w:i w:val="1"/>
          <w:iCs w:val="1"/>
          <w:color w:val="auto"/>
        </w:rPr>
        <w:t>i.e.</w:t>
      </w:r>
      <w:r>
        <w:rPr>
          <w:rFonts w:ascii="Arial" w:cs="Arial" w:eastAsia="Arial" w:hAnsi="Arial"/>
          <w:sz w:val="18"/>
          <w:szCs w:val="18"/>
          <w:color w:val="auto"/>
        </w:rPr>
        <w:t xml:space="preserve">, being the same portion that the Basic Annual Rent is abated during this period as set forth in </w:t>
      </w:r>
      <w:r>
        <w:rPr>
          <w:rFonts w:ascii="Arial" w:cs="Arial" w:eastAsia="Arial" w:hAnsi="Arial"/>
          <w:sz w:val="18"/>
          <w:szCs w:val="18"/>
          <w:i w:val="1"/>
          <w:iCs w:val="1"/>
          <w:color w:val="auto"/>
        </w:rPr>
        <w:t>Item 5</w:t>
      </w:r>
      <w:r>
        <w:rPr>
          <w:rFonts w:ascii="Arial" w:cs="Arial" w:eastAsia="Arial" w:hAnsi="Arial"/>
          <w:sz w:val="18"/>
          <w:szCs w:val="18"/>
          <w:color w:val="auto"/>
        </w:rPr>
        <w:t xml:space="preserve"> of the Basic Lease Provisions), so that for purposes of calculating the Additional Rent during this Period (i) the Tenant’s Proportionate Share of the Building shall be amended to be 6.2901% (8,820 rsf / 140,220 rsf) and (ii) the Tenant’s Proportionate Share of the Project shall be amended to be 2.1196% (8,820 rsf / 416,126 rsf).</w:t>
      </w:r>
    </w:p>
    <w:p>
      <w:pPr>
        <w:spacing w:after="0" w:line="192" w:lineRule="exact"/>
        <w:rPr>
          <w:sz w:val="20"/>
          <w:szCs w:val="20"/>
          <w:color w:val="auto"/>
        </w:rPr>
      </w:pPr>
    </w:p>
    <w:p>
      <w:pPr>
        <w:ind w:right="60" w:firstLine="436"/>
        <w:spacing w:after="0" w:line="277" w:lineRule="auto"/>
        <w:tabs>
          <w:tab w:leader="none" w:pos="8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Operating Costs</w:t>
      </w:r>
      <w:r>
        <w:rPr>
          <w:rFonts w:ascii="Arial" w:cs="Arial" w:eastAsia="Arial" w:hAnsi="Arial"/>
          <w:sz w:val="18"/>
          <w:szCs w:val="18"/>
          <w:color w:val="auto"/>
        </w:rPr>
        <w:t xml:space="preserve">” means all Operating Costs incurred or payable by Landlord during the calendar year specified as Tenant s Base Year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of the Basic Lease Provisions.</w:t>
      </w:r>
    </w:p>
    <w:p>
      <w:pPr>
        <w:spacing w:after="0" w:line="170" w:lineRule="exact"/>
        <w:rPr>
          <w:rFonts w:ascii="Arial" w:cs="Arial" w:eastAsia="Arial" w:hAnsi="Arial"/>
          <w:sz w:val="18"/>
          <w:szCs w:val="18"/>
          <w:color w:val="auto"/>
        </w:rPr>
      </w:pPr>
    </w:p>
    <w:p>
      <w:pPr>
        <w:jc w:val="both"/>
        <w:ind w:right="240" w:firstLine="436"/>
        <w:spacing w:after="0" w:line="342" w:lineRule="auto"/>
        <w:tabs>
          <w:tab w:leader="none" w:pos="83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Costs</w:t>
      </w:r>
      <w:r>
        <w:rPr>
          <w:rFonts w:ascii="Arial" w:cs="Arial" w:eastAsia="Arial" w:hAnsi="Arial"/>
          <w:sz w:val="16"/>
          <w:szCs w:val="16"/>
          <w:color w:val="auto"/>
        </w:rPr>
        <w:t>” means all costs, expenses and obligations incurred or payable by Landlord in connection with the operation ownership, management, repair or maintenance of the Building and the Project during or allocable to the Lease Term including without limitation, the following:</w:t>
      </w:r>
    </w:p>
    <w:p>
      <w:pPr>
        <w:spacing w:after="0" w:line="15" w:lineRule="exact"/>
        <w:rPr>
          <w:rFonts w:ascii="Arial" w:cs="Arial" w:eastAsia="Arial" w:hAnsi="Arial"/>
          <w:sz w:val="16"/>
          <w:szCs w:val="16"/>
          <w:color w:val="auto"/>
        </w:rPr>
      </w:pPr>
    </w:p>
    <w:p>
      <w:pPr>
        <w:ind w:left="440" w:right="20" w:firstLine="419"/>
        <w:spacing w:after="0" w:line="273" w:lineRule="auto"/>
        <w:tabs>
          <w:tab w:leader="none" w:pos="1203" w:val="left"/>
        </w:tabs>
        <w:numPr>
          <w:ilvl w:val="1"/>
          <w:numId w:val="342"/>
        </w:numPr>
        <w:rPr>
          <w:rFonts w:ascii="Arial" w:cs="Arial" w:eastAsia="Arial" w:hAnsi="Arial"/>
          <w:sz w:val="17"/>
          <w:szCs w:val="17"/>
          <w:color w:val="auto"/>
        </w:rPr>
      </w:pPr>
      <w:r>
        <w:rPr>
          <w:rFonts w:ascii="Arial" w:cs="Arial" w:eastAsia="Arial" w:hAnsi="Arial"/>
          <w:sz w:val="17"/>
          <w:szCs w:val="17"/>
          <w:color w:val="auto"/>
        </w:rPr>
        <w:t>Any form of assessment, license fee, license tax, business license fee, commercial rental tax, levy, charge, improvement bond tax, water and sewer rents and charges, utilities and communications taxes and charges or similar or dissimilar imposition imposed by any authority having the direct power to tax, including any city county, state or federal government or any school agricultural lighting, drainage or other improvement or special assessment district thereof or any other governmental charge, general and special, ordinary and extraordinary, foreseen and unforeseen which may be assessed against any legal or equitable interest of Landlord in the Premises, Building, Common Areas or Project (collectively, (“</w:t>
      </w:r>
      <w:r>
        <w:rPr>
          <w:rFonts w:ascii="Arial" w:cs="Arial" w:eastAsia="Arial" w:hAnsi="Arial"/>
          <w:sz w:val="17"/>
          <w:szCs w:val="17"/>
          <w:u w:val="single" w:color="auto"/>
          <w:color w:val="auto"/>
        </w:rPr>
        <w:t>Real Estate Taxes</w:t>
      </w:r>
      <w:r>
        <w:rPr>
          <w:rFonts w:ascii="Arial" w:cs="Arial" w:eastAsia="Arial" w:hAnsi="Arial"/>
          <w:sz w:val="17"/>
          <w:szCs w:val="17"/>
          <w:color w:val="auto"/>
        </w:rPr>
        <w:t>”). Real Estate Taxes shall also include, without limitation:</w:t>
      </w:r>
    </w:p>
    <w:p>
      <w:pPr>
        <w:spacing w:after="0" w:line="69" w:lineRule="exact"/>
        <w:rPr>
          <w:rFonts w:ascii="Arial" w:cs="Arial" w:eastAsia="Arial" w:hAnsi="Arial"/>
          <w:sz w:val="17"/>
          <w:szCs w:val="17"/>
          <w:color w:val="auto"/>
        </w:rPr>
      </w:pPr>
    </w:p>
    <w:p>
      <w:pPr>
        <w:ind w:left="1720" w:hanging="438"/>
        <w:spacing w:after="0"/>
        <w:tabs>
          <w:tab w:leader="none" w:pos="1720" w:val="left"/>
        </w:tabs>
        <w:numPr>
          <w:ilvl w:val="2"/>
          <w:numId w:val="342"/>
        </w:numPr>
        <w:rPr>
          <w:rFonts w:ascii="Arial" w:cs="Arial" w:eastAsia="Arial" w:hAnsi="Arial"/>
          <w:sz w:val="16"/>
          <w:szCs w:val="16"/>
          <w:color w:val="auto"/>
        </w:rPr>
      </w:pPr>
      <w:r>
        <w:rPr>
          <w:rFonts w:ascii="Arial" w:cs="Arial" w:eastAsia="Arial" w:hAnsi="Arial"/>
          <w:sz w:val="16"/>
          <w:szCs w:val="16"/>
          <w:color w:val="auto"/>
        </w:rPr>
        <w:t>any tax on Landlord’s “right” to rent or “right” to other income from the Premises or as against Landlord’s business of leasing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Premises;</w:t>
      </w:r>
    </w:p>
    <w:p>
      <w:pPr>
        <w:spacing w:after="0" w:line="102" w:lineRule="exact"/>
        <w:rPr>
          <w:rFonts w:ascii="Arial" w:cs="Arial" w:eastAsia="Arial" w:hAnsi="Arial"/>
          <w:sz w:val="16"/>
          <w:szCs w:val="16"/>
          <w:color w:val="auto"/>
        </w:rPr>
      </w:pPr>
    </w:p>
    <w:p>
      <w:pPr>
        <w:ind w:left="440" w:firstLine="842"/>
        <w:spacing w:after="0" w:line="293" w:lineRule="auto"/>
        <w:tabs>
          <w:tab w:leader="none" w:pos="1706" w:val="left"/>
        </w:tabs>
        <w:numPr>
          <w:ilvl w:val="2"/>
          <w:numId w:val="342"/>
        </w:numPr>
        <w:rPr>
          <w:rFonts w:ascii="Arial" w:cs="Arial" w:eastAsia="Arial" w:hAnsi="Arial"/>
          <w:sz w:val="16"/>
          <w:szCs w:val="16"/>
          <w:color w:val="auto"/>
        </w:rPr>
      </w:pPr>
      <w:r>
        <w:rPr>
          <w:rFonts w:ascii="Arial" w:cs="Arial" w:eastAsia="Arial" w:hAnsi="Arial"/>
          <w:sz w:val="16"/>
          <w:szCs w:val="16"/>
          <w:color w:val="auto"/>
        </w:rPr>
        <w:t>any assessment, tax, fee, levy or charge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It is the intention of Tenant and Landlord that all such new and increased assessments, taxes, fees, levies and charges be included within the definition of “Real Estate Taxes” for the purposes of this Lease;</w:t>
      </w:r>
    </w:p>
    <w:p>
      <w:pPr>
        <w:spacing w:after="0" w:line="56" w:lineRule="exact"/>
        <w:rPr>
          <w:rFonts w:ascii="Arial" w:cs="Arial" w:eastAsia="Arial" w:hAnsi="Arial"/>
          <w:sz w:val="16"/>
          <w:szCs w:val="16"/>
          <w:color w:val="auto"/>
        </w:rPr>
      </w:pPr>
    </w:p>
    <w:p>
      <w:pPr>
        <w:ind w:left="440" w:right="40" w:firstLine="842"/>
        <w:spacing w:after="0" w:line="257" w:lineRule="auto"/>
        <w:tabs>
          <w:tab w:leader="none" w:pos="170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any assessment, tax, fee, levy or charge allocable to or measured by the area of the Premises or other premises in the Building or the rent payable by Tenant hereunder or other tenants of the Project, including, without limitation any gross receipts tax or excise tax levied by state, city or federal government, or any political subdivision thereof, with respect to the receipt of such rent, or upon or with respect to the possession leasing operation management, maintenance, alteration, repair use or occupancy by Tenant of the Premises, or any portion thereof but not on Landlord’s other operations;</w:t>
      </w:r>
    </w:p>
    <w:p>
      <w:pPr>
        <w:spacing w:after="0" w:line="79" w:lineRule="exact"/>
        <w:rPr>
          <w:rFonts w:ascii="Arial" w:cs="Arial" w:eastAsia="Arial" w:hAnsi="Arial"/>
          <w:sz w:val="18"/>
          <w:szCs w:val="18"/>
          <w:color w:val="auto"/>
        </w:rPr>
      </w:pPr>
    </w:p>
    <w:p>
      <w:pPr>
        <w:ind w:left="440" w:right="60" w:firstLine="842"/>
        <w:spacing w:after="0" w:line="277" w:lineRule="auto"/>
        <w:tabs>
          <w:tab w:leader="none" w:pos="171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any assessment tax, fee, levy or charge upon this transaction or any document to which Tenant is a party, creating or transferring an interest or an estate in the Premises;</w:t>
      </w:r>
    </w:p>
    <w:p>
      <w:pPr>
        <w:spacing w:after="0" w:line="62" w:lineRule="exact"/>
        <w:rPr>
          <w:rFonts w:ascii="Arial" w:cs="Arial" w:eastAsia="Arial" w:hAnsi="Arial"/>
          <w:sz w:val="18"/>
          <w:szCs w:val="18"/>
          <w:color w:val="auto"/>
        </w:rPr>
      </w:pPr>
    </w:p>
    <w:p>
      <w:pPr>
        <w:ind w:left="440" w:right="760" w:firstLine="842"/>
        <w:spacing w:after="0" w:line="277" w:lineRule="auto"/>
        <w:tabs>
          <w:tab w:leader="none" w:pos="169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any assessment, tax, fee, levy or charge by any governmental agency related to any transportation plan, fund or system (including assessment districts) instituted within the geographic area of which the Project is a part; and/or</w:t>
      </w:r>
    </w:p>
    <w:p>
      <w:pPr>
        <w:spacing w:after="0" w:line="62" w:lineRule="exact"/>
        <w:rPr>
          <w:rFonts w:ascii="Arial" w:cs="Arial" w:eastAsia="Arial" w:hAnsi="Arial"/>
          <w:sz w:val="18"/>
          <w:szCs w:val="18"/>
          <w:color w:val="auto"/>
        </w:rPr>
      </w:pPr>
    </w:p>
    <w:p>
      <w:pPr>
        <w:ind w:left="440" w:right="340" w:firstLine="842"/>
        <w:spacing w:after="0" w:line="277" w:lineRule="auto"/>
        <w:tabs>
          <w:tab w:leader="none" w:pos="168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any costs and expenses (including, without limitation, reasonable attorneys’ fees) incurred in attempting to protest, reduce or minimize Real Estate Taxes.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Notwithstanding the foregoing, in no event shall Real Estate Taxes included in Operating Costs for any year subsequent to the Base Year be less than Real Estate Taxes included in Operating Costs for the Base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3" w:name="page364"/>
    <w:bookmarkEnd w:id="363"/>
    <w:p>
      <w:pPr>
        <w:ind w:firstLine="419"/>
        <w:spacing w:after="0" w:line="284" w:lineRule="auto"/>
        <w:tabs>
          <w:tab w:leader="none" w:pos="819"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cost of services and utilities (including taxes and other charges incurred in connection therewith) provided to the Premises, the Building or the Project, including, without limitation water, power gas, sewer waste disposal, telephone and cable television facilities fuel supplies, equipment tools, materials service contracts janitorial services, waste and refuse disposal window cleaning, maintenance and repair of sidewalks and Building exterior and services areas gardening and landscaping; insurance, including, but not limited to, public liability, fire property damage, wind, hurricane earthquake, terrorism, flood, rental loss rent continuation, boiler machinery, business interruption, contractual indemnification and All Risk Causes of Loss - Special Form coverage insurance for up to the full replacement cost of the Project and such other insurance as is customarily carried by operators of other similar class office buildings in the city in which the Project is located to the extent carried by Landlord in its discretion and the deductible portion of any insured loss otherwise covered by such insurance; the cost of compensation, including employment, welfare and social security taxes, paid vacation days disability, pension, medical and other fringe benefits of all persons (including independent contractors) who perform services for Landlord to the extent such services are connected with the operation, maintenance repair or replacement of the Project; any association assessments, costs dues and/or expenses relating to the Project, personal property taxes on and maintenance and repair of equipment and other personal property used in connection with the operation, maintenance or repair of the Project ; repair and replacement of window coverings provided by Landlord in the premises of tenant s in the Project; such reasonable auditors’ fees and legal fees as are incurred in connection with the operation, maintenance or repair of the Project; administration fees; a property management fee (which fee may be imputed if Landlord has internalized management or otherwise acts as its own property manager); the maintenance of any easements or ground leases benefiting the Project whether by Landlord or by an independent contractor; a reasonable allowance for depreciation of personal property used in the operation, maintenance or repair of the Project; license, permit and inspection fees; all costs and expenses required by any governmental or quasi-governmental authority or by applicable la w, for any reason, including capital improvements whether capitalized or not, and the cost of any capital improvements made to the Project by Landlord that improve life-safety systems or reduce operating expenses and the costs to replace items which Landlord would be obligated to maintain under the Lease (such costs to be amortized over such reasonable periods as Landlord shall reasonably determine together with interest thereon at the rate of ten percent (10%) per annum or such other rate as may have been paid by Landlord on funds borrowed for the purpose of funding such improvements); the cost of air conditioning, heating, ventilating, plumbing, elevator maintenance and repair (to include the replacement of components) and other mechanical and electrical systems repair and maintenance; sign maintenance; and Common Area (defined below) repair, resurfacing operation and maintenance; the reasonable cost for temporary lobby displays and events commensurate with the operation of a similar class building, and the cost of providing security services, if any, deemed appropriate by Landlord.</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items shall be excluded from Operating Costs:</w:t>
      </w:r>
    </w:p>
    <w:p>
      <w:pPr>
        <w:spacing w:after="0" w:line="117" w:lineRule="exact"/>
        <w:rPr>
          <w:sz w:val="20"/>
          <w:szCs w:val="20"/>
          <w:color w:val="auto"/>
        </w:rPr>
      </w:pPr>
    </w:p>
    <w:p>
      <w:pPr>
        <w:ind w:right="60" w:firstLine="842"/>
        <w:spacing w:after="0" w:line="263" w:lineRule="auto"/>
        <w:tabs>
          <w:tab w:leader="none" w:pos="127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leasing commissions, attorneys’ fees, costs and disbursements and other expenses incurred in connection with leasing, renovating or improving vacant space in the Project for tenants or prospective tenants of the Project (including, without limitation, the costs of the Tenant Improvements being constructed pursuant to Exhibit B attached hereto);</w:t>
      </w:r>
    </w:p>
    <w:p>
      <w:pPr>
        <w:spacing w:after="0" w:line="75" w:lineRule="exact"/>
        <w:rPr>
          <w:rFonts w:ascii="Arial" w:cs="Arial" w:eastAsia="Arial" w:hAnsi="Arial"/>
          <w:sz w:val="18"/>
          <w:szCs w:val="18"/>
          <w:color w:val="auto"/>
        </w:rPr>
      </w:pPr>
    </w:p>
    <w:p>
      <w:pPr>
        <w:ind w:right="320" w:firstLine="842"/>
        <w:spacing w:after="0" w:line="277" w:lineRule="auto"/>
        <w:tabs>
          <w:tab w:leader="none" w:pos="126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costs (including permit, license and inspection fees) incurred in renovating or otherwise improving or decorating, painting or redecorating space for tenants or vacant space;</w:t>
      </w:r>
    </w:p>
    <w:p>
      <w:pPr>
        <w:spacing w:after="0" w:line="62" w:lineRule="exact"/>
        <w:rPr>
          <w:rFonts w:ascii="Arial" w:cs="Arial" w:eastAsia="Arial" w:hAnsi="Arial"/>
          <w:sz w:val="18"/>
          <w:szCs w:val="18"/>
          <w:color w:val="auto"/>
        </w:rPr>
      </w:pPr>
    </w:p>
    <w:p>
      <w:pPr>
        <w:ind w:right="120" w:firstLine="842"/>
        <w:spacing w:after="0" w:line="342" w:lineRule="auto"/>
        <w:tabs>
          <w:tab w:leader="none" w:pos="126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Landlord’s costs of any services sold to tenants for which Landlord is entitled to be reimbursed by such tenants as an additional charge or rental over and above the Basic Annual Rent and Operating Costs payable under the lease with such tenant or other occupant;</w:t>
      </w:r>
    </w:p>
    <w:p>
      <w:pPr>
        <w:spacing w:after="0" w:line="15" w:lineRule="exact"/>
        <w:rPr>
          <w:rFonts w:ascii="Arial" w:cs="Arial" w:eastAsia="Arial" w:hAnsi="Arial"/>
          <w:sz w:val="16"/>
          <w:szCs w:val="16"/>
          <w:color w:val="auto"/>
        </w:rPr>
      </w:pPr>
    </w:p>
    <w:p>
      <w:pPr>
        <w:ind w:left="1280" w:hanging="438"/>
        <w:spacing w:after="0"/>
        <w:tabs>
          <w:tab w:leader="none" w:pos="12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depreciation or amortization of the Project except as expressly permitted herein;</w:t>
      </w:r>
    </w:p>
    <w:p>
      <w:pPr>
        <w:spacing w:after="0" w:line="117" w:lineRule="exact"/>
        <w:rPr>
          <w:rFonts w:ascii="Arial" w:cs="Arial" w:eastAsia="Arial" w:hAnsi="Arial"/>
          <w:sz w:val="18"/>
          <w:szCs w:val="18"/>
          <w:color w:val="auto"/>
        </w:rPr>
      </w:pPr>
    </w:p>
    <w:p>
      <w:pPr>
        <w:ind w:left="1260" w:hanging="418"/>
        <w:spacing w:after="0"/>
        <w:tabs>
          <w:tab w:leader="none" w:pos="12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costs incurred due to a violation of Law (defined below) by Landlord relating to the Project;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364" w:name="page365"/>
    <w:bookmarkEnd w:id="364"/>
    <w:p>
      <w:pPr>
        <w:ind w:left="1684" w:hanging="398"/>
        <w:spacing w:after="0"/>
        <w:tabs>
          <w:tab w:leader="none" w:pos="1684" w:val="left"/>
        </w:tabs>
        <w:numPr>
          <w:ilvl w:val="2"/>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on debt or amortization payments on any mortgages or deeds of trust or any other debt for borrowed money;</w:t>
      </w:r>
    </w:p>
    <w:p>
      <w:pPr>
        <w:spacing w:after="0" w:line="117" w:lineRule="exact"/>
        <w:rPr>
          <w:rFonts w:ascii="Arial" w:cs="Arial" w:eastAsia="Arial" w:hAnsi="Arial"/>
          <w:sz w:val="18"/>
          <w:szCs w:val="18"/>
          <w:color w:val="auto"/>
        </w:rPr>
      </w:pPr>
    </w:p>
    <w:p>
      <w:pPr>
        <w:ind w:left="1724" w:hanging="438"/>
        <w:spacing w:after="0"/>
        <w:tabs>
          <w:tab w:leader="none" w:pos="1724" w:val="left"/>
        </w:tabs>
        <w:numPr>
          <w:ilvl w:val="2"/>
          <w:numId w:val="345"/>
        </w:numPr>
        <w:rPr>
          <w:rFonts w:ascii="Arial" w:cs="Arial" w:eastAsia="Arial" w:hAnsi="Arial"/>
          <w:sz w:val="18"/>
          <w:szCs w:val="18"/>
          <w:color w:val="auto"/>
        </w:rPr>
      </w:pPr>
      <w:r>
        <w:rPr>
          <w:rFonts w:ascii="Arial" w:cs="Arial" w:eastAsia="Arial" w:hAnsi="Arial"/>
          <w:sz w:val="18"/>
          <w:szCs w:val="18"/>
          <w:color w:val="auto"/>
        </w:rPr>
        <w:t>all items and services for which Tenant or other tenants reimburse Landlord outside of Operating Costs;</w:t>
      </w:r>
    </w:p>
    <w:p>
      <w:pPr>
        <w:spacing w:after="0" w:line="117" w:lineRule="exact"/>
        <w:rPr>
          <w:rFonts w:ascii="Arial" w:cs="Arial" w:eastAsia="Arial" w:hAnsi="Arial"/>
          <w:sz w:val="18"/>
          <w:szCs w:val="18"/>
          <w:color w:val="auto"/>
        </w:rPr>
      </w:pPr>
    </w:p>
    <w:p>
      <w:pPr>
        <w:ind w:left="444" w:right="640" w:firstLine="842"/>
        <w:spacing w:after="0" w:line="277" w:lineRule="auto"/>
        <w:tabs>
          <w:tab w:leader="none" w:pos="1720" w:val="left"/>
        </w:tabs>
        <w:numPr>
          <w:ilvl w:val="2"/>
          <w:numId w:val="345"/>
        </w:numPr>
        <w:rPr>
          <w:rFonts w:ascii="Arial" w:cs="Arial" w:eastAsia="Arial" w:hAnsi="Arial"/>
          <w:sz w:val="18"/>
          <w:szCs w:val="18"/>
          <w:color w:val="auto"/>
        </w:rPr>
      </w:pPr>
      <w:r>
        <w:rPr>
          <w:rFonts w:ascii="Arial" w:cs="Arial" w:eastAsia="Arial" w:hAnsi="Arial"/>
          <w:sz w:val="18"/>
          <w:szCs w:val="18"/>
          <w:color w:val="auto"/>
        </w:rPr>
        <w:t>repairs or other work occasioned by fire, windstorm or other work paid for through insurance or condemnation proceeds (excluding any deductible); and</w:t>
      </w:r>
    </w:p>
    <w:p>
      <w:pPr>
        <w:spacing w:after="0" w:line="62" w:lineRule="exact"/>
        <w:rPr>
          <w:rFonts w:ascii="Arial" w:cs="Arial" w:eastAsia="Arial" w:hAnsi="Arial"/>
          <w:sz w:val="18"/>
          <w:szCs w:val="18"/>
          <w:color w:val="auto"/>
        </w:rPr>
      </w:pPr>
    </w:p>
    <w:p>
      <w:pPr>
        <w:ind w:left="1644" w:hanging="358"/>
        <w:spacing w:after="0"/>
        <w:tabs>
          <w:tab w:leader="none" w:pos="1644" w:val="left"/>
        </w:tabs>
        <w:numPr>
          <w:ilvl w:val="2"/>
          <w:numId w:val="345"/>
        </w:numPr>
        <w:rPr>
          <w:rFonts w:ascii="Arial" w:cs="Arial" w:eastAsia="Arial" w:hAnsi="Arial"/>
          <w:sz w:val="18"/>
          <w:szCs w:val="18"/>
          <w:color w:val="auto"/>
        </w:rPr>
      </w:pPr>
      <w:r>
        <w:rPr>
          <w:rFonts w:ascii="Arial" w:cs="Arial" w:eastAsia="Arial" w:hAnsi="Arial"/>
          <w:sz w:val="18"/>
          <w:szCs w:val="18"/>
          <w:color w:val="auto"/>
        </w:rPr>
        <w:t>repairs resulting from any defect in the original design or construction of the Project.</w:t>
      </w:r>
    </w:p>
    <w:p>
      <w:pPr>
        <w:spacing w:after="0" w:line="225" w:lineRule="exact"/>
        <w:rPr>
          <w:rFonts w:ascii="Arial" w:cs="Arial" w:eastAsia="Arial" w:hAnsi="Arial"/>
          <w:sz w:val="18"/>
          <w:szCs w:val="18"/>
          <w:color w:val="auto"/>
        </w:rPr>
      </w:pPr>
    </w:p>
    <w:p>
      <w:pPr>
        <w:ind w:left="4" w:firstLine="436"/>
        <w:spacing w:after="0" w:line="282" w:lineRule="auto"/>
        <w:tabs>
          <w:tab w:leader="none" w:pos="824"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Operating Costs for any calendar year during which actual occupancy of the Project is less than ninety-five percent (95%) of the Rentable Area of the Project shall be appropriately adjusted to reflect ninety-five percent (95%) occupancy of the existing Rentable Area of the Project during such period. In determining Operating Costs, if any services or utilities are separately charged to tenants of the Project or others Operating Costs shall be adjusted by Landlord to reflect the amount of expense which would have been incurred for such services or utilities on a full time basis for normal Project operating hours. Operating Costs for the Base Year (as defined in </w:t>
      </w:r>
      <w:r>
        <w:rPr>
          <w:rFonts w:ascii="Arial" w:cs="Arial" w:eastAsia="Arial" w:hAnsi="Arial"/>
          <w:sz w:val="16"/>
          <w:szCs w:val="16"/>
          <w:i w:val="1"/>
          <w:iCs w:val="1"/>
          <w:color w:val="auto"/>
        </w:rPr>
        <w:t>Item 8</w:t>
      </w:r>
      <w:r>
        <w:rPr>
          <w:rFonts w:ascii="Arial" w:cs="Arial" w:eastAsia="Arial" w:hAnsi="Arial"/>
          <w:sz w:val="16"/>
          <w:szCs w:val="16"/>
          <w:color w:val="auto"/>
        </w:rPr>
        <w:t xml:space="preserve"> of the Basic Lease Provisions) shall not include (i) Operating Costs attributable to temporary market-wide labor-rate increases and/or utility rate increases due to extraordinary circumstances, including, but not limited to Force Majeure, conservation surcharges boycotts, embargoes, or other shortages, (ii) one-time special assessments, charges costs or fees or extraordinary charges or costs incurred in the Base Year only, or (iii) amortization of any capital items including, but not limited to, capital improvements capital repairs and capital replacements (including such amortized costs where the actual improvement, repair or replacement was made in prior years). In no event shall the components of Operating Costs for any calendar year related to any utility costs (including, without limitation, electrical costs) be less than the components of Operating Costs related to such utility costs in the Base Year. In addition, if in any calendar year subsequent to the Base Year, the amount of Operating Costs decreases due to a reduction in the cost of providing utilities, security and/or other services to the Project for any reason, including without limitation, because of deregulation of the utility industry and/or reduction in rates achieved in contracts with utilities and/or service providers, then for purposes of the calendar year in which such decrease in Operating Costs occurred and all subsequent calendar years, the Operating Costs for the Base Year shall be decreased by an amount equal to such decrease. In the event (i) the Commencement Date shall be a date other than January 1, (ii) the date fixed for the expiration of the Lease Term shall be a date other than December 31, (iii) of any early termination of this Lease, or</w:t>
      </w:r>
    </w:p>
    <w:p>
      <w:pPr>
        <w:spacing w:after="0" w:line="11" w:lineRule="exact"/>
        <w:rPr>
          <w:rFonts w:ascii="Arial" w:cs="Arial" w:eastAsia="Arial" w:hAnsi="Arial"/>
          <w:sz w:val="16"/>
          <w:szCs w:val="16"/>
          <w:color w:val="auto"/>
        </w:rPr>
      </w:pPr>
    </w:p>
    <w:p>
      <w:pPr>
        <w:ind w:left="4" w:right="40" w:hanging="4"/>
        <w:spacing w:after="0" w:line="252" w:lineRule="auto"/>
        <w:tabs>
          <w:tab w:leader="none" w:pos="30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of any increase or decrease in the size of the Premises, then in each such event, an appropriate adjustment in the application of this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shall, subject to the provisions of this Lease, be made to reflect such event on a basis determined by Landlord to be consistent with the principles underlying the provisions of this </w:t>
      </w:r>
      <w:r>
        <w:rPr>
          <w:rFonts w:ascii="Arial" w:cs="Arial" w:eastAsia="Arial" w:hAnsi="Arial"/>
          <w:sz w:val="18"/>
          <w:szCs w:val="18"/>
          <w:u w:val="single" w:color="auto"/>
          <w:color w:val="auto"/>
        </w:rPr>
        <w:t>Paragraph 3</w:t>
      </w:r>
      <w:r>
        <w:rPr>
          <w:rFonts w:ascii="Arial" w:cs="Arial" w:eastAsia="Arial" w:hAnsi="Arial"/>
          <w:sz w:val="18"/>
          <w:szCs w:val="18"/>
          <w:color w:val="auto"/>
        </w:rPr>
        <w:t>. In addition Landlord shall have the right from time to time to equitably allocate and prorate some or all of the Operating Costs among different tenants and /or different buildings of the Project and/or on a building-by-building basis (the “</w:t>
      </w:r>
      <w:r>
        <w:rPr>
          <w:rFonts w:ascii="Arial" w:cs="Arial" w:eastAsia="Arial" w:hAnsi="Arial"/>
          <w:sz w:val="18"/>
          <w:szCs w:val="18"/>
          <w:u w:val="single" w:color="auto"/>
          <w:color w:val="auto"/>
        </w:rPr>
        <w:t>Cost Pools</w:t>
      </w:r>
      <w:r>
        <w:rPr>
          <w:rFonts w:ascii="Arial" w:cs="Arial" w:eastAsia="Arial" w:hAnsi="Arial"/>
          <w:sz w:val="18"/>
          <w:szCs w:val="18"/>
          <w:color w:val="auto"/>
        </w:rPr>
        <w:t>”), adjusting Tenant’s Proportionate Share as to each of the separately allocated costs based on the ratio of the Rentable Area of the Premises to the Rentable Area of all of the premises to which such costs are allocated. Such Cost Pools may include, without limitation, the office space tenants and retail space tenants of the buildings in the Project.</w:t>
      </w:r>
    </w:p>
    <w:p>
      <w:pPr>
        <w:spacing w:after="0" w:line="192" w:lineRule="exact"/>
        <w:rPr>
          <w:rFonts w:ascii="Arial" w:cs="Arial" w:eastAsia="Arial" w:hAnsi="Arial"/>
          <w:sz w:val="18"/>
          <w:szCs w:val="18"/>
          <w:color w:val="auto"/>
        </w:rPr>
      </w:pPr>
    </w:p>
    <w:p>
      <w:pPr>
        <w:ind w:left="4" w:firstLine="436"/>
        <w:spacing w:after="0" w:line="271" w:lineRule="auto"/>
        <w:tabs>
          <w:tab w:leader="none" w:pos="804" w:val="left"/>
        </w:tabs>
        <w:numPr>
          <w:ilvl w:val="1"/>
          <w:numId w:val="347"/>
        </w:numPr>
        <w:rPr>
          <w:rFonts w:ascii="Arial" w:cs="Arial" w:eastAsia="Arial" w:hAnsi="Arial"/>
          <w:sz w:val="17"/>
          <w:szCs w:val="17"/>
          <w:color w:val="auto"/>
        </w:rPr>
      </w:pPr>
      <w:r>
        <w:rPr>
          <w:rFonts w:ascii="Arial" w:cs="Arial" w:eastAsia="Arial" w:hAnsi="Arial"/>
          <w:sz w:val="17"/>
          <w:szCs w:val="17"/>
          <w:color w:val="auto"/>
        </w:rPr>
        <w:t xml:space="preserve">Prior to the commencement of each calendar year of the Lease Term following the Commencement Date Landlord shall have the right to give to Tenant a written estimate of Tenant’s Proportionate Share of the projected excess if any, of the Operating Costs for the Project for the ensuing year over the Base Operating Costs. Tenant shall pay such estimated amount to Landlord in equal monthly installments in advance on the first day of each month. Within a reasonable period after the end of each calendar year Landlord shall furnish Tenant a statement indicating in reasonable detail the excess of Operating Costs over Base Operating Costs for such period, and the parties shall, within thirty (30) days thereafter make any payment or allowance necessary to adjust Tenant’s estimated payments to Tenant’s actual share of such excess as indicated by such annual statement. Any payment due Landlord shall be payable by Tenant on demand from Landlord. Any amount due Tenant shall be credited against installments next becoming due under this </w:t>
      </w:r>
      <w:r>
        <w:rPr>
          <w:rFonts w:ascii="Arial" w:cs="Arial" w:eastAsia="Arial" w:hAnsi="Arial"/>
          <w:sz w:val="17"/>
          <w:szCs w:val="17"/>
          <w:u w:val="single" w:color="auto"/>
          <w:color w:val="auto"/>
        </w:rPr>
        <w:t>Paragraph 3(f)</w:t>
      </w:r>
      <w:r>
        <w:rPr>
          <w:rFonts w:ascii="Arial" w:cs="Arial" w:eastAsia="Arial" w:hAnsi="Arial"/>
          <w:sz w:val="17"/>
          <w:szCs w:val="17"/>
          <w:color w:val="auto"/>
        </w:rPr>
        <w:t xml:space="preserve"> or refunded to Tenant if requested by Tenant.</w:t>
      </w:r>
    </w:p>
    <w:p>
      <w:pPr>
        <w:spacing w:after="0" w:line="178" w:lineRule="exact"/>
        <w:rPr>
          <w:rFonts w:ascii="Arial" w:cs="Arial" w:eastAsia="Arial" w:hAnsi="Arial"/>
          <w:sz w:val="17"/>
          <w:szCs w:val="17"/>
          <w:color w:val="auto"/>
        </w:rPr>
      </w:pPr>
    </w:p>
    <w:p>
      <w:pPr>
        <w:ind w:left="4" w:right="260" w:firstLine="436"/>
        <w:spacing w:after="0" w:line="259" w:lineRule="auto"/>
        <w:tabs>
          <w:tab w:leader="none" w:pos="82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All capital levies or other taxes assessed or imposed on Landlord upon the rents payable to Landlord under this Lease and any excise, transaction, sales, or privilege tax, assessment levy or charge measured by or based, in whole or in part, upon such rents from the Premises and/or the Project or any portion thereof shall be paid by Tenant to Landlord monthly in estimated installments or upon demand at the option of Landlord, as additional rent to be allocated to monthly Operating Costs.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65" w:name="page366"/>
    <w:bookmarkEnd w:id="365"/>
    <w:p>
      <w:pPr>
        <w:ind w:firstLine="436"/>
        <w:spacing w:after="0" w:line="291" w:lineRule="auto"/>
        <w:tabs>
          <w:tab w:leader="none" w:pos="827" w:val="left"/>
        </w:tabs>
        <w:numPr>
          <w:ilvl w:val="0"/>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pay ten (10) days before delinquency all taxes and assessments (i) levied against any personal property, tenant improvements or trade fixtures of Tenant in or about the Premises, (ii) based upon this Lease or any document to which Tenant is a party creating or transferring an interest in this Lease or an estate in all or any portion of the Premises (other than Landlord’s income taxes), and (iii) levied for any business, professional or occupational license fees. If any such taxes or assessments are levied against Landlord or Landlord’s property or if the assessed value of the Project is increased by the inclusion therein of a value placed upon such personal property or trade fixtures, Tenant shall upon demand reimburse Landlord for the taxes and assessments so levied against Landlord, or such taxes, levies and assessments resulting from such increase in assessed value. To the extent that any such taxes are not separately assessed or billed to Tenant, Tenant shall pay the amount thereof as invoiced to Tenant by Landlord.</w:t>
      </w:r>
    </w:p>
    <w:p>
      <w:pPr>
        <w:spacing w:after="0" w:line="166" w:lineRule="exact"/>
        <w:rPr>
          <w:rFonts w:ascii="Arial" w:cs="Arial" w:eastAsia="Arial" w:hAnsi="Arial"/>
          <w:sz w:val="16"/>
          <w:szCs w:val="16"/>
          <w:color w:val="auto"/>
        </w:rPr>
      </w:pPr>
    </w:p>
    <w:p>
      <w:pPr>
        <w:ind w:right="40" w:firstLine="436"/>
        <w:spacing w:after="0" w:line="284" w:lineRule="auto"/>
        <w:tabs>
          <w:tab w:leader="none" w:pos="78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Any delay or failure of Landlord in (i) delivering any estimate or statement described in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or (ii) computing or billing Tenants Proportionate Share of excess Operating Costs shall not constitute a waiver of its right to require an increase in Rent, or in any way impair, the continuing obligations of Tenant under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lo the event of any dispute as to any Additional Rent due under this </w:t>
      </w:r>
      <w:r>
        <w:rPr>
          <w:rFonts w:ascii="Arial" w:cs="Arial" w:eastAsia="Arial" w:hAnsi="Arial"/>
          <w:sz w:val="16"/>
          <w:szCs w:val="16"/>
          <w:u w:val="single" w:color="auto"/>
          <w:color w:val="auto"/>
        </w:rPr>
        <w:t>Paragraph 3</w:t>
      </w:r>
      <w:r>
        <w:rPr>
          <w:rFonts w:ascii="Arial" w:cs="Arial" w:eastAsia="Arial" w:hAnsi="Arial"/>
          <w:sz w:val="16"/>
          <w:szCs w:val="16"/>
          <w:color w:val="auto"/>
        </w:rPr>
        <w:t>, Tenant an officer of Tenant or Tenant’s certified public accountant (but (a) in no event shall Tenant hire or employ an accounting firm of accountants or any person to audit Landlord a set forth under this Paragraph who is compensated or paid for such audit on a contingency basis and (b) in the event Tenant hires or employs an independent party to perform such audit, Tenant shall provide Landlord with a copy of the engagement letter) shall have the right after reasonable notice and at reasonable times to inspect Landlords accounting records at Landlord’s accounting office. If after such inspection, Tenant still disputes such Additional Rent, upon Tenant’s written request there for, a certification as to the proper amount of Operating Costs and the amount due to or payable by Tenant shall be made by an independent certified public accountant mutually agreed to by Landlord and Tenant. If Landlord and Tenant cannot mutually agree to an independent certified public accountant, then the parties agree that Landlord shall choose an independent certified public accountant to conduct the certification as to the proper amount of Tenant’s Proportionate Share of Operating Costs due by Tenant for the period in question; provided, however, such certified public accountant shall not be the accountant who conducted Landlord’s initial calculation of Operating Costs to which Tenant is now objecting or an accountant regularly employed by Land lo rd. Such certification shall be final and conclusive as to all parties. If the certification reflects that Tenant has overpaid Tenant s Proportionate Share of Operating Costs for the period in question, then Landlord shall credit such excess to Tenant s next payment of Operating Costs or, at the request of Tenant, promptly refund such excess to Tenant and conversely, if Tenant has underpaid Tenants Proportionate Share of Operating Costs, Tenant shall promptly pay such additional Operating Costs to Landlord. Tenant agrees to pay the cost of such certification and the investigation with respect thereto; provided, however if it is determined that Landlord’s original statement was in error in Landlord’s favor by more than five percent (5%), then Landlord agrees to reimburse Tenant up to a maximum of $3,500 towards Tenant’s actual out-of-pocket costs incurred in connection with such certification and investigation. Tenant waives the right to dispute any matter relating to the calculation of Operating Costs or Additional Rent under this Paragraph 3 if any claim or dispute is not asserted in writing to Landlord within one hundred eighty (180) days after delivery to Tenant of the original billing statement with respect thereto. Notwithstanding the foregoing, Tenant shall maintain strict confidentiality of all of Landlord’s accounting records and shall not disclose the same to any other person or entity except for Tenant’s professional advisory representatives (such as Tenant’s employees, accountants advisor attorneys and consultants) with a need to know such accounting information, who agree to similarly maintain the confidentiality of such financial information.</w:t>
      </w:r>
    </w:p>
    <w:p>
      <w:pPr>
        <w:spacing w:after="0" w:line="174" w:lineRule="exact"/>
        <w:rPr>
          <w:rFonts w:ascii="Arial" w:cs="Arial" w:eastAsia="Arial" w:hAnsi="Arial"/>
          <w:sz w:val="16"/>
          <w:szCs w:val="16"/>
          <w:color w:val="auto"/>
        </w:rPr>
      </w:pPr>
    </w:p>
    <w:p>
      <w:pPr>
        <w:jc w:val="both"/>
        <w:ind w:right="20" w:firstLine="436"/>
        <w:spacing w:after="0" w:line="286" w:lineRule="auto"/>
        <w:tabs>
          <w:tab w:leader="none" w:pos="79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Even though the Lease Term has expired and Tenant has vacated the Premises when the final determination is made of Tenant’s Proportionate Share of excess Operating Costs for the year in which this Lease terminates Tenant shall immediately pay any increase due over the estimated Operating Costs paid, and conversely any overpayment made by Tenant shall be promptly refunded to Tenant by Landlord.</w:t>
      </w:r>
    </w:p>
    <w:p>
      <w:pPr>
        <w:spacing w:after="0" w:line="165" w:lineRule="exact"/>
        <w:rPr>
          <w:rFonts w:ascii="Arial" w:cs="Arial" w:eastAsia="Arial" w:hAnsi="Arial"/>
          <w:sz w:val="17"/>
          <w:szCs w:val="17"/>
          <w:color w:val="auto"/>
        </w:rPr>
      </w:pPr>
    </w:p>
    <w:p>
      <w:pPr>
        <w:ind w:right="120" w:firstLine="436"/>
        <w:spacing w:after="0" w:line="263" w:lineRule="auto"/>
        <w:tabs>
          <w:tab w:leader="none" w:pos="82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Tenant shall pay all sales and use tax levied or assessed against all Basic Annual Rent, Tenant s Proportionate Share of Operating Costs and any other payments due under this Lease simultaneously with each installment of Basic Annual Rent Tenant’s Proportionate Share of Operating Costs and any other payment required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6" w:name="page367"/>
    <w:bookmarkEnd w:id="366"/>
    <w:p>
      <w:pPr>
        <w:ind w:left="4" w:firstLine="436"/>
        <w:spacing w:after="0" w:line="273" w:lineRule="auto"/>
        <w:tabs>
          <w:tab w:leader="none" w:pos="791" w:val="left"/>
        </w:tabs>
        <w:numPr>
          <w:ilvl w:val="1"/>
          <w:numId w:val="3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not be obligated to pay for Controllable Operating Costs in any year to the extent they have increased by more than five percent (5%) per annum compounded annually on a cumulative basis from the first calendar year during the Lease Term. For purposes of this Lease Controllable Operating Costs shall mean all Operating Costs except for Real Estate Taxes, insurance premiums, janitorial costs, wages and salaries affected by the minimum wage costs arising from change in laws, utility costs and snow and ice removal for the Building and the Project. Controllable Operating Costs shall be determined on an aggregate basis and not on an individual basis, and the cap on Controllable Operating Costs shall be determined on Operating Costs as they have been adjusted for vacancy or usage pursuant to the terms of the Lease.</w:t>
      </w:r>
    </w:p>
    <w:p>
      <w:pPr>
        <w:spacing w:after="0" w:line="177" w:lineRule="exact"/>
        <w:rPr>
          <w:rFonts w:ascii="Arial" w:cs="Arial" w:eastAsia="Arial" w:hAnsi="Arial"/>
          <w:sz w:val="17"/>
          <w:szCs w:val="17"/>
          <w:color w:val="auto"/>
        </w:rPr>
      </w:pPr>
    </w:p>
    <w:p>
      <w:pPr>
        <w:ind w:left="4" w:right="100" w:firstLine="436"/>
        <w:spacing w:after="0" w:line="277" w:lineRule="auto"/>
        <w:tabs>
          <w:tab w:leader="none" w:pos="88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The Basic Annual Rent, as adjusted pursuant to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and other amounts required to be paid by Tenant to Landlord hereunder, are sometimes collectively referred to as, and shall constitute, “</w:t>
      </w: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IMPROVEMENTS AND ALTERATIONS</w:t>
      </w:r>
    </w:p>
    <w:p>
      <w:pPr>
        <w:spacing w:after="0" w:line="121" w:lineRule="exact"/>
        <w:rPr>
          <w:rFonts w:ascii="Arial" w:cs="Arial" w:eastAsia="Arial" w:hAnsi="Arial"/>
          <w:sz w:val="18"/>
          <w:szCs w:val="18"/>
          <w:b w:val="1"/>
          <w:bCs w:val="1"/>
          <w:color w:val="auto"/>
        </w:rPr>
      </w:pPr>
    </w:p>
    <w:p>
      <w:pPr>
        <w:ind w:left="4" w:firstLine="436"/>
        <w:spacing w:after="0" w:line="272" w:lineRule="auto"/>
        <w:tabs>
          <w:tab w:leader="none" w:pos="824" w:val="left"/>
        </w:tabs>
        <w:numPr>
          <w:ilvl w:val="1"/>
          <w:numId w:val="350"/>
        </w:numPr>
        <w:rPr>
          <w:rFonts w:ascii="Arial" w:cs="Arial" w:eastAsia="Arial" w:hAnsi="Arial"/>
          <w:sz w:val="17"/>
          <w:szCs w:val="17"/>
          <w:color w:val="auto"/>
        </w:rPr>
      </w:pPr>
      <w:r>
        <w:rPr>
          <w:rFonts w:ascii="Arial" w:cs="Arial" w:eastAsia="Arial" w:hAnsi="Arial"/>
          <w:sz w:val="17"/>
          <w:szCs w:val="17"/>
          <w:color w:val="auto"/>
        </w:rPr>
        <w:t xml:space="preserve">Landlord shall deliver the Premises to Tenant, and Tenant agrees to accept the Premises from Landlord in its existing “AS-IS”, “WHERE-IS” and “WITH ALL FAULTS” condition, and Landlord shall have no obligation to refurbish or otherwise improve the Premises throughout the Lease Term; provided, however, and notwithstanding the foregoing to the contrary Landlord’s sole construction obligation under this Lease is set forth in the Work Letter attached hereto as </w:t>
      </w:r>
      <w:r>
        <w:rPr>
          <w:rFonts w:ascii="Arial" w:cs="Arial" w:eastAsia="Arial" w:hAnsi="Arial"/>
          <w:sz w:val="17"/>
          <w:szCs w:val="17"/>
          <w:i w:val="1"/>
          <w:iCs w:val="1"/>
          <w:u w:val="single" w:color="auto"/>
          <w:color w:val="auto"/>
        </w:rPr>
        <w:t>Exhibit B</w:t>
      </w:r>
      <w:r>
        <w:rPr>
          <w:rFonts w:ascii="Arial" w:cs="Arial" w:eastAsia="Arial" w:hAnsi="Arial"/>
          <w:sz w:val="17"/>
          <w:szCs w:val="17"/>
          <w:color w:val="auto"/>
        </w:rPr>
        <w:t xml:space="preserve">. In addition, with respect to the area in the Suite 600 Space generally shown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and incorporated herein for all purposes, Landlord at its sole cost and expense, agrees (i) to add five 12” Building standard cooling only VAV boxes, (ii) that a new supply air plenum will be added to the box and the supply air tap-outs will be cut in, (iii) that a total of four 12-inch supply air diffusers will be installed in a quadrant pattern, and (iv) that all thermostats will be relocated to their respective zones.</w:t>
      </w:r>
    </w:p>
    <w:p>
      <w:pPr>
        <w:spacing w:after="0" w:line="177" w:lineRule="exact"/>
        <w:rPr>
          <w:rFonts w:ascii="Arial" w:cs="Arial" w:eastAsia="Arial" w:hAnsi="Arial"/>
          <w:sz w:val="17"/>
          <w:szCs w:val="17"/>
          <w:color w:val="auto"/>
        </w:rPr>
      </w:pPr>
    </w:p>
    <w:p>
      <w:pPr>
        <w:ind w:left="4" w:right="20" w:firstLine="436"/>
        <w:spacing w:after="0" w:line="266" w:lineRule="auto"/>
        <w:tabs>
          <w:tab w:leader="none" w:pos="824" w:val="left"/>
        </w:tabs>
        <w:numPr>
          <w:ilvl w:val="1"/>
          <w:numId w:val="350"/>
        </w:numPr>
        <w:rPr>
          <w:rFonts w:ascii="Arial" w:cs="Arial" w:eastAsia="Arial" w:hAnsi="Arial"/>
          <w:sz w:val="17"/>
          <w:szCs w:val="17"/>
          <w:color w:val="auto"/>
        </w:rPr>
      </w:pPr>
      <w:r>
        <w:rPr>
          <w:rFonts w:ascii="Arial" w:cs="Arial" w:eastAsia="Arial" w:hAnsi="Arial"/>
          <w:sz w:val="17"/>
          <w:szCs w:val="17"/>
          <w:color w:val="auto"/>
        </w:rPr>
        <w:t>Any alterations, additions, or improvements made by or on behalf of Tenant to the Premises (“</w:t>
      </w:r>
      <w:r>
        <w:rPr>
          <w:rFonts w:ascii="Arial" w:cs="Arial" w:eastAsia="Arial" w:hAnsi="Arial"/>
          <w:sz w:val="17"/>
          <w:szCs w:val="17"/>
          <w:u w:val="single" w:color="auto"/>
          <w:color w:val="auto"/>
        </w:rPr>
        <w:t>Alterations</w:t>
      </w:r>
      <w:r>
        <w:rPr>
          <w:rFonts w:ascii="Arial" w:cs="Arial" w:eastAsia="Arial" w:hAnsi="Arial"/>
          <w:sz w:val="17"/>
          <w:szCs w:val="17"/>
          <w:color w:val="auto"/>
        </w:rPr>
        <w:t>”) shall be subject to Landlord’s prior written consent. Tenant shall cause, at its sole cost and expense, all Alterations to comply with insurance requirements and with Laws and shall construct, at its sole cost and expense, any alteration or modification required by Laws as a result of any Alterations. All Alterations shall be constructed at Tenant’s sole cost and expense and in a good and workmanlike manner by contractors reasonably acceptable to Landlord and only good grades of materials shall be used. All plans and specifications for any Alterations shall be submitted to Landlord for its approval. Landlord may monitor construction of the Alterations. Tenant shall reimburse Landlord for all out-of-pocket sums, if any paid by Landlord for third party examination of Tenant’s plans and specifications for any Alterations. In addition, Tenant shall be obligated to pay Landlord a coordination fee equal to ten percent (10%) of the actual costs of any of such Alterations, which coordination fee shall be paid to Landlord promptly following the completion of the construction of the Alterations. Such coordination fee will be deemed to cover all of Landlord’s costs and expenses for Landlord’s employees or contractors, including but not limited to management personnel, engineers and other consultants involved in review, approval coordination and/or supervision of the Alterations. Landlord’s right to review plans and specifications and to monitor construction shall be solely for its own benefit, and Landlord shall have no duty to see that such plans and specifications or construction comply with applicable laws, codes, rules and regulations. Without limiting the other grounds upon which Landlord may refuse to approve any contractor or subcontractor Landlord may take into account the desirability of maintaining harmonious labor relations at the Project. Landlord may also require that all life safety related work and all mechanical electrical plumbing and roof related work be performed by contractors designated by Landlord. Landlord shall have the right, in its sole discretion to instruct Tenant to remove those improvements or Alterations from the Premises which (i) were not approved in advance by Landlord (ii) were not built in conformance with the plans and specifications approved by Landlord or (iii) Landlord specified during its review of plans and specifications for Alterations would need to be removed by Tenant upon the expiration of this Lease. Except as set forth in the preceding sentence, Tenant shall not be obligated to remove such Alterations at the expiration of this Lease. Landlord shall not unreasonably withhold or delay its approval with respect to what improvements or Alterations Landlord may require Tenant to remove at the expiration of the Lease. If upon the termination of this Lease, Landlord require Tenant to remove any or all of such Alterations from the Premises, then Tenant, al Tenant’s sole cost and expense, shall promptly remove such Alterations and improvements and Tenant shall repair and restore the Premises to its original condition as of the Commencement Date, reasonable wear and tear excepted. Any Alterations remaining in the Premises following the expiration of the Lease Term or following the surrender of the Premises from Tenant to Landlord, shall become the property of Landlord unless Landlord notifies Tenant otherwise. Tenant shall provide Landlord with the identities and mailing addresses of</w:t>
      </w:r>
    </w:p>
    <w:p>
      <w:pPr>
        <w:spacing w:after="0" w:line="1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67" w:name="page368"/>
    <w:bookmarkEnd w:id="367"/>
    <w:p>
      <w:pPr>
        <w:ind w:left="4"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persons performing work or supplying materials, prior to beginning such construction and Landlord may post on and about the Premises and record any notices of non-responsibility pursuant to applicable law. Tenant shall assure payment for the completion of all work free and clear of liens and shall provide certificates of insurance for worker’s compensation and other coverage in amounts and from an insurance company reasonably satisfactory to Landlord protecting Landlord against liability for bodily injury or property damage during construction. Upon completion of any Alterations and upon Landlord’s reasonable request, Tenant shall deliver to Landlord sworn statements setting forth the names of all contractors and subcontractors who did work on the Alterations and final lien waivers from all such contractors and subcontractors.</w:t>
      </w:r>
    </w:p>
    <w:p>
      <w:pPr>
        <w:spacing w:after="0" w:line="178" w:lineRule="exact"/>
        <w:rPr>
          <w:sz w:val="20"/>
          <w:szCs w:val="20"/>
          <w:color w:val="auto"/>
        </w:rPr>
      </w:pPr>
    </w:p>
    <w:p>
      <w:pPr>
        <w:ind w:left="4" w:right="60" w:firstLine="436"/>
        <w:spacing w:after="0" w:line="287" w:lineRule="auto"/>
        <w:tabs>
          <w:tab w:leader="none" w:pos="821" w:val="left"/>
        </w:tabs>
        <w:numPr>
          <w:ilvl w:val="1"/>
          <w:numId w:val="351"/>
        </w:numPr>
        <w:rPr>
          <w:rFonts w:ascii="Arial" w:cs="Arial" w:eastAsia="Arial" w:hAnsi="Arial"/>
          <w:sz w:val="16"/>
          <w:szCs w:val="16"/>
          <w:color w:val="auto"/>
        </w:rPr>
      </w:pPr>
      <w:r>
        <w:rPr>
          <w:rFonts w:ascii="Arial" w:cs="Arial" w:eastAsia="Arial" w:hAnsi="Arial"/>
          <w:sz w:val="16"/>
          <w:szCs w:val="16"/>
          <w:color w:val="auto"/>
        </w:rPr>
        <w:t xml:space="preserve">Tenant shall keep the Premises the Building and the Project free from any and all liens arising out of any Alterations, work performed materials furnished, or obligations incurred by or for Tenant; provided, however, that Tenant shall not be responsible for any liens attributable to Landlord failing to make timely payments of contractor in voices up to the Landlord Amount (as defined in the Work Letter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Tenant Improvements specified in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In the event that Tenant shall not, within ten (10) days following the imposition of any such lien, cause the same to be released of record by payment or posting of a bond in a form and issued by a surety acceptable to Landlord, Landlord shall have the right but not the obligation, to cause such lien to be released by such means as it shall deem proper (including payment of or defense against the claim giving rise to such lien); in such case, Tenant shall reimburse Landlord for all amounts so paid by Landlord in connection therewith, together with all of Landlord’s costs and expenses, with interest thereon at the Default Rate (defined below) and Tenant shall indemnify and defend each and all of the Landlord Indemnitees (defined below) against any damages, losses or costs arising out of any such claim. Tenant s indemnification shall not include any damages losses or costs attributable to Landlord’s failure to make timely payments up to the Landlord Amount for Tenant Improvements specified in the Work Letter. Tenant’s indemnification of Landlord contained in this Paragraph shall survive the expiration or earlier termination of this Lease. Such rights of Landlord shall be in addition to all other remedies provided herein or by law.</w:t>
      </w:r>
    </w:p>
    <w:p>
      <w:pPr>
        <w:spacing w:after="0" w:line="167" w:lineRule="exact"/>
        <w:rPr>
          <w:rFonts w:ascii="Arial" w:cs="Arial" w:eastAsia="Arial" w:hAnsi="Arial"/>
          <w:sz w:val="16"/>
          <w:szCs w:val="16"/>
          <w:color w:val="auto"/>
        </w:rPr>
      </w:pPr>
    </w:p>
    <w:p>
      <w:pPr>
        <w:ind w:left="4" w:right="40" w:firstLine="436"/>
        <w:spacing w:after="0" w:line="279" w:lineRule="auto"/>
        <w:tabs>
          <w:tab w:leader="none" w:pos="834" w:val="left"/>
        </w:tabs>
        <w:numPr>
          <w:ilvl w:val="1"/>
          <w:numId w:val="351"/>
        </w:numPr>
        <w:rPr>
          <w:rFonts w:ascii="Arial" w:cs="Arial" w:eastAsia="Arial" w:hAnsi="Arial"/>
          <w:sz w:val="17"/>
          <w:szCs w:val="17"/>
          <w:color w:val="auto"/>
        </w:rPr>
      </w:pPr>
      <w:r>
        <w:rPr>
          <w:rFonts w:ascii="Arial" w:cs="Arial" w:eastAsia="Arial" w:hAnsi="Arial"/>
          <w:sz w:val="17"/>
          <w:szCs w:val="17"/>
          <w:color w:val="auto"/>
        </w:rPr>
        <w:t>EXCEPT AS OTHERWISE PROVIDED IN THIS LEASE OR THE WORK LETTER NOTICE IS HEREBY GIVEN THAT LANDLORD SHALL NOT BE LIABLE FOR ANY LABOR, SERVICES OR MATERIALS FURNISHED OR TO BE FURNISHED TO TENANT, OR TO ANYONE HOLDING THE PREMISES THROUGH OR UNDER TENANT, AND THAT NO MECHANICS’ OR OTHER LIENS FOR ANY SUCH LABOR, SERVICES OR MATERIALS SHALL ATTACH TO OR AFFECT THE INTEREST OF LANDLORD IN THE PREMISES.</w:t>
      </w:r>
    </w:p>
    <w:p>
      <w:pPr>
        <w:spacing w:after="0" w:line="315" w:lineRule="exact"/>
        <w:rPr>
          <w:rFonts w:ascii="Arial" w:cs="Arial" w:eastAsia="Arial" w:hAnsi="Arial"/>
          <w:sz w:val="17"/>
          <w:szCs w:val="17"/>
          <w:color w:val="auto"/>
        </w:rPr>
      </w:pPr>
    </w:p>
    <w:p>
      <w:pPr>
        <w:ind w:left="424" w:hanging="424"/>
        <w:spacing w:after="0"/>
        <w:tabs>
          <w:tab w:leader="none" w:pos="42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REPAIRS</w:t>
      </w:r>
    </w:p>
    <w:p>
      <w:pPr>
        <w:spacing w:after="0" w:line="121" w:lineRule="exact"/>
        <w:rPr>
          <w:rFonts w:ascii="Arial" w:cs="Arial" w:eastAsia="Arial" w:hAnsi="Arial"/>
          <w:sz w:val="18"/>
          <w:szCs w:val="18"/>
          <w:b w:val="1"/>
          <w:bCs w:val="1"/>
          <w:color w:val="auto"/>
        </w:rPr>
      </w:pPr>
    </w:p>
    <w:p>
      <w:pPr>
        <w:ind w:left="4" w:firstLine="436"/>
        <w:spacing w:after="0" w:line="269" w:lineRule="auto"/>
        <w:tabs>
          <w:tab w:leader="none" w:pos="824"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Landlord shall keep the Common Areas of the Building and the Project in a clean and neat condition. Subject to </w:t>
      </w:r>
      <w:r>
        <w:rPr>
          <w:rFonts w:ascii="Arial" w:cs="Arial" w:eastAsia="Arial" w:hAnsi="Arial"/>
          <w:sz w:val="17"/>
          <w:szCs w:val="17"/>
          <w:u w:val="single" w:color="auto"/>
          <w:color w:val="auto"/>
        </w:rPr>
        <w:t>subparagraph (b)</w:t>
      </w:r>
      <w:r>
        <w:rPr>
          <w:rFonts w:ascii="Arial" w:cs="Arial" w:eastAsia="Arial" w:hAnsi="Arial"/>
          <w:sz w:val="17"/>
          <w:szCs w:val="17"/>
          <w:color w:val="auto"/>
        </w:rPr>
        <w:t xml:space="preserve"> below, Landlord shall make all necessary repairs, within a reasonable period following receipt of notice of the need therefor from Tenant, to the exterior walls, exterior doors, exterior locks on exterior doors and windows of the Building, and to the Common Areas and to public corridors and other public areas of the Project not constituting a portion of any tenant s premises and shall use reasonable efforts to keep all Building standard equipment used by Tenant in common with other tenants in good condition and repair and to replace same at the end of such equipment’s normal and useful life reasonable wear and tear and casualty loss excepted. Except as expressly provided in </w:t>
      </w:r>
      <w:r>
        <w:rPr>
          <w:rFonts w:ascii="Arial" w:cs="Arial" w:eastAsia="Arial" w:hAnsi="Arial"/>
          <w:sz w:val="17"/>
          <w:szCs w:val="17"/>
          <w:u w:val="single" w:color="auto"/>
          <w:color w:val="auto"/>
        </w:rPr>
        <w:t>Paragraph 9</w:t>
      </w:r>
      <w:r>
        <w:rPr>
          <w:rFonts w:ascii="Arial" w:cs="Arial" w:eastAsia="Arial" w:hAnsi="Arial"/>
          <w:sz w:val="17"/>
          <w:szCs w:val="17"/>
          <w:color w:val="auto"/>
        </w:rPr>
        <w:t xml:space="preserve"> of this Lease there shall be no abatement of Rent and no liability of Landlord by reason of any injury to or interference with Tenant’s business arising from the making of any repairs, alterations or improvements in or to any portion of the Premises, the Building or the Project. Tenant waives the right to make repairs at Landlord’s expense under any law statute or ordinance now or hereafter in effect (including the provisions of California Civil Code Section 1942 and any successive sections or statutes of a similar nature).</w:t>
      </w:r>
    </w:p>
    <w:p>
      <w:pPr>
        <w:spacing w:after="0" w:line="185" w:lineRule="exact"/>
        <w:rPr>
          <w:rFonts w:ascii="Arial" w:cs="Arial" w:eastAsia="Arial" w:hAnsi="Arial"/>
          <w:sz w:val="17"/>
          <w:szCs w:val="17"/>
          <w:color w:val="auto"/>
        </w:rPr>
      </w:pPr>
    </w:p>
    <w:p>
      <w:pPr>
        <w:ind w:left="4" w:firstLine="436"/>
        <w:spacing w:after="0" w:line="254" w:lineRule="auto"/>
        <w:tabs>
          <w:tab w:leader="none" w:pos="831"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Tenant, at its expense, (i) shall keep the Premises and all fixtures contained therein in a safe, clean and neat condition, and (ii) shall bear the cost of maintenance and repair, by contractors selected by Landlord, of all facilities which are not expressly required to be maintained or repaired by Landlord and which are located in the Premises including, without limitation, lavatory, shower toilet, wash basin and kitchen facilities and supplemental heating and air conditioning systems (including all plumbing connected to said facilities or systems installed by or on behalf of Tenant or existing in the Premises at the time of Landlord’s delivery of the Premises to Tenant). Tenant shall make all repairs to the Premises not required to be made by Landlord under </w:t>
      </w:r>
      <w:r>
        <w:rPr>
          <w:rFonts w:ascii="Arial" w:cs="Arial" w:eastAsia="Arial" w:hAnsi="Arial"/>
          <w:sz w:val="18"/>
          <w:szCs w:val="18"/>
          <w:u w:val="single" w:color="auto"/>
          <w:color w:val="auto"/>
        </w:rPr>
        <w:t>subparagraph (a)</w:t>
      </w:r>
      <w:r>
        <w:rPr>
          <w:rFonts w:ascii="Arial" w:cs="Arial" w:eastAsia="Arial" w:hAnsi="Arial"/>
          <w:sz w:val="18"/>
          <w:szCs w:val="18"/>
          <w:color w:val="auto"/>
        </w:rPr>
        <w:t xml:space="preserve"> above with replacements of any materials to be made by use of materials of equal or better quality. Tenant shall do all decorating, remodeling,</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368" w:name="page369"/>
    <w:bookmarkEnd w:id="368"/>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alteration and painting required by Tenant during the Lease Term. Tenant shall pay for the cost of any repairs to the Premises, the Building or the Project made necessary by any negligence or willful misconduct of Tenant or any of its assignees, subtenants, employees or their respective agents, representatives contractors, or other persons permitted in or invited to the Premises or the Project by Tenant. If Tenant fails to make such repairs or replacements within fifteen (15) days after written notice from Landlord, Landlord may at its option make such repairs or replacements, and Tenant shall upon demand pay Landlord for the cost thereof, together with an administration fee equal to ten percent (10%) of such costs.</w:t>
      </w:r>
    </w:p>
    <w:p>
      <w:pPr>
        <w:spacing w:after="0" w:line="176" w:lineRule="exact"/>
        <w:rPr>
          <w:sz w:val="20"/>
          <w:szCs w:val="20"/>
          <w:color w:val="auto"/>
        </w:rPr>
      </w:pPr>
    </w:p>
    <w:p>
      <w:pPr>
        <w:ind w:left="4" w:firstLine="436"/>
        <w:spacing w:after="0" w:line="272" w:lineRule="auto"/>
        <w:tabs>
          <w:tab w:leader="none" w:pos="824" w:val="left"/>
        </w:tabs>
        <w:numPr>
          <w:ilvl w:val="1"/>
          <w:numId w:val="353"/>
        </w:numPr>
        <w:rPr>
          <w:rFonts w:ascii="Arial" w:cs="Arial" w:eastAsia="Arial" w:hAnsi="Arial"/>
          <w:sz w:val="17"/>
          <w:szCs w:val="17"/>
          <w:color w:val="auto"/>
        </w:rPr>
      </w:pPr>
      <w:r>
        <w:rPr>
          <w:rFonts w:ascii="Arial" w:cs="Arial" w:eastAsia="Arial" w:hAnsi="Arial"/>
          <w:sz w:val="17"/>
          <w:szCs w:val="17"/>
          <w:color w:val="auto"/>
        </w:rPr>
        <w:t xml:space="preserve">Upon the expiration or earlier termination of this Lease, Tenant shall surrender the Premises in a safe, clean and neat condition, normal wear and tear excepted. Prior to the expiration or earlier termination of this Lease, Tenant shall remove from the Premises (i) all trade fixtures, furnishings and other personal property of Tenant, except as otherwise set forth in </w:t>
      </w:r>
      <w:r>
        <w:rPr>
          <w:rFonts w:ascii="Arial" w:cs="Arial" w:eastAsia="Arial" w:hAnsi="Arial"/>
          <w:sz w:val="17"/>
          <w:szCs w:val="17"/>
          <w:u w:val="single" w:color="auto"/>
          <w:color w:val="auto"/>
        </w:rPr>
        <w:t>Paragraph 4(b)</w:t>
      </w:r>
      <w:r>
        <w:rPr>
          <w:rFonts w:ascii="Arial" w:cs="Arial" w:eastAsia="Arial" w:hAnsi="Arial"/>
          <w:sz w:val="17"/>
          <w:szCs w:val="17"/>
          <w:color w:val="auto"/>
        </w:rPr>
        <w:t xml:space="preserve"> of this Lease, and (ii) all computer and phone cabling and wiring installed by or on behalf of Tenant, and Tenant shall repair all damage caused by such removal, and shall restore the Premises to its original condition, reasonable wear and tear excepted. In addition to all other rights Landlord may have, in the event Tenant does not so remove any such fixtures, furnishings or personal property, Tenant shall be deemed to have abandoned the same, in which case Landlord may store or dispose of the same at Tenant’s expense, appropriate the same for itself, and/or sell the same in its discretion.</w:t>
      </w:r>
    </w:p>
    <w:p>
      <w:pPr>
        <w:spacing w:after="0" w:line="321" w:lineRule="exact"/>
        <w:rPr>
          <w:rFonts w:ascii="Arial" w:cs="Arial" w:eastAsia="Arial" w:hAnsi="Arial"/>
          <w:sz w:val="17"/>
          <w:szCs w:val="17"/>
          <w:color w:val="auto"/>
        </w:rPr>
      </w:pPr>
    </w:p>
    <w:p>
      <w:pPr>
        <w:ind w:left="424" w:hanging="424"/>
        <w:spacing w:after="0"/>
        <w:tabs>
          <w:tab w:leader="none" w:pos="424"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PREMISES</w:t>
      </w:r>
    </w:p>
    <w:p>
      <w:pPr>
        <w:spacing w:after="0" w:line="121" w:lineRule="exact"/>
        <w:rPr>
          <w:rFonts w:ascii="Arial" w:cs="Arial" w:eastAsia="Arial" w:hAnsi="Arial"/>
          <w:sz w:val="18"/>
          <w:szCs w:val="18"/>
          <w:b w:val="1"/>
          <w:bCs w:val="1"/>
          <w:color w:val="auto"/>
        </w:rPr>
      </w:pPr>
    </w:p>
    <w:p>
      <w:pPr>
        <w:ind w:left="4" w:right="460" w:firstLine="436"/>
        <w:spacing w:after="0" w:line="342" w:lineRule="auto"/>
        <w:tabs>
          <w:tab w:leader="none" w:pos="821"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Tenant shall use the Premises only for general office uses and shall not use the Premises or permit the Premises to be used for any other purpose. Landlord shall have the right to deny its consent to any change in the permitted use of the Premises in its sole and absolute discretion.</w:t>
      </w:r>
    </w:p>
    <w:p>
      <w:pPr>
        <w:spacing w:after="0" w:line="123" w:lineRule="exact"/>
        <w:rPr>
          <w:rFonts w:ascii="Arial" w:cs="Arial" w:eastAsia="Arial" w:hAnsi="Arial"/>
          <w:sz w:val="16"/>
          <w:szCs w:val="16"/>
          <w:color w:val="auto"/>
        </w:rPr>
      </w:pPr>
    </w:p>
    <w:p>
      <w:pPr>
        <w:ind w:left="4" w:firstLine="436"/>
        <w:spacing w:after="0" w:line="253" w:lineRule="auto"/>
        <w:tabs>
          <w:tab w:leader="none" w:pos="831"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Tenant shall not at any time use or occupy the Premises or permit any act or omission in or about the Premises in violation of any law, statute, ordinance or any governmental rule, regulation or order (collectively, “</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and Tenant shall, upon written notice from Landlord discontinue any use of the Premises which is declared by any governmental authority to be a violation of Law. If any Law shall, by reason of the nature of Tenant’s use or occupancy of the Premises, impose any duty upon Tenant or Landlord with respect to (i) modification or other maintenance of the Premises, the Building or the Project, or (ii) the use, alteration or occupancy thereof, Tenant shall comply with such Law at Tenant’s sole cost and expense. This Lease shall be subject to and Tenant shall comply with all financing documents encumbering the Building or the Project and all covenants, conditions and restrictions affecting the Premises, the Building or the Project, including, but not limited to Tenant s execution of any subordination agreements requested by a mortgagee (which for purposes of this Lease includes any lender or grantee under a deed of trust) of the Premises, the Building or the Project.</w:t>
      </w:r>
    </w:p>
    <w:p>
      <w:pPr>
        <w:spacing w:after="0" w:line="196" w:lineRule="exact"/>
        <w:rPr>
          <w:rFonts w:ascii="Arial" w:cs="Arial" w:eastAsia="Arial" w:hAnsi="Arial"/>
          <w:sz w:val="18"/>
          <w:szCs w:val="18"/>
          <w:color w:val="auto"/>
        </w:rPr>
      </w:pPr>
    </w:p>
    <w:p>
      <w:pPr>
        <w:ind w:left="4" w:right="200" w:firstLine="436"/>
        <w:spacing w:after="0" w:line="285" w:lineRule="auto"/>
        <w:tabs>
          <w:tab w:leader="none" w:pos="821"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Tenant shall not at any time use or occupy the Premises in violation of the certificates of occupancy issued for or restrictive covenants pertaining to the Building or the Premise s, and in the event that any architectural control committee or department of the State or the city or county in which the Project is located shall at any time contend or declare that the Premises are used or occupied in violation of such certificate or certificates of occupancy or restrictive covenants Tenant shall, upon five (5) business days’ written notice from Landlord or any such governmental agency, immediately discontinue such use of the Premises (and otherwise remedy such violation). The failure by Tenant to discontinue such use within five</w:t>
      </w:r>
    </w:p>
    <w:p>
      <w:pPr>
        <w:spacing w:after="0" w:line="1" w:lineRule="exact"/>
        <w:rPr>
          <w:rFonts w:ascii="Arial" w:cs="Arial" w:eastAsia="Arial" w:hAnsi="Arial"/>
          <w:sz w:val="16"/>
          <w:szCs w:val="16"/>
          <w:color w:val="auto"/>
        </w:rPr>
      </w:pPr>
    </w:p>
    <w:p>
      <w:pPr>
        <w:ind w:left="4" w:right="180"/>
        <w:spacing w:after="0" w:line="273" w:lineRule="auto"/>
        <w:rPr>
          <w:rFonts w:ascii="Arial" w:cs="Arial" w:eastAsia="Arial" w:hAnsi="Arial"/>
          <w:sz w:val="16"/>
          <w:szCs w:val="16"/>
          <w:color w:val="auto"/>
        </w:rPr>
      </w:pPr>
      <w:r>
        <w:rPr>
          <w:rFonts w:ascii="Arial" w:cs="Arial" w:eastAsia="Arial" w:hAnsi="Arial"/>
          <w:sz w:val="17"/>
          <w:szCs w:val="17"/>
          <w:color w:val="auto"/>
        </w:rPr>
        <w:t>(5) business days of written notice shall be considered a default under this Lease and Landlord shall have the right to exercise any and all rights and remedies provided herein or by Law. Any statement in this Lease of the nature of the business to be conducted by Tenant in the Premises shall not be deemed or construed to constitute a representation or guaranty by Landlord that such business is or will continue to be lawful or permissible under any certificate of occupancy issued for the Building or the Premises, or otherwise permitted by Law.</w:t>
      </w:r>
    </w:p>
    <w:p>
      <w:pPr>
        <w:spacing w:after="0" w:line="176" w:lineRule="exact"/>
        <w:rPr>
          <w:rFonts w:ascii="Arial" w:cs="Arial" w:eastAsia="Arial" w:hAnsi="Arial"/>
          <w:sz w:val="16"/>
          <w:szCs w:val="16"/>
          <w:color w:val="auto"/>
        </w:rPr>
      </w:pPr>
    </w:p>
    <w:p>
      <w:pPr>
        <w:ind w:left="4" w:right="40" w:firstLine="436"/>
        <w:spacing w:after="0" w:line="275" w:lineRule="auto"/>
        <w:tabs>
          <w:tab w:leader="none" w:pos="831" w:val="left"/>
        </w:tabs>
        <w:numPr>
          <w:ilvl w:val="1"/>
          <w:numId w:val="354"/>
        </w:numPr>
        <w:rPr>
          <w:rFonts w:ascii="Arial" w:cs="Arial" w:eastAsia="Arial" w:hAnsi="Arial"/>
          <w:sz w:val="17"/>
          <w:szCs w:val="17"/>
          <w:color w:val="auto"/>
        </w:rPr>
      </w:pPr>
      <w:r>
        <w:rPr>
          <w:rFonts w:ascii="Arial" w:cs="Arial" w:eastAsia="Arial" w:hAnsi="Arial"/>
          <w:sz w:val="17"/>
          <w:szCs w:val="17"/>
          <w:color w:val="auto"/>
        </w:rPr>
        <w:t xml:space="preserve">Tenant shall not do or perm it to be done anything which may invalidate or increase the cost of any fire, All Risk, Causes of Loss - Special Form or other insurance policy covering the Building the Project and/or property located therein and shall comply with all rules, orders, regulations and requirements of the appropriate fire codes and ordinances or any other organization performing a similar function. In addition to all other remedies of Landlord, Landlord may require Tenant, promptly upon demand, to reimburse Landlord for the full amount of any additional premiums charged for such policy or policies by reason of Tenant’s failure to comply with the provisions of this </w:t>
      </w:r>
      <w:r>
        <w:rPr>
          <w:rFonts w:ascii="Arial" w:cs="Arial" w:eastAsia="Arial" w:hAnsi="Arial"/>
          <w:sz w:val="17"/>
          <w:szCs w:val="17"/>
          <w:u w:val="single" w:color="auto"/>
          <w:color w:val="auto"/>
        </w:rPr>
        <w:t>Paragraph 6</w:t>
      </w:r>
      <w:r>
        <w:rPr>
          <w:rFonts w:ascii="Arial" w:cs="Arial" w:eastAsia="Arial" w:hAnsi="Arial"/>
          <w:sz w:val="17"/>
          <w:szCs w:val="17"/>
          <w:color w:val="auto"/>
        </w:rPr>
        <w: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369" w:name="page370"/>
    <w:bookmarkEnd w:id="369"/>
    <w:p>
      <w:pPr>
        <w:ind w:left="4" w:firstLine="436"/>
        <w:spacing w:after="0" w:line="270" w:lineRule="auto"/>
        <w:tabs>
          <w:tab w:leader="none" w:pos="821" w:val="left"/>
        </w:tabs>
        <w:numPr>
          <w:ilvl w:val="1"/>
          <w:numId w:val="3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not in any way interfere with the rights or quiet enjoyment of other tenants or occupants of the Premises, the Building or the Project. Tenant shall not use or allow the Premises to be used for any improper immoral unlawful or objectionable purpose, nor shall Tenant cause, maintain or permit any nuisance in, on or about the Premises, the Building or the Project. Tenant shall not place weight upon any portion of the Premises exceeding the structural floor load (per square foot of area) which such area was designated (and is permitted by Law) to carry or otherwise use any Building system in excess of its capacity or in any other manner which may damage such system or the Building. Tenant shall not create within the Premises a working environment with a density of greater than five (5) persons per 1,000 square feet of Rentable Area. Business machines and mechanical equipment shall be placed and maintained by Tenant at Tenant’s expense, in locations and in settings sufficient in Landlord’s reasonable judgment to absorb and prevent vibration, noise and annoyance. Tenant shall not commit or suffer to be committed any waste in on, upon or about the Premises, the Building or the Project.</w:t>
      </w:r>
    </w:p>
    <w:p>
      <w:pPr>
        <w:spacing w:after="0" w:line="180" w:lineRule="exact"/>
        <w:rPr>
          <w:rFonts w:ascii="Arial" w:cs="Arial" w:eastAsia="Arial" w:hAnsi="Arial"/>
          <w:sz w:val="17"/>
          <w:szCs w:val="17"/>
          <w:color w:val="auto"/>
        </w:rPr>
      </w:pPr>
    </w:p>
    <w:p>
      <w:pPr>
        <w:ind w:left="4" w:right="20" w:firstLine="436"/>
        <w:spacing w:after="0" w:line="259" w:lineRule="auto"/>
        <w:tabs>
          <w:tab w:leader="none" w:pos="801"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Tenant shall take all reasonable steps necessary to adequately secure the Premises from unlawful intrusion, theft fire and other hazards, and shall keep and maintain any and all security devices in or on the Premises in good working order including, but not limited to, exterior door locks for the Premises and smoke detectors and burglar alarms located within the Premises and shall cooperate with Landlord and other tenants in the Project with respect to access control and other safety matters.</w:t>
      </w:r>
    </w:p>
    <w:p>
      <w:pPr>
        <w:spacing w:after="0" w:line="186" w:lineRule="exact"/>
        <w:rPr>
          <w:rFonts w:ascii="Arial" w:cs="Arial" w:eastAsia="Arial" w:hAnsi="Arial"/>
          <w:sz w:val="18"/>
          <w:szCs w:val="18"/>
          <w:color w:val="auto"/>
        </w:rPr>
      </w:pPr>
    </w:p>
    <w:p>
      <w:pPr>
        <w:ind w:left="4" w:right="80" w:firstLine="436"/>
        <w:spacing w:after="0" w:line="291" w:lineRule="auto"/>
        <w:tabs>
          <w:tab w:leader="none" w:pos="82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hazardous or toxic substance, material or waste which is or becomes regulated by any local governmental authority, the State or the United States Government, including, without limitation, any material or substance which is</w:t>
      </w:r>
    </w:p>
    <w:p>
      <w:pPr>
        <w:ind w:left="304" w:hanging="304"/>
        <w:spacing w:after="0"/>
        <w:tabs>
          <w:tab w:leader="none" w:pos="30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defined or listed as a “</w:t>
      </w:r>
      <w:r>
        <w:rPr>
          <w:rFonts w:ascii="Arial" w:cs="Arial" w:eastAsia="Arial" w:hAnsi="Arial"/>
          <w:sz w:val="17"/>
          <w:szCs w:val="17"/>
          <w:u w:val="single" w:color="auto"/>
          <w:color w:val="auto"/>
        </w:rPr>
        <w:t>hazardous waste</w:t>
      </w:r>
      <w:r>
        <w:rPr>
          <w:rFonts w:ascii="Arial" w:cs="Arial" w:eastAsia="Arial" w:hAnsi="Arial"/>
          <w:sz w:val="17"/>
          <w:szCs w:val="17"/>
          <w:color w:val="auto"/>
        </w:rPr>
        <w:t>,” “</w:t>
      </w:r>
      <w:r>
        <w:rPr>
          <w:rFonts w:ascii="Arial" w:cs="Arial" w:eastAsia="Arial" w:hAnsi="Arial"/>
          <w:sz w:val="17"/>
          <w:szCs w:val="17"/>
          <w:u w:val="single" w:color="auto"/>
          <w:color w:val="auto"/>
        </w:rPr>
        <w:t>pollutant</w:t>
      </w:r>
      <w:r>
        <w:rPr>
          <w:rFonts w:ascii="Arial" w:cs="Arial" w:eastAsia="Arial" w:hAnsi="Arial"/>
          <w:sz w:val="17"/>
          <w:szCs w:val="17"/>
          <w:color w:val="auto"/>
        </w:rPr>
        <w:t>,” “</w:t>
      </w:r>
      <w:r>
        <w:rPr>
          <w:rFonts w:ascii="Arial" w:cs="Arial" w:eastAsia="Arial" w:hAnsi="Arial"/>
          <w:sz w:val="17"/>
          <w:szCs w:val="17"/>
          <w:u w:val="single" w:color="auto"/>
          <w:color w:val="auto"/>
        </w:rPr>
        <w:t>extremely hazardous waste</w:t>
      </w:r>
      <w:r>
        <w:rPr>
          <w:rFonts w:ascii="Arial" w:cs="Arial" w:eastAsia="Arial" w:hAnsi="Arial"/>
          <w:sz w:val="17"/>
          <w:szCs w:val="17"/>
          <w:color w:val="auto"/>
        </w:rPr>
        <w:t>,” “</w:t>
      </w:r>
      <w:r>
        <w:rPr>
          <w:rFonts w:ascii="Arial" w:cs="Arial" w:eastAsia="Arial" w:hAnsi="Arial"/>
          <w:sz w:val="17"/>
          <w:szCs w:val="17"/>
          <w:u w:val="single" w:color="auto"/>
          <w:color w:val="auto"/>
        </w:rPr>
        <w:t>restricted hazardous waste</w:t>
      </w:r>
      <w:r>
        <w:rPr>
          <w:rFonts w:ascii="Arial" w:cs="Arial" w:eastAsia="Arial" w:hAnsi="Arial"/>
          <w:sz w:val="17"/>
          <w:szCs w:val="17"/>
          <w:color w:val="auto"/>
        </w:rPr>
        <w:t>,” “</w:t>
      </w:r>
      <w:r>
        <w:rPr>
          <w:rFonts w:ascii="Arial" w:cs="Arial" w:eastAsia="Arial" w:hAnsi="Arial"/>
          <w:sz w:val="17"/>
          <w:szCs w:val="17"/>
          <w:u w:val="single" w:color="auto"/>
          <w:color w:val="auto"/>
        </w:rPr>
        <w:t>hazardous substance</w:t>
      </w:r>
      <w:r>
        <w:rPr>
          <w:rFonts w:ascii="Arial" w:cs="Arial" w:eastAsia="Arial" w:hAnsi="Arial"/>
          <w:sz w:val="17"/>
          <w:szCs w:val="17"/>
          <w:color w:val="auto"/>
        </w:rPr>
        <w:t>”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under any applicable federal, state or local Law or administrative code promulgated thereunder (B) petroleum or (C) asbestos.</w:t>
      </w:r>
    </w:p>
    <w:p>
      <w:pPr>
        <w:spacing w:after="0" w:line="126" w:lineRule="exact"/>
        <w:rPr>
          <w:sz w:val="20"/>
          <w:szCs w:val="20"/>
          <w:color w:val="auto"/>
        </w:rPr>
      </w:pPr>
    </w:p>
    <w:p>
      <w:pPr>
        <w:ind w:left="444" w:right="140" w:firstLine="419"/>
        <w:spacing w:after="0" w:line="257" w:lineRule="auto"/>
        <w:tabs>
          <w:tab w:leader="none" w:pos="121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Tenant agrees that all operations or activities upon or any use or occupancy of the Premises, or any portion thereof, by Tenant, its assignees, subtenants, and their respective agents, servants, employees representatives and contractors (collectively referred to herein as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Affiliates</w:t>
      </w:r>
      <w:r>
        <w:rPr>
          <w:rFonts w:ascii="Arial" w:cs="Arial" w:eastAsia="Arial" w:hAnsi="Arial"/>
          <w:sz w:val="18"/>
          <w:szCs w:val="18"/>
          <w:color w:val="auto"/>
        </w:rPr>
        <w:t>”), throughout the Lease Term, shall be in all respects in compliance with all federal, state and local Laws then governing or in any way relating to the generation, handling, manufacturing, treatment, storage, use, transportation, release, spillage, leakage, dumping, discharge or disposal of any Hazardous Materials.</w:t>
      </w:r>
    </w:p>
    <w:p>
      <w:pPr>
        <w:spacing w:after="0" w:line="79" w:lineRule="exact"/>
        <w:rPr>
          <w:rFonts w:ascii="Arial" w:cs="Arial" w:eastAsia="Arial" w:hAnsi="Arial"/>
          <w:sz w:val="18"/>
          <w:szCs w:val="18"/>
          <w:color w:val="auto"/>
        </w:rPr>
      </w:pPr>
    </w:p>
    <w:p>
      <w:pPr>
        <w:ind w:left="444" w:right="80" w:firstLine="419"/>
        <w:spacing w:after="0" w:line="273" w:lineRule="auto"/>
        <w:tabs>
          <w:tab w:leader="none" w:pos="1263"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Tenant agrees to indemnify, defend and hold Landlord and its Affiliates (defined below) harmless for, from and against any and all claims, actions, administrative proceedings (including informal proceedings), judgments, damages, punitive damages, penalties, fines, costs, liabilities, interest or losses including reasonable attorneys’ fees and expenses, court costs, consultant fees, and expert fees, together with all other costs and expenses of any kind or nature that arise during or after the Lease Term directly or indirectly from or in connection with the presence, suspected presence, or release of any Hazardous Material in or into the air, soil, surface water or groundwater at, on, about, under or within the Premises, or any portion thereof caused by Tenant or Tenant Affiliates.</w:t>
      </w:r>
    </w:p>
    <w:p>
      <w:pPr>
        <w:spacing w:after="0" w:line="69" w:lineRule="exact"/>
        <w:rPr>
          <w:rFonts w:ascii="Arial" w:cs="Arial" w:eastAsia="Arial" w:hAnsi="Arial"/>
          <w:sz w:val="17"/>
          <w:szCs w:val="17"/>
          <w:color w:val="auto"/>
        </w:rPr>
      </w:pPr>
    </w:p>
    <w:p>
      <w:pPr>
        <w:ind w:left="444" w:right="60" w:firstLine="419"/>
        <w:spacing w:after="0" w:line="271" w:lineRule="auto"/>
        <w:tabs>
          <w:tab w:leader="none" w:pos="1317"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In the event any investigation or monitoring of site conditions or any clean up, containment, restoration, removal or other remedial work (collectively, the “</w:t>
      </w:r>
      <w:r>
        <w:rPr>
          <w:rFonts w:ascii="Arial" w:cs="Arial" w:eastAsia="Arial" w:hAnsi="Arial"/>
          <w:sz w:val="17"/>
          <w:szCs w:val="17"/>
          <w:u w:val="single" w:color="auto"/>
          <w:color w:val="auto"/>
        </w:rPr>
        <w:t>Remedial Work</w:t>
      </w:r>
      <w:r>
        <w:rPr>
          <w:rFonts w:ascii="Arial" w:cs="Arial" w:eastAsia="Arial" w:hAnsi="Arial"/>
          <w:sz w:val="17"/>
          <w:szCs w:val="17"/>
          <w:color w:val="auto"/>
        </w:rPr>
        <w:t>”) is required under any applicable federal, state or local Law, by any judicial order, or by any governmental entity as the result of operations or activities upon, or any use or occupancy of any portion of the Premises by Tenant or Tenant Affiliates, Landlord shall perform or cause to be performed the Remedial Work in compliance with such Law or order at Tenant’s sole cost and expense. All Remedial Work shall be performed by one or more contractors, selected and approved by Landlord, and under the supervision of a consulting engineer, selected by Tenant and approved in advance in writing by Landlord. All costs and expenses of such Remedial Work shall be paid by Tenant, including, without limitation, the charges of such contractor(s), the consulting engineer, and Landlord’s reasonable attorneys’ fees and costs incurred in connection with monitoring or review of such Remedial Work.</w:t>
      </w:r>
    </w:p>
    <w:p>
      <w:pPr>
        <w:spacing w:after="0" w:line="70" w:lineRule="exact"/>
        <w:rPr>
          <w:rFonts w:ascii="Arial" w:cs="Arial" w:eastAsia="Arial" w:hAnsi="Arial"/>
          <w:sz w:val="17"/>
          <w:szCs w:val="17"/>
          <w:color w:val="auto"/>
        </w:rPr>
      </w:pPr>
    </w:p>
    <w:p>
      <w:pPr>
        <w:ind w:left="1304" w:hanging="441"/>
        <w:spacing w:after="0"/>
        <w:tabs>
          <w:tab w:leader="none" w:pos="130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Each of the covenants and agreements of Tenant set forth in this </w:t>
      </w:r>
      <w:r>
        <w:rPr>
          <w:rFonts w:ascii="Arial" w:cs="Arial" w:eastAsia="Arial" w:hAnsi="Arial"/>
          <w:sz w:val="16"/>
          <w:szCs w:val="16"/>
          <w:u w:val="single" w:color="auto"/>
          <w:color w:val="auto"/>
        </w:rPr>
        <w:t>Paragraph 6(g)</w:t>
      </w:r>
      <w:r>
        <w:rPr>
          <w:rFonts w:ascii="Arial" w:cs="Arial" w:eastAsia="Arial" w:hAnsi="Arial"/>
          <w:sz w:val="16"/>
          <w:szCs w:val="16"/>
          <w:color w:val="auto"/>
        </w:rPr>
        <w:t xml:space="preserve"> shall survive the expiration or earlier termination of</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this Lease.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70" w:name="page371"/>
    <w:bookmarkEnd w:id="370"/>
    <w:p>
      <w:pPr>
        <w:ind w:left="424" w:hanging="424"/>
        <w:spacing w:after="0"/>
        <w:tabs>
          <w:tab w:leader="none" w:pos="424"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UTILITIES AND SERVICES</w:t>
      </w:r>
    </w:p>
    <w:p>
      <w:pPr>
        <w:spacing w:after="0" w:line="121" w:lineRule="exact"/>
        <w:rPr>
          <w:rFonts w:ascii="Arial" w:cs="Arial" w:eastAsia="Arial" w:hAnsi="Arial"/>
          <w:sz w:val="18"/>
          <w:szCs w:val="18"/>
          <w:b w:val="1"/>
          <w:bCs w:val="1"/>
          <w:color w:val="auto"/>
        </w:rPr>
      </w:pPr>
    </w:p>
    <w:p>
      <w:pPr>
        <w:ind w:left="4" w:right="300" w:firstLine="436"/>
        <w:spacing w:after="0" w:line="342" w:lineRule="auto"/>
        <w:tabs>
          <w:tab w:leader="none" w:pos="82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Provided that Tenant is not in default hereunder, Landlord shall furnish, or cause to be furnished to the Premises, the utilities and services described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attached hereto, subject to the conditions and in accordance with the standards set forth therein and in this Lease.</w:t>
      </w:r>
    </w:p>
    <w:p>
      <w:pPr>
        <w:spacing w:after="0" w:line="123" w:lineRule="exact"/>
        <w:rPr>
          <w:rFonts w:ascii="Arial" w:cs="Arial" w:eastAsia="Arial" w:hAnsi="Arial"/>
          <w:sz w:val="16"/>
          <w:szCs w:val="16"/>
          <w:color w:val="auto"/>
        </w:rPr>
      </w:pPr>
    </w:p>
    <w:p>
      <w:pPr>
        <w:jc w:val="both"/>
        <w:ind w:left="4" w:right="180" w:firstLine="436"/>
        <w:spacing w:after="0" w:line="259" w:lineRule="auto"/>
        <w:tabs>
          <w:tab w:leader="none" w:pos="831"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Tenant agrees to cooperate fully at all times with Landlord and to comply with all regulations and requirements which Landlord may from time to time prescribe for the use of the utilities and services described herein and in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Landlord shall not be liable to Tenant for the failure of any other tenant or its assignees subtenants, employees, or their respective invitees, licensees, agents or other representatives to comply with such regulations and requirements.</w:t>
      </w:r>
    </w:p>
    <w:p>
      <w:pPr>
        <w:spacing w:after="0" w:line="186" w:lineRule="exact"/>
        <w:rPr>
          <w:rFonts w:ascii="Arial" w:cs="Arial" w:eastAsia="Arial" w:hAnsi="Arial"/>
          <w:sz w:val="18"/>
          <w:szCs w:val="18"/>
          <w:color w:val="auto"/>
        </w:rPr>
      </w:pPr>
    </w:p>
    <w:p>
      <w:pPr>
        <w:ind w:left="4" w:firstLine="436"/>
        <w:spacing w:after="0" w:line="285" w:lineRule="auto"/>
        <w:tabs>
          <w:tab w:leader="none" w:pos="82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If Tenant’s usage of electricity, water or any other utility service exceeds the use of such utility Landlord determines to be typical, normal and customary for the Building, Landlord may determine the amount of such excess use by any reasonable means (including the installation at Landlord’s request but at Tenant’s expense of a separate meter or other measuring device) and charge Tenant for the cost of such excess usage. Examples of excess electrical usage include, but are not limited to, material consumption of electricity outside Building Hours, or consumption of extraordinary amounts of electricity at any time, such as for the operation of a server, for dedicated HVAC equipment for the Premises, or for other equipment requiring power in excess of standard 120 volt outlet power. In addition, Landlord may impose a reasonable charge for the use of any additional or unusual janitorial services required by Tenant because of any unusual Alterations, the carelessness of Tenant or the nature of Tenant’s business (including hours of operation). In the event that Tenant shall require additional electric current, water or gas for use in the Premises and if, in Landlord’s judgment, such excess requirements cannot be furnished unless additional risers, conduits, feeders, switchboards and/or appurtenances are installed in the Building, subject to the conditions stated below, Landlord shall proceed to install the same at the sole cost of Tenant, payable upon demand in advance. The installation of such facilities shall be conditioned upon Landlord’s consent, and a determination that the installation and use thereof (i) shall be permitted by applicable Law and insurance regulations, (ii) shall not cause permanent damage or injury to the Building or adversely affect the value of the Building or the Project, and (iii) shall not cause or create a dangerous or hazardous condition or interfere with or disturb other tenants in the Building. Subject to the foregoing, Landlord shall upon reasonable prior notice by Tenant, furnish to the Premises additional elevator heating, air conditioning and/or cleaning services upon such reasonable terms and conditions as shall be determined by Landlord, including payment of Landlord’s charge therefor. In the case of any additional utilities or services to be provided hereunder, Landlord may require a switch and metering system to be installed so as to measure the amount of such additional utilities or services. The cost of installation, maintenance and repair thereof shall be paid by Tenant upon demand. Notwithstanding the foregoing, Landlord shall have the right to contract with any utility provider it deems appropriate to provide utilities to the Project.</w:t>
      </w:r>
    </w:p>
    <w:p>
      <w:pPr>
        <w:spacing w:after="0" w:line="387" w:lineRule="exact"/>
        <w:rPr>
          <w:rFonts w:ascii="Arial" w:cs="Arial" w:eastAsia="Arial" w:hAnsi="Arial"/>
          <w:sz w:val="16"/>
          <w:szCs w:val="16"/>
          <w:color w:val="auto"/>
        </w:rPr>
      </w:pPr>
    </w:p>
    <w:p>
      <w:pPr>
        <w:ind w:left="4" w:right="40" w:firstLine="436"/>
        <w:spacing w:after="0" w:line="286" w:lineRule="auto"/>
        <w:tabs>
          <w:tab w:leader="none" w:pos="83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Landlord shall not be liable for, and Tenant shall not be entitled to, any damages, abatement or reduction of Rent, or other liability by reason of any failure to furnish any services or utilities described herein or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for any reason (other than Landlord’s sole negligence or willful misconduct), including, without limitation when caused by accident, breakage, water leakage, flooding repairs, Alterations or other improvements to the Project strikes lockouts or other labor disturbances or labor disputes of any character, governmental regulation moratorium or other governmental action inability to obtain electricity, water or fuel, or any other cause beyond Landlord’s control. Landlord shall be entitled to cooperate with the energy conservation efforts of governmental agencies or utility suppliers. No such failure, stoppage or interruption of any such utility or service shall be construed as an eviction of Tenant, nor shall the same relieve Tenant from any obligation to perform any covenant or agreement under this Lease. In the event of any failure, stoppage or interruption thereof Landlord shall use reasonable efforts to attempt to restore all services promptly. No representation is made by Landlord with respect to the adequacy or fitness of the Buildings ventilating, air conditioning or other systems to maintain temperatures as may be required for the operation of any computer, data processing or other special equipment of Tenant. Tenant hereby waives the provisions of California Civil Code Section 1932(1) or any other applicable existing or future law ordinance or governmental regulation permitting the termination of this Lease due to an interrupt ion, failure or inability to provide any services. Notwithstanding anything in this </w:t>
      </w:r>
      <w:r>
        <w:rPr>
          <w:rFonts w:ascii="Arial" w:cs="Arial" w:eastAsia="Arial" w:hAnsi="Arial"/>
          <w:sz w:val="16"/>
          <w:szCs w:val="16"/>
          <w:u w:val="single" w:color="auto"/>
          <w:color w:val="auto"/>
        </w:rPr>
        <w:t>Paragraph 7</w:t>
      </w:r>
      <w:r>
        <w:rPr>
          <w:rFonts w:ascii="Arial" w:cs="Arial" w:eastAsia="Arial" w:hAnsi="Arial"/>
          <w:sz w:val="16"/>
          <w:szCs w:val="16"/>
          <w:color w:val="auto"/>
        </w:rPr>
        <w:t xml:space="preserve"> to the contrary if an interruption or cessation of a utility service to the Premises from a cause within the reasonable control of Landlord results in the Premises being unusable by Tenant for the conduct of Tenant’s business, then Basic Annual Rent shall be abated commencing on that date which is five (5) consecutive business days following the date Tenant delivers written notice to Landlord of such interruption and</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371" w:name="page372"/>
    <w:bookmarkEnd w:id="371"/>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continuing until either such utility service to the Premises is restored or the Premises is again usable for the conduct of Tenant’s business. If however, Tenant reoccupies any portion of the Premises during such abatement period, the Basic Annual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Basic Annual Rent shall be Tenant’s sole and exclusive remedy at law or in equity in the event of an interruption or cessation of a utility service to the Premises.</w:t>
      </w:r>
    </w:p>
    <w:p>
      <w:pPr>
        <w:spacing w:after="0" w:line="176" w:lineRule="exact"/>
        <w:rPr>
          <w:sz w:val="20"/>
          <w:szCs w:val="20"/>
          <w:color w:val="auto"/>
        </w:rPr>
      </w:pPr>
    </w:p>
    <w:p>
      <w:pPr>
        <w:ind w:left="4" w:right="320" w:firstLine="436"/>
        <w:spacing w:after="0" w:line="277" w:lineRule="auto"/>
        <w:tabs>
          <w:tab w:leader="none" w:pos="824" w:val="left"/>
        </w:tabs>
        <w:numPr>
          <w:ilvl w:val="1"/>
          <w:numId w:val="359"/>
        </w:numPr>
        <w:rPr>
          <w:rFonts w:ascii="Arial" w:cs="Arial" w:eastAsia="Arial" w:hAnsi="Arial"/>
          <w:sz w:val="18"/>
          <w:szCs w:val="18"/>
          <w:color w:val="auto"/>
        </w:rPr>
      </w:pPr>
      <w:r>
        <w:rPr>
          <w:rFonts w:ascii="Arial" w:cs="Arial" w:eastAsia="Arial" w:hAnsi="Arial"/>
          <w:sz w:val="18"/>
          <w:szCs w:val="18"/>
          <w:color w:val="auto"/>
        </w:rPr>
        <w:t xml:space="preserve">Landlord reserves the right from time to time to make reasonable and nondiscriminatory modifications to the above standards (including, without limitation, those described in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for utilities and services.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NON-LIABILITY AND INDEMNIFICATION OF LANDLORD; INSURANCE</w:t>
      </w:r>
    </w:p>
    <w:p>
      <w:pPr>
        <w:spacing w:after="0" w:line="121" w:lineRule="exact"/>
        <w:rPr>
          <w:rFonts w:ascii="Arial" w:cs="Arial" w:eastAsia="Arial" w:hAnsi="Arial"/>
          <w:sz w:val="18"/>
          <w:szCs w:val="18"/>
          <w:b w:val="1"/>
          <w:bCs w:val="1"/>
          <w:color w:val="auto"/>
        </w:rPr>
      </w:pPr>
    </w:p>
    <w:p>
      <w:pPr>
        <w:ind w:left="4" w:firstLine="436"/>
        <w:spacing w:after="0" w:line="284" w:lineRule="auto"/>
        <w:tabs>
          <w:tab w:leader="none" w:pos="824" w:val="left"/>
        </w:tabs>
        <w:numPr>
          <w:ilvl w:val="1"/>
          <w:numId w:val="360"/>
        </w:numPr>
        <w:rPr>
          <w:rFonts w:ascii="Arial" w:cs="Arial" w:eastAsia="Arial" w:hAnsi="Arial"/>
          <w:sz w:val="16"/>
          <w:szCs w:val="16"/>
          <w:color w:val="auto"/>
        </w:rPr>
      </w:pPr>
      <w:r>
        <w:rPr>
          <w:rFonts w:ascii="Arial" w:cs="Arial" w:eastAsia="Arial" w:hAnsi="Arial"/>
          <w:sz w:val="16"/>
          <w:szCs w:val="16"/>
          <w:color w:val="auto"/>
        </w:rPr>
        <w:t>Neither Landlord nor any of its partners, officers, trustees, affiliates, directors, employees, contractors, agents or representatives (collectively “</w:t>
      </w:r>
      <w:r>
        <w:rPr>
          <w:rFonts w:ascii="Arial" w:cs="Arial" w:eastAsia="Arial" w:hAnsi="Arial"/>
          <w:sz w:val="16"/>
          <w:szCs w:val="16"/>
          <w:u w:val="single" w:color="auto"/>
          <w:color w:val="auto"/>
        </w:rPr>
        <w:t>Affiliates</w:t>
      </w:r>
      <w:r>
        <w:rPr>
          <w:rFonts w:ascii="Arial" w:cs="Arial" w:eastAsia="Arial" w:hAnsi="Arial"/>
          <w:sz w:val="16"/>
          <w:szCs w:val="16"/>
          <w:color w:val="auto"/>
        </w:rPr>
        <w:t xml:space="preserve">”) shall be liable for and there shall be no abatement of Rent (except in the event of a casualty loss or a condemnation as set forth in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Paragraph 10</w:t>
      </w:r>
      <w:r>
        <w:rPr>
          <w:rFonts w:ascii="Arial" w:cs="Arial" w:eastAsia="Arial" w:hAnsi="Arial"/>
          <w:sz w:val="16"/>
          <w:szCs w:val="16"/>
          <w:color w:val="auto"/>
        </w:rPr>
        <w:t xml:space="preserve"> of this Lease) for (i) any damage to Tenant’s property stored with or entrusted to Affiliates of Landlord, (ii) loss of or damage to any property by theft or any other wrongful or illegal act, or (iii) any injury or damage to persons or property resulting from fire, explosion, falling plaster steam, gas, electricity water or rain which may leak from any part of the Building or the Project or from the pipes appliances appurtenances or plumbing works therein or from the roof, street or sub-surface or from any other place or resulting from dampness or any other cause whatsoever or from the acts or omissions of other tenants, occupants or other visitors to the Building or the Project or from any other cause whatsoever (iv) any diminution or shutting off of light air or view by any structure which may be erected on lands adjacent to the Building, whether within or outside of the Project or</w:t>
      </w: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(v) any latent or other defect in the Premises the Building or the Project. Tenant shall give prompt notice to Landlord in the event of (i) the occurrence of a fire or accident in the Premises or in the Building, or (ii) the discovery of a defect therein or in the fixtures or equipment thereof. This </w:t>
      </w:r>
      <w:r>
        <w:rPr>
          <w:rFonts w:ascii="Arial" w:cs="Arial" w:eastAsia="Arial" w:hAnsi="Arial"/>
          <w:sz w:val="18"/>
          <w:szCs w:val="18"/>
          <w:u w:val="single" w:color="auto"/>
          <w:color w:val="auto"/>
        </w:rPr>
        <w:t>Paragraph 8(a)</w:t>
      </w:r>
      <w:r>
        <w:rPr>
          <w:rFonts w:ascii="Arial" w:cs="Arial" w:eastAsia="Arial" w:hAnsi="Arial"/>
          <w:sz w:val="18"/>
          <w:szCs w:val="18"/>
          <w:color w:val="auto"/>
        </w:rPr>
        <w:t xml:space="preserve"> shall survive the expiration or earlier termination of this Lease.</w:t>
      </w:r>
    </w:p>
    <w:p>
      <w:pPr>
        <w:spacing w:after="0" w:line="189" w:lineRule="exact"/>
        <w:rPr>
          <w:rFonts w:ascii="Arial" w:cs="Arial" w:eastAsia="Arial" w:hAnsi="Arial"/>
          <w:sz w:val="16"/>
          <w:szCs w:val="16"/>
          <w:color w:val="auto"/>
        </w:rPr>
      </w:pPr>
    </w:p>
    <w:p>
      <w:pPr>
        <w:ind w:left="4" w:firstLine="436"/>
        <w:spacing w:after="0" w:line="269" w:lineRule="auto"/>
        <w:tabs>
          <w:tab w:leader="none" w:pos="831" w:val="left"/>
        </w:tabs>
        <w:numPr>
          <w:ilvl w:val="1"/>
          <w:numId w:val="360"/>
        </w:numPr>
        <w:rPr>
          <w:rFonts w:ascii="Arial" w:cs="Arial" w:eastAsia="Arial" w:hAnsi="Arial"/>
          <w:sz w:val="17"/>
          <w:szCs w:val="17"/>
          <w:color w:val="auto"/>
        </w:rPr>
      </w:pPr>
      <w:r>
        <w:rPr>
          <w:rFonts w:ascii="Arial" w:cs="Arial" w:eastAsia="Arial" w:hAnsi="Arial"/>
          <w:sz w:val="17"/>
          <w:szCs w:val="17"/>
          <w:color w:val="auto"/>
        </w:rPr>
        <w:t>Tenant hereby agrees to indemnify protect defend and hold harmless Landlord and its designated property management company, and their respective partners, members, affiliates and subsidiaries and all of their respective officers directors, shareholders, employees servants, partners, representatives, insurers and agents (collectively “</w:t>
      </w:r>
      <w:r>
        <w:rPr>
          <w:rFonts w:ascii="Arial" w:cs="Arial" w:eastAsia="Arial" w:hAnsi="Arial"/>
          <w:sz w:val="17"/>
          <w:szCs w:val="17"/>
          <w:u w:val="single" w:color="auto"/>
          <w:color w:val="auto"/>
        </w:rPr>
        <w:t>Landlord Indemnitees</w:t>
      </w:r>
      <w:r>
        <w:rPr>
          <w:rFonts w:ascii="Arial" w:cs="Arial" w:eastAsia="Arial" w:hAnsi="Arial"/>
          <w:sz w:val="17"/>
          <w:szCs w:val="17"/>
          <w:color w:val="auto"/>
        </w:rPr>
        <w:t>”) for, from and against all liabilities, claims, fines, penalties, costs, damages or injuries to persons damages to property, losses liens, causes of action, suits, judgments and expenses (including court costs, attorneys’ fees, expert witness fees and costs of investigation), of any nature, kind or description of any person or entity directly or indirectly arising out of, caused by or resulting from (in whole or part) (1) Tenant’s construction of or use, occupancy or enjoyment of the Premises, (2) any activity work or other things done, permitted or suffered by Tenant and its agents and employees in or about the Premises, (3) any breach or default in the performance of any of Tenant’s obligations under this Lease, (4) any act, omission negligence or willful misconduct of Tenant or any of its agents, contractors, employees business invitee or licensees or (5) any damage to Tenant’s property, or the property of Tenant’s agents, employees, contractors, business invitees or licensees located in or about the Premises caused by Tenant and its agents and employees (collectively,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Paragraph 8(b)</w:t>
      </w:r>
      <w:r>
        <w:rPr>
          <w:rFonts w:ascii="Arial" w:cs="Arial" w:eastAsia="Arial" w:hAnsi="Arial"/>
          <w:sz w:val="17"/>
          <w:szCs w:val="17"/>
          <w:color w:val="auto"/>
        </w:rPr>
        <w:t xml:space="preserve"> shall survive the expiration or earlier termination of this Lease.</w:t>
      </w:r>
    </w:p>
    <w:p>
      <w:pPr>
        <w:spacing w:after="0" w:line="181" w:lineRule="exact"/>
        <w:rPr>
          <w:rFonts w:ascii="Arial" w:cs="Arial" w:eastAsia="Arial" w:hAnsi="Arial"/>
          <w:sz w:val="17"/>
          <w:szCs w:val="17"/>
          <w:color w:val="auto"/>
        </w:rPr>
      </w:pPr>
    </w:p>
    <w:p>
      <w:pPr>
        <w:ind w:left="4" w:right="80" w:firstLine="436"/>
        <w:spacing w:after="0" w:line="289" w:lineRule="auto"/>
        <w:tabs>
          <w:tab w:leader="none" w:pos="821" w:val="left"/>
        </w:tabs>
        <w:numPr>
          <w:ilvl w:val="1"/>
          <w:numId w:val="360"/>
        </w:numPr>
        <w:rPr>
          <w:rFonts w:ascii="Arial" w:cs="Arial" w:eastAsia="Arial" w:hAnsi="Arial"/>
          <w:sz w:val="16"/>
          <w:szCs w:val="16"/>
          <w:color w:val="auto"/>
        </w:rPr>
      </w:pPr>
      <w:r>
        <w:rPr>
          <w:rFonts w:ascii="Arial" w:cs="Arial" w:eastAsia="Arial" w:hAnsi="Arial"/>
          <w:sz w:val="16"/>
          <w:szCs w:val="16"/>
          <w:color w:val="auto"/>
        </w:rPr>
        <w:t xml:space="preserve">Tenant shall promptly advise Landlord in writing of any action administrative or legal proceeding or investigation as to which this indemnification may apply, and Tenant at Tenant s expense, shall assume on behalf of each and every Landlord Indemnitee and conduct with due diligence and in good faith the defense thereof with counsel reasonably satisfactory to Landlord; provided however, that any Landlord Indemnitee shall have the right at its option to be represented therein by advisory counsel of its own selection and at its own expense. In the event of failure by Tenant to fully perform in accordance with this Paragraph, Landlord, at its option, and without relieving Tenant of its obligations hereunder, may so perform, but all costs and expenses so incurred by Landlord in that event shall be reimbursed by Tenant to Landlord, together with interest on the same from the date any such expense was paid by Landlord until reimbursed by Tenant, at the rate of interest provided to be paid on judgments, by the law of the jurisdiction to which the interpretation of this Lease is subject. The indemnification provided in </w:t>
      </w:r>
      <w:r>
        <w:rPr>
          <w:rFonts w:ascii="Arial" w:cs="Arial" w:eastAsia="Arial" w:hAnsi="Arial"/>
          <w:sz w:val="16"/>
          <w:szCs w:val="16"/>
          <w:u w:val="single" w:color="auto"/>
          <w:color w:val="auto"/>
        </w:rPr>
        <w:t>Paragraph 8(b)</w:t>
      </w:r>
      <w:r>
        <w:rPr>
          <w:rFonts w:ascii="Arial" w:cs="Arial" w:eastAsia="Arial" w:hAnsi="Arial"/>
          <w:sz w:val="16"/>
          <w:szCs w:val="16"/>
          <w:color w:val="auto"/>
        </w:rPr>
        <w:t xml:space="preserve"> shall not be limited to damages, compensation or benefits payable under insurance policies, workers’ compensation acts, disability benefit acts or other employees benefit acts.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72" w:name="page373"/>
    <w:bookmarkEnd w:id="372"/>
    <w:p>
      <w:pPr>
        <w:ind w:left="384" w:hanging="384"/>
        <w:spacing w:after="0"/>
        <w:tabs>
          <w:tab w:leader="none" w:pos="384"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85" w:lineRule="auto"/>
        <w:tabs>
          <w:tab w:leader="none" w:pos="77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Tenant at all times during the Lease Term shall, at its own expense, keep in full force and effect (A) commercial general liability insurance providing coverage against bodily injury and disease including death resulting therefrom, bodily injury and property damage to a $1,000,000 per occurrence with a $2,000,000 aggregate which shall include provision for contractual liability coverage insuring Tenant for the performance of its indemnity obligations set forth in this </w:t>
      </w:r>
      <w:r>
        <w:rPr>
          <w:rFonts w:ascii="Arial" w:cs="Arial" w:eastAsia="Arial" w:hAnsi="Arial"/>
          <w:sz w:val="16"/>
          <w:szCs w:val="16"/>
          <w:u w:val="single" w:color="auto"/>
          <w:color w:val="auto"/>
        </w:rPr>
        <w:t>Paragraph 8</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Paragraph 6(g)(ii)</w:t>
      </w:r>
      <w:r>
        <w:rPr>
          <w:rFonts w:ascii="Arial" w:cs="Arial" w:eastAsia="Arial" w:hAnsi="Arial"/>
          <w:sz w:val="16"/>
          <w:szCs w:val="16"/>
          <w:color w:val="auto"/>
        </w:rPr>
        <w:t xml:space="preserve"> of this Lease, with an Excess Limits (Umbrella) Policy in the amount of $5,000,000; (B) worker s compensation insurance to the statutory limit if any, and employer s liability insurance to the limit of $1,000,000 per occurrence; and (C) All Risk Causes of Loss - Special form property insurance, including fire and extended coverage, sprinkler leakage (including earthquake, sprinkler leakage), vandalism malicious mischief, wind and/or hurricane coverage. Landlord and its designated property management firm shall be named an additional insured on each of said policies (excluding the worker’s compensation policy) and said policies shall be issued by an insurance company or companies authorized to do business in California and which have policyholder ratings not lower than “A-” and financial ratings not lower than “VII” in Best’s Insurance Guide (latest edition in effect as of the Date of this Lease and subsequently in effect as of the date of renewal of the required policies). EACH OF SAID POLICIES SHALL ALSO INCLUDE A WAIVER OF SUBROGATION PROVISION OR ENDORSEMENT IN FAVOR OF LANDLORD, AND AN ENDORSEMENT PROVIDING THAT LANDLORD SHALL RECEIVE THIRTY (30) DAYS PRIOR WRITTEN NOTICE OF ANY CANCELLATION OF, NONRENEWAL OF, REDUCTION OF COVERAGE OR MATERIAL CHANGE IN COVERAGE ON SAID POLICIES. Tenant hereby waives its right of recovery against any Landlord Indemnitee of any amounts paid by Tenant or on Tenant s behalf to satisfy applicable worker’s compensation laws. The policies or duly executed certificates showing the material terms for the same, together with satisfactory evidence of the payment of the premiums there for, shall be deposited with Landlord on the date Tenant first occupies the Premises and upon renewals of such policies not less than fifteen (15) days prior to the expiration of the term of such coverage. If certificates are supplied rather than the policies themselves, Tenant shall allow Landlord, at all reasonable times, to inspect the policies of insurance required herein.</w:t>
      </w:r>
    </w:p>
    <w:p>
      <w:pPr>
        <w:spacing w:after="0" w:line="60" w:lineRule="exact"/>
        <w:rPr>
          <w:rFonts w:ascii="Arial" w:cs="Arial" w:eastAsia="Arial" w:hAnsi="Arial"/>
          <w:sz w:val="16"/>
          <w:szCs w:val="16"/>
          <w:color w:val="auto"/>
        </w:rPr>
      </w:pPr>
    </w:p>
    <w:p>
      <w:pPr>
        <w:ind w:left="4" w:firstLine="419"/>
        <w:spacing w:after="0" w:line="286" w:lineRule="auto"/>
        <w:tabs>
          <w:tab w:leader="none" w:pos="82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It is expressly understood and agreed that the coverages required represent Landlord’s minimum requirements and such are not to be construed to void or limit Tenant “obligations contained in this Lease, including without limitation Tenant s indemnity obligations hereunder. Neither shall (A) the insolvency, bankruptcy or failure of any insurance company carrying Tenant, (B) the failure of any insurance company to pay claims occurring nor (C) any exclusion from or insufficiency of coverage be held to affect, negate or waive any of Tenant’s indemnity obligations under this </w:t>
      </w:r>
      <w:r>
        <w:rPr>
          <w:rFonts w:ascii="Arial" w:cs="Arial" w:eastAsia="Arial" w:hAnsi="Arial"/>
          <w:sz w:val="16"/>
          <w:szCs w:val="16"/>
          <w:u w:val="single" w:color="auto"/>
          <w:color w:val="auto"/>
        </w:rPr>
        <w:t>Paragraph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Paragraph 6(g)(ii)</w:t>
      </w:r>
      <w:r>
        <w:rPr>
          <w:rFonts w:ascii="Arial" w:cs="Arial" w:eastAsia="Arial" w:hAnsi="Arial"/>
          <w:sz w:val="16"/>
          <w:szCs w:val="16"/>
          <w:color w:val="auto"/>
        </w:rPr>
        <w:t xml:space="preserve"> or any other provision of this Lease. With respect to insurance coverages except worker’s compensation, maintained hereunder by Tenant and insurance coverages separately obtained by Landlord, all insurance coverages afforded by policies of insurance maintained by Tenant shall be primary insurance as such coverages apply to Landlord and such insurance coverages separately maintained by Landlord shall be excess, and Tenant shall have its insurance policies so endorsed. The amount of liability insurance under insurance policies maintained by Tenant shall not be reduced by the existence of insurance coverage under policies separately maintained by Landlord. Tenant hall be solely responsible for any premiums, assessments, penalties, deductible assumptions retentions, audits, retrospective adjustments or any other kind of payment due under its policies. Tenant shall increase the amounts of insurance or the insurance coverages as Landlord may reasonably request from time to time, but not in excess of the requirements of prudent landlords or lenders for similar tenants occupying similar premises in the San Jose, California metropolitan area.</w:t>
      </w:r>
    </w:p>
    <w:p>
      <w:pPr>
        <w:spacing w:after="0" w:line="65" w:lineRule="exact"/>
        <w:rPr>
          <w:rFonts w:ascii="Arial" w:cs="Arial" w:eastAsia="Arial" w:hAnsi="Arial"/>
          <w:sz w:val="16"/>
          <w:szCs w:val="16"/>
          <w:color w:val="auto"/>
        </w:rPr>
      </w:pPr>
    </w:p>
    <w:p>
      <w:pPr>
        <w:ind w:left="4" w:right="120" w:firstLine="419"/>
        <w:spacing w:after="0" w:line="286" w:lineRule="auto"/>
        <w:tabs>
          <w:tab w:leader="none" w:pos="873"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Tenant’s occupancy of the Premises without delivering the certificates of insurance shall not constitute a waiver of Tenant’s obligations to provide the required coverages. If Tenant provides to Landlord a certificate that does not evidence the coverages required herein or that is faulty in any respect such shall not constitute a waiver of Tenant’s obligations to provide the proper insurance.</w:t>
      </w:r>
    </w:p>
    <w:p>
      <w:pPr>
        <w:spacing w:after="0" w:line="57" w:lineRule="exact"/>
        <w:rPr>
          <w:rFonts w:ascii="Arial" w:cs="Arial" w:eastAsia="Arial" w:hAnsi="Arial"/>
          <w:sz w:val="17"/>
          <w:szCs w:val="17"/>
          <w:color w:val="auto"/>
        </w:rPr>
      </w:pPr>
    </w:p>
    <w:p>
      <w:pPr>
        <w:ind w:left="4" w:right="340" w:firstLine="419"/>
        <w:spacing w:after="0" w:line="311" w:lineRule="auto"/>
        <w:tabs>
          <w:tab w:leader="none" w:pos="86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Throughout the Lease Term Landlord agrees to maintain (i) fire and extended coverage insurance, and, at Landlord’s option earthquake damage coverage, terrorism coverage, wind and hurricane coverage, and such additional property insurance coverage as Landlord deems appropriate on the insurable portions of Building and the remainder of the Project in an amount not less than the fair replacement value</w:t>
      </w:r>
    </w:p>
    <w:p>
      <w:pPr>
        <w:spacing w:after="0" w:line="8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4"/>
          </w:cols>
          <w:pgMar w:left="876" w:top="274" w:right="459" w:bottom="1440" w:gutter="0" w:footer="0" w:header="0"/>
        </w:sectPr>
      </w:pPr>
    </w:p>
    <w:bookmarkStart w:id="373" w:name="page374"/>
    <w:bookmarkEnd w:id="373"/>
    <w:p>
      <w:pPr>
        <w:ind w:left="44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subject to reasonable deductibles (ii) boiler and machinery insurance amounts and with deductibles that would be considered standard for similar class office buildings in San Jose, California metropolitan area and (iii) commercial general liability insurance with a combined single limit coverage of at least $1,000,000.00 per occurrence. All such insurance shall be obtained from insurers Landlord reasonably believes to be financially responsible in light of the risks being insured. The premiums for any such insurance shall be a part of Operating Costs.</w:t>
      </w:r>
    </w:p>
    <w:p>
      <w:pPr>
        <w:spacing w:after="0" w:line="157" w:lineRule="exact"/>
        <w:rPr>
          <w:sz w:val="20"/>
          <w:szCs w:val="20"/>
          <w:color w:val="auto"/>
        </w:rPr>
      </w:pPr>
    </w:p>
    <w:p>
      <w:pPr>
        <w:ind w:left="4" w:right="40" w:firstLine="436"/>
        <w:spacing w:after="0" w:line="285" w:lineRule="auto"/>
        <w:tabs>
          <w:tab w:leader="none" w:pos="824"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Mutual Waivers of Recovery</w:t>
      </w:r>
      <w:r>
        <w:rPr>
          <w:rFonts w:ascii="Arial" w:cs="Arial" w:eastAsia="Arial" w:hAnsi="Arial"/>
          <w:sz w:val="16"/>
          <w:szCs w:val="16"/>
          <w:color w:val="auto"/>
        </w:rPr>
        <w:t>. Landlord, Tenant, and all parties claiming under them, each mutually release and discharge each other from responsibility for that portion of any loss or damage paid or reimbursed by an insurer of Landlord or Tenant under any fire, extended coverage or other property insurance policy maintained by Tenant with respect to its Premises or by Landlord with respect to the Building or the Project (or which would have been paid had the insurance required to be maintained hereunder been in full force and effect), no matter how caused, including negligence and each waives any right of recovery from the other including, but not limited to, claims for contribution or indemnity, which might otherwise exist on account thereof. Any fire, extended coverage or property insurance policy maintained by Tenant with respect to the Premises, or Landlord with respect to the Building or the Project, shall contain in the case of Tenant’s policies, a waiver of subrogation provision or endorsement in favor of Landlord, and in the case of Landlord’s policies, a waiver of subrogation provision or endorsement in favor of Tenant, or, in the event that such insurers cannot or shall not include or attach such waiver of subrogation provision or endorsement Tenant and Landlord shall obtain the approval and consent of their respective insurers in writing, to the terms of this Lease. Tenant agrees to indemnify, protect defend and hold harmless each and all of the Landlord Indemnitees from and against any claim, suit or cause of action asserted or brought by Tenant’s insurers for, on behalf of or in the name of Tenant including, but not limited to, claims for contribution, indemnity or subrogation brought in contravention of this paragraph. Landlord agrees to indemnify protect, defend and hold harm less Tenant from and against any claim, suit or cause of action asserted or brought by Landlord’s insurers for, on behalf of, or in the name of Landlord, including but not limited to, claims for contribution, indemnity or subrogation, brought in contravention of this paragraph. The mutual releases, discharges and waivers contained in this provision shall apply EVEN IF THE LOSS OR DAMAGE TO WHICH THIS PROVISION APPLIES IS CAUSED SOLELY OR IN PART BY THE NEGLIGENCE OF LANDLORD OR TENANT.</w:t>
      </w:r>
    </w:p>
    <w:p>
      <w:pPr>
        <w:spacing w:after="0" w:line="176" w:lineRule="exact"/>
        <w:rPr>
          <w:rFonts w:ascii="Arial" w:cs="Arial" w:eastAsia="Arial" w:hAnsi="Arial"/>
          <w:sz w:val="16"/>
          <w:szCs w:val="16"/>
          <w:color w:val="auto"/>
        </w:rPr>
      </w:pPr>
    </w:p>
    <w:p>
      <w:pPr>
        <w:ind w:left="4" w:right="160" w:firstLine="436"/>
        <w:spacing w:after="0" w:line="311" w:lineRule="auto"/>
        <w:tabs>
          <w:tab w:leader="none" w:pos="804"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Business Interruption</w:t>
      </w:r>
      <w:r>
        <w:rPr>
          <w:rFonts w:ascii="Arial" w:cs="Arial" w:eastAsia="Arial" w:hAnsi="Arial"/>
          <w:sz w:val="16"/>
          <w:szCs w:val="16"/>
          <w:color w:val="auto"/>
        </w:rPr>
        <w:t>. Landlord shall not be responsible for, and Tenant releases and discharges Landlord from, and Tenant further waives any right of recovery from Landlord for, any loss for or from business interruption or loss of use of the Premises suffered by Tenant in connection with Tenant’s use or occupancy of the Premises, EVEN IF SUCH LOSS IS CAUSED SOLELY OR IN PART BY THE NEGLIGENCE OF LANDLORD.</w:t>
      </w:r>
    </w:p>
    <w:p>
      <w:pPr>
        <w:spacing w:after="0" w:line="148" w:lineRule="exact"/>
        <w:rPr>
          <w:rFonts w:ascii="Arial" w:cs="Arial" w:eastAsia="Arial" w:hAnsi="Arial"/>
          <w:sz w:val="16"/>
          <w:szCs w:val="16"/>
          <w:color w:val="auto"/>
        </w:rPr>
      </w:pPr>
    </w:p>
    <w:p>
      <w:pPr>
        <w:ind w:left="4" w:right="160" w:firstLine="436"/>
        <w:spacing w:after="0" w:line="277" w:lineRule="auto"/>
        <w:tabs>
          <w:tab w:leader="none" w:pos="834"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Adjustment of Claims</w:t>
      </w:r>
      <w:r>
        <w:rPr>
          <w:rFonts w:ascii="Arial" w:cs="Arial" w:eastAsia="Arial" w:hAnsi="Arial"/>
          <w:sz w:val="18"/>
          <w:szCs w:val="18"/>
          <w:color w:val="auto"/>
        </w:rPr>
        <w:t>. Tenant shall cooperate with Landlord and Landlord’s insurers in the adjustment of any insurance claim pertaining to the Building or the Project or Landlord’s use thereof.</w:t>
      </w:r>
    </w:p>
    <w:p>
      <w:pPr>
        <w:spacing w:after="0" w:line="170" w:lineRule="exact"/>
        <w:rPr>
          <w:rFonts w:ascii="Arial" w:cs="Arial" w:eastAsia="Arial" w:hAnsi="Arial"/>
          <w:sz w:val="18"/>
          <w:szCs w:val="18"/>
          <w:color w:val="auto"/>
        </w:rPr>
      </w:pPr>
    </w:p>
    <w:p>
      <w:pPr>
        <w:ind w:left="4" w:right="620" w:firstLine="436"/>
        <w:spacing w:after="0" w:line="277" w:lineRule="auto"/>
        <w:tabs>
          <w:tab w:leader="none" w:pos="834"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Increase in Landlord’s Insurance Costs</w:t>
      </w:r>
      <w:r>
        <w:rPr>
          <w:rFonts w:ascii="Arial" w:cs="Arial" w:eastAsia="Arial" w:hAnsi="Arial"/>
          <w:sz w:val="18"/>
          <w:szCs w:val="18"/>
          <w:color w:val="auto"/>
        </w:rPr>
        <w:t>. Tenant agrees to pay to Landlord any increase in premiums for Landlord’s insurance policies resulting from Tenant’s use or occupancy of the Premises.</w:t>
      </w:r>
    </w:p>
    <w:p>
      <w:pPr>
        <w:spacing w:after="0" w:line="170" w:lineRule="exact"/>
        <w:rPr>
          <w:rFonts w:ascii="Arial" w:cs="Arial" w:eastAsia="Arial" w:hAnsi="Arial"/>
          <w:sz w:val="18"/>
          <w:szCs w:val="18"/>
          <w:color w:val="auto"/>
        </w:rPr>
      </w:pPr>
    </w:p>
    <w:p>
      <w:pPr>
        <w:ind w:left="4" w:firstLine="436"/>
        <w:spacing w:after="0" w:line="270" w:lineRule="auto"/>
        <w:tabs>
          <w:tab w:leader="none" w:pos="794"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Failure to Maintain Insurance</w:t>
      </w:r>
      <w:r>
        <w:rPr>
          <w:rFonts w:ascii="Arial" w:cs="Arial" w:eastAsia="Arial" w:hAnsi="Arial"/>
          <w:sz w:val="17"/>
          <w:szCs w:val="17"/>
          <w:color w:val="auto"/>
        </w:rPr>
        <w:t xml:space="preserve">. Any failure of Tenant to obtain and maintain the insurance policies and coverages required hereunder or failure by Tenant to meet any of the insurance requirements of this Lease hall constitute an event of default hereunder and such failure shall entitle Landlord to pursue, exercise or obtain any of the remedies provided for in </w:t>
      </w:r>
      <w:r>
        <w:rPr>
          <w:rFonts w:ascii="Arial" w:cs="Arial" w:eastAsia="Arial" w:hAnsi="Arial"/>
          <w:sz w:val="17"/>
          <w:szCs w:val="17"/>
          <w:u w:val="single" w:color="auto"/>
          <w:color w:val="auto"/>
        </w:rPr>
        <w:t>Paragraph 12(b)</w:t>
      </w:r>
      <w:r>
        <w:rPr>
          <w:rFonts w:ascii="Arial" w:cs="Arial" w:eastAsia="Arial" w:hAnsi="Arial"/>
          <w:sz w:val="17"/>
          <w:szCs w:val="17"/>
          <w:color w:val="auto"/>
        </w:rPr>
        <w:t>, and Tenant shall be solely responsible for any loss suffered by Landlord as a result of such failure. In the event of failure by Tenant to maintain the insurance policies and coverages required by this Lease or to meet any of the insurance requirements of this Lease, Landlord, at its option and without relieving Tenant of its obligations hereunder may obtain said insurance policies and coverages or perform any other insurance obligation of Tenant, but all costs and expenses incurred by Landlord in obtaining such insurance or performing Tenant’s insurance obligations shall be reimbursed by Tenant to Landlord, together with interest on same from the date any such cost or expense was paid by Landlord until reimbursed by Tenant, at the rate of interest provided to be paid on judgments, by the law of the jurisdiction to which the interpretation of this Lease is subject.</w:t>
      </w:r>
    </w:p>
    <w:p>
      <w:pPr>
        <w:spacing w:after="0" w:line="325" w:lineRule="exact"/>
        <w:rPr>
          <w:rFonts w:ascii="Arial" w:cs="Arial" w:eastAsia="Arial" w:hAnsi="Arial"/>
          <w:sz w:val="17"/>
          <w:szCs w:val="17"/>
          <w:color w:val="auto"/>
        </w:rPr>
      </w:pPr>
    </w:p>
    <w:p>
      <w:pPr>
        <w:ind w:left="424" w:hanging="424"/>
        <w:spacing w:after="0"/>
        <w:tabs>
          <w:tab w:leader="none" w:pos="424"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FIRE OR CASUALTY</w:t>
      </w:r>
    </w:p>
    <w:p>
      <w:pPr>
        <w:spacing w:after="0" w:line="121" w:lineRule="exact"/>
        <w:rPr>
          <w:rFonts w:ascii="Arial" w:cs="Arial" w:eastAsia="Arial" w:hAnsi="Arial"/>
          <w:sz w:val="18"/>
          <w:szCs w:val="18"/>
          <w:b w:val="1"/>
          <w:bCs w:val="1"/>
          <w:color w:val="auto"/>
        </w:rPr>
      </w:pPr>
    </w:p>
    <w:p>
      <w:pPr>
        <w:ind w:left="4" w:right="420" w:firstLine="436"/>
        <w:spacing w:after="0" w:line="277" w:lineRule="auto"/>
        <w:tabs>
          <w:tab w:leader="none" w:pos="824"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Paragraph 9</w:t>
      </w:r>
      <w:r>
        <w:rPr>
          <w:rFonts w:ascii="Arial" w:cs="Arial" w:eastAsia="Arial" w:hAnsi="Arial"/>
          <w:sz w:val="18"/>
          <w:szCs w:val="18"/>
          <w:color w:val="auto"/>
        </w:rPr>
        <w:t>, in the event the Premises or access thereto, is wholly or partially destroyed by fire or other casualty, Landlord shall (to the extent permitted by Law and covenants conditions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374" w:name="page375"/>
    <w:bookmarkEnd w:id="374"/>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restrictions then applicable to the Project) rebuild, repair or restore the Premises and access thereto to substantially the same condition as existing immediately prior to such destruction (excluding Tenant s Alterations, trade fixtures, equipment and personal property, which Tenant shall be required to restore) and this Lease shall continue in full force and effect. Notwithstanding the foregoing, (i) Landlord’s obligation to rebuild repair or restore the Premises shall not apply to any personal property, above-standard tenant improvements or other item installed or contained in the Premises, and</w:t>
      </w:r>
    </w:p>
    <w:p>
      <w:pPr>
        <w:spacing w:after="0" w:line="1" w:lineRule="exact"/>
        <w:rPr>
          <w:sz w:val="20"/>
          <w:szCs w:val="20"/>
          <w:color w:val="auto"/>
        </w:rPr>
      </w:pPr>
    </w:p>
    <w:p>
      <w:pPr>
        <w:ind w:left="4" w:right="280" w:hanging="4"/>
        <w:spacing w:after="0" w:line="260" w:lineRule="auto"/>
        <w:tabs>
          <w:tab w:leader="none" w:pos="26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Landlord shall have no obligation whatsoever to rebuild repair or restore the Premises with respect to any damage or destruction occurring during the last twelve (12) months of the Lease Term or any extension of the Lease Term.</w:t>
      </w:r>
    </w:p>
    <w:p>
      <w:pPr>
        <w:spacing w:after="0" w:line="185" w:lineRule="exact"/>
        <w:rPr>
          <w:rFonts w:ascii="Arial" w:cs="Arial" w:eastAsia="Arial" w:hAnsi="Arial"/>
          <w:sz w:val="18"/>
          <w:szCs w:val="18"/>
          <w:color w:val="auto"/>
        </w:rPr>
      </w:pPr>
    </w:p>
    <w:p>
      <w:pPr>
        <w:ind w:left="4" w:firstLine="436"/>
        <w:spacing w:after="0" w:line="267" w:lineRule="auto"/>
        <w:tabs>
          <w:tab w:leader="none" w:pos="834" w:val="left"/>
        </w:tabs>
        <w:numPr>
          <w:ilvl w:val="1"/>
          <w:numId w:val="364"/>
        </w:numPr>
        <w:rPr>
          <w:rFonts w:ascii="Arial" w:cs="Arial" w:eastAsia="Arial" w:hAnsi="Arial"/>
          <w:sz w:val="17"/>
          <w:szCs w:val="17"/>
          <w:color w:val="auto"/>
        </w:rPr>
      </w:pPr>
      <w:r>
        <w:rPr>
          <w:rFonts w:ascii="Arial" w:cs="Arial" w:eastAsia="Arial" w:hAnsi="Arial"/>
          <w:sz w:val="17"/>
          <w:szCs w:val="17"/>
          <w:color w:val="auto"/>
        </w:rPr>
        <w:t>Landlord may elect to terminate this Lease in any of the follow in g cases of damage or destruction to the Premises the Building or the Project: (i) where the cost of rebuilding, repairing and restoring (collectively, “</w:t>
      </w:r>
      <w:r>
        <w:rPr>
          <w:rFonts w:ascii="Arial" w:cs="Arial" w:eastAsia="Arial" w:hAnsi="Arial"/>
          <w:sz w:val="17"/>
          <w:szCs w:val="17"/>
          <w:u w:val="single" w:color="auto"/>
          <w:color w:val="auto"/>
        </w:rPr>
        <w:t>Restoration</w:t>
      </w:r>
      <w:r>
        <w:rPr>
          <w:rFonts w:ascii="Arial" w:cs="Arial" w:eastAsia="Arial" w:hAnsi="Arial"/>
          <w:sz w:val="17"/>
          <w:szCs w:val="17"/>
          <w:color w:val="auto"/>
        </w:rPr>
        <w:t>”) of the Building or the Project, would regardless of the lack of damage to the Premises or access thereto, in the reasonable opinion of Landlord, exceed twenty percent (20%) of the then replacement cost of the Building; (ii) where, in the case of any damage or destruction to any portion of the Building or the Project by uninsured casualty, the cost of Restoration of the Building or the Project, in the reasonable opinion of Landlord exceeds $500,000; or (iii) where in the case of any damage or destruction to the Premises or access thereto by uninsured casualty the cost of Restoration of the Premises or access thereto in the reasonable opinion of Landlord exceeds twenty percent (20%) of the replacement cost of the Premises; or (iv) if Landlord has not obtained appropriate zoning approvals for reconstruction of the Project, Building or Premises. Any such termination shall be made by thirty (30) days’ prior written notice to Tenant given within ninety (90) days of the date of such damage or destruction. If this Lease is not terminated by Landlord and as the result of any damage or destruction, the Premise or a portion there of, are rendered untenantable, the Basic Annual Rent shall abate reasonably during the period of Restoration (based upon the extent to which such damage and Restoration materially interfere with Tenant s business in the Premises); provided however Tenant shall have the right to terminate this Lease if more than fifty percent (50%) of the Premises are rendered untenantable for a period of two hundred seventy (270) days after the date of damage or destruction (the “</w:t>
      </w:r>
      <w:r>
        <w:rPr>
          <w:rFonts w:ascii="Arial" w:cs="Arial" w:eastAsia="Arial" w:hAnsi="Arial"/>
          <w:sz w:val="17"/>
          <w:szCs w:val="17"/>
          <w:u w:val="single" w:color="auto"/>
          <w:color w:val="auto"/>
        </w:rPr>
        <w:t>270 Day Period</w:t>
      </w:r>
      <w:r>
        <w:rPr>
          <w:rFonts w:ascii="Arial" w:cs="Arial" w:eastAsia="Arial" w:hAnsi="Arial"/>
          <w:sz w:val="17"/>
          <w:szCs w:val="17"/>
          <w:color w:val="auto"/>
        </w:rPr>
        <w:t>”) by delivering written notice to Landlord of its intent to terminate this Lease after the 270 Day Period but prior to the substantial completion of the Restoration of the Building. This Lease shall be considered an express agreement governing any case of damage to or destruction of the Premises the Building or the Project. This Lease sets forth the terms and conditions upon which this Lease may terminate in the event of any damage or destruction. Accordingly the parties hereby waive the provisions of California Civil Code Section 1932, Subsection 2, and Section 1933, Subsection 4 (and any successor statutes thereof permitting the parties to terminate this Lease as a result of any damage or destruction).</w:t>
      </w:r>
    </w:p>
    <w:p>
      <w:pPr>
        <w:spacing w:after="0" w:line="334" w:lineRule="exact"/>
        <w:rPr>
          <w:sz w:val="20"/>
          <w:szCs w:val="20"/>
          <w:color w:val="auto"/>
        </w:rPr>
      </w:pPr>
    </w:p>
    <w:p>
      <w:pPr>
        <w:ind w:left="424" w:hanging="424"/>
        <w:spacing w:after="0"/>
        <w:tabs>
          <w:tab w:leader="none" w:pos="424"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EMINENT DOMAIN</w:t>
      </w:r>
    </w:p>
    <w:p>
      <w:pPr>
        <w:spacing w:after="0" w:line="121" w:lineRule="exact"/>
        <w:rPr>
          <w:sz w:val="20"/>
          <w:szCs w:val="20"/>
          <w:color w:val="auto"/>
        </w:rPr>
      </w:pPr>
    </w:p>
    <w:p>
      <w:pPr>
        <w:ind w:left="4" w:right="20" w:firstLine="440"/>
        <w:spacing w:after="0" w:line="267" w:lineRule="auto"/>
        <w:rPr>
          <w:sz w:val="20"/>
          <w:szCs w:val="20"/>
          <w:color w:val="auto"/>
        </w:rPr>
      </w:pPr>
      <w:r>
        <w:rPr>
          <w:rFonts w:ascii="Arial" w:cs="Arial" w:eastAsia="Arial" w:hAnsi="Arial"/>
          <w:sz w:val="17"/>
          <w:szCs w:val="17"/>
          <w:color w:val="auto"/>
        </w:rPr>
        <w:t>In the event the whole of the Premises, the Building or the Project shall be taken under the power of eminent domain, or sold to prevent the exercise thereof (collectively, a “</w:t>
      </w:r>
      <w:r>
        <w:rPr>
          <w:rFonts w:ascii="Arial" w:cs="Arial" w:eastAsia="Arial" w:hAnsi="Arial"/>
          <w:sz w:val="17"/>
          <w:szCs w:val="17"/>
          <w:u w:val="single" w:color="auto"/>
          <w:color w:val="auto"/>
        </w:rPr>
        <w:t>Taking</w:t>
      </w:r>
      <w:r>
        <w:rPr>
          <w:rFonts w:ascii="Arial" w:cs="Arial" w:eastAsia="Arial" w:hAnsi="Arial"/>
          <w:sz w:val="17"/>
          <w:szCs w:val="17"/>
          <w:color w:val="auto"/>
        </w:rPr>
        <w:t xml:space="preserve">”), this Lease shall automatically terminate as of the date of such Taking. In the event a Taking of a portion of the Project, the Building or the Premises shall in the reasonable opinion of Landlord, substantially interfere with Landlord operation thereof, Landlord may terminate this Lease upon thirty (30) days written notice to Tenant given at any time within sixty (60) days following the date of such Taking. For purposes of this Lease, the date of Taking shall be the earlier of the date of transfer of title resulting from such Taking or the date of transfer of possession resulting from such Taking. In the event that a portion of the Premises is so taken and this Lease is not terminated Landlord shall to the extent of proceeds paid to Landlord as a result of the Taking with reasonable diligence use commercially reasonable efforts to proceed to restore (to the extent permitted by Law and covenants, conditions and restrictions then applicable to the Project) the Premises (other than Tenant’s personal property and fixtures and above-standard tenant improvements) to a complete, functioning unit. In such case, the Basic Annual Rent shall be reduced proportionately based on the portion of the Premises so taken. If all or any portion of the Premises is the subject of a temporary Taking this Lease shall remain in full force and effect and Tenant shall continue to perform each of its obligations under this Lease; in such case, Tenant shall be entitled to receive the entire award allocable to the temporary Taking of the Premises. Except as provided herein, Tenant shall not assert any claim against Landlord or the condemning authority for, and hereby assigns to Landlord any compensation in connection with any such Taking, and Landlord shat I be entitled to receive the entire amount of any award therefor, without deduction for any estate or interest of Tenant. Nothing contained in this </w:t>
      </w:r>
      <w:r>
        <w:rPr>
          <w:rFonts w:ascii="Arial" w:cs="Arial" w:eastAsia="Arial" w:hAnsi="Arial"/>
          <w:sz w:val="17"/>
          <w:szCs w:val="17"/>
          <w:u w:val="single" w:color="auto"/>
          <w:color w:val="auto"/>
        </w:rPr>
        <w:t>Paragraph 10</w:t>
      </w:r>
      <w:r>
        <w:rPr>
          <w:rFonts w:ascii="Arial" w:cs="Arial" w:eastAsia="Arial" w:hAnsi="Arial"/>
          <w:sz w:val="17"/>
          <w:szCs w:val="17"/>
          <w:color w:val="auto"/>
        </w:rPr>
        <w:t xml:space="preserve"> shall be deemed to give Landlord any interest in, or prevent Tenant from seeking any award against the condemning authority for the Taking of personal property, fixtures, above standard tenant improvements of Tenant or for relocation or moving expenses recoverable by Tenant from the condemning authority. This </w:t>
      </w:r>
      <w:r>
        <w:rPr>
          <w:rFonts w:ascii="Arial" w:cs="Arial" w:eastAsia="Arial" w:hAnsi="Arial"/>
          <w:sz w:val="17"/>
          <w:szCs w:val="17"/>
          <w:u w:val="single" w:color="auto"/>
          <w:color w:val="auto"/>
        </w:rPr>
        <w:t>Paragraph 10</w:t>
      </w:r>
      <w:r>
        <w:rPr>
          <w:rFonts w:ascii="Arial" w:cs="Arial" w:eastAsia="Arial" w:hAnsi="Arial"/>
          <w:sz w:val="17"/>
          <w:szCs w:val="17"/>
          <w:color w:val="auto"/>
        </w:rPr>
        <w:t xml:space="preserve"> shall be Tenants sole and</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75" w:name="page376"/>
    <w:bookmarkEnd w:id="375"/>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 remedy in the event of a Taking. This Lease sets forth the terms and conditions upon which this Lease may terminate in the event of a Taking. Accordingly, the parties waive the provisions of the California Code of Civil Procedure Section 1265.130 and any successor or similar statutes permitting the parties to terminate this Lease as a result of a Taking.</w:t>
      </w:r>
    </w:p>
    <w:p>
      <w:pPr>
        <w:spacing w:after="0" w:line="328" w:lineRule="exact"/>
        <w:rPr>
          <w:sz w:val="20"/>
          <w:szCs w:val="20"/>
          <w:color w:val="auto"/>
        </w:rPr>
      </w:pPr>
    </w:p>
    <w:p>
      <w:pPr>
        <w:ind w:left="424" w:hanging="424"/>
        <w:spacing w:after="0"/>
        <w:tabs>
          <w:tab w:leader="none" w:pos="424"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SUBLETTING</w:t>
      </w:r>
    </w:p>
    <w:p>
      <w:pPr>
        <w:spacing w:after="0" w:line="121" w:lineRule="exact"/>
        <w:rPr>
          <w:rFonts w:ascii="Arial" w:cs="Arial" w:eastAsia="Arial" w:hAnsi="Arial"/>
          <w:sz w:val="18"/>
          <w:szCs w:val="18"/>
          <w:b w:val="1"/>
          <w:bCs w:val="1"/>
          <w:color w:val="auto"/>
        </w:rPr>
      </w:pPr>
    </w:p>
    <w:p>
      <w:pPr>
        <w:ind w:left="4" w:right="140" w:firstLine="436"/>
        <w:spacing w:after="0" w:line="270" w:lineRule="auto"/>
        <w:tabs>
          <w:tab w:leader="none" w:pos="821" w:val="left"/>
        </w:tabs>
        <w:numPr>
          <w:ilvl w:val="1"/>
          <w:numId w:val="366"/>
        </w:numPr>
        <w:rPr>
          <w:rFonts w:ascii="Arial" w:cs="Arial" w:eastAsia="Arial" w:hAnsi="Arial"/>
          <w:sz w:val="17"/>
          <w:szCs w:val="17"/>
          <w:color w:val="auto"/>
        </w:rPr>
      </w:pPr>
      <w:r>
        <w:rPr>
          <w:rFonts w:ascii="Arial" w:cs="Arial" w:eastAsia="Arial" w:hAnsi="Arial"/>
          <w:sz w:val="17"/>
          <w:szCs w:val="17"/>
          <w:color w:val="auto"/>
        </w:rPr>
        <w:t xml:space="preserve">Tenant shall not directly or indirectly voluntarily or involuntarily, by operation of law or otherwise, assign sublet, mortgage hypothecate or otherwise encumber all or any portion of its interest in this Lease or in the Premises or grant any license in or suffer any person other than Tenant or its employees to use or occupy the Premises or any part thereof without obtaining the prior written consent of Landlord, which consent shall not be unreasonably withheld. Any such attempted assignment subletting, license, mortgage hypothecation, other encumbrance or other use or occupancy without the consent of Landlord shall be null and void and of no effect. Any mortgage, hypothecation or encumbrance of all or any portion of Tenant’s interest in this Lease or in the Premises and any grant of a license or sufferance of any person other than Tenant or its employees to use or occupy the Premises or any part thereof shall be deemed to be an “assignment” of this Lease. In addition as used in this </w:t>
      </w:r>
      <w:r>
        <w:rPr>
          <w:rFonts w:ascii="Arial" w:cs="Arial" w:eastAsia="Arial" w:hAnsi="Arial"/>
          <w:sz w:val="17"/>
          <w:szCs w:val="17"/>
          <w:u w:val="single" w:color="auto"/>
          <w:color w:val="auto"/>
        </w:rPr>
        <w:t>Paragraph 11</w:t>
      </w:r>
      <w:r>
        <w:rPr>
          <w:rFonts w:ascii="Arial" w:cs="Arial" w:eastAsia="Arial" w:hAnsi="Arial"/>
          <w:sz w:val="17"/>
          <w:szCs w:val="17"/>
          <w:color w:val="auto"/>
        </w:rPr>
        <w:t>, the term “Tenant” shall also mean any entity that has guaranteed Tenant s obligations under this Lease, and the restrictions applicable to Tenant contained herein shall also be applicable to such guarantor.</w:t>
      </w:r>
    </w:p>
    <w:p>
      <w:pPr>
        <w:spacing w:after="0" w:line="180" w:lineRule="exact"/>
        <w:rPr>
          <w:rFonts w:ascii="Arial" w:cs="Arial" w:eastAsia="Arial" w:hAnsi="Arial"/>
          <w:sz w:val="17"/>
          <w:szCs w:val="17"/>
          <w:color w:val="auto"/>
        </w:rPr>
      </w:pPr>
    </w:p>
    <w:p>
      <w:pPr>
        <w:ind w:left="4" w:firstLine="436"/>
        <w:spacing w:after="0" w:line="254" w:lineRule="auto"/>
        <w:tabs>
          <w:tab w:leader="none" w:pos="834"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 assignment or subletting shall relieve Tenant of its obligation to pay the Rent and to perform all of the other obligations to be performed by Tenant hereunder. The acceptance of Rent by Landlord from any other person shall not be deemed to be a waiver by Landlord of any provision of this Lease or to be a consent to any subletting or assignment. Consent by Landlord to one subletting or assignment shall not be deemed to constitute a consent to any other or subsequent attempted subletting or assignment. If Tenant desires at any time to assign this Lease or to sublet the Premises or any portion thereof, it shall first notify Landlord of its desire to do so and shall submit in writing to Landlord all pertinent information relating to the proposed assignee or sublessee, all pertinent information relating to the proposed assignment or sublease, and all such financial information as Landlord may reasonably request concerning Tenant and the proposed assignee or subtenant. Any assignment or sublease shall be expressly subject to the terms and conditions of this Lease.</w:t>
      </w:r>
    </w:p>
    <w:p>
      <w:pPr>
        <w:spacing w:after="0" w:line="191" w:lineRule="exact"/>
        <w:rPr>
          <w:rFonts w:ascii="Arial" w:cs="Arial" w:eastAsia="Arial" w:hAnsi="Arial"/>
          <w:sz w:val="18"/>
          <w:szCs w:val="18"/>
          <w:color w:val="auto"/>
        </w:rPr>
      </w:pPr>
    </w:p>
    <w:p>
      <w:pPr>
        <w:ind w:left="4" w:right="140" w:firstLine="436"/>
        <w:spacing w:after="0" w:line="263" w:lineRule="auto"/>
        <w:tabs>
          <w:tab w:leader="none" w:pos="814"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At any time within thirty (30) days after Landlord’s receipt of the information specified in subparagraph (b) above Landlord may by written notice to Tenant elect to terminate this Lease as to the portion of the Premises so proposed to be subleased or assigned (which may include all of the Premises), with a proportionate abatement in the Rent payable hereunder.</w:t>
      </w:r>
    </w:p>
    <w:p>
      <w:pPr>
        <w:spacing w:after="0" w:line="183" w:lineRule="exact"/>
        <w:rPr>
          <w:rFonts w:ascii="Arial" w:cs="Arial" w:eastAsia="Arial" w:hAnsi="Arial"/>
          <w:sz w:val="18"/>
          <w:szCs w:val="18"/>
          <w:color w:val="auto"/>
        </w:rPr>
      </w:pPr>
    </w:p>
    <w:p>
      <w:pPr>
        <w:ind w:left="4" w:right="440" w:firstLine="436"/>
        <w:spacing w:after="0" w:line="277" w:lineRule="auto"/>
        <w:tabs>
          <w:tab w:leader="none" w:pos="83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Tenant acknowledges that it shall be reasonable for Landlord to withhold its consent to a proposed assignment or sublease in any of the following instances:</w:t>
      </w:r>
    </w:p>
    <w:p>
      <w:pPr>
        <w:spacing w:after="0" w:line="62" w:lineRule="exact"/>
        <w:rPr>
          <w:rFonts w:ascii="Arial" w:cs="Arial" w:eastAsia="Arial" w:hAnsi="Arial"/>
          <w:sz w:val="18"/>
          <w:szCs w:val="18"/>
          <w:color w:val="auto"/>
        </w:rPr>
      </w:pPr>
    </w:p>
    <w:p>
      <w:pPr>
        <w:ind w:left="444" w:right="920" w:firstLine="419"/>
        <w:spacing w:after="0" w:line="277" w:lineRule="auto"/>
        <w:tabs>
          <w:tab w:leader="none" w:pos="1213" w:val="left"/>
        </w:tabs>
        <w:numPr>
          <w:ilvl w:val="2"/>
          <w:numId w:val="366"/>
        </w:numPr>
        <w:rPr>
          <w:rFonts w:ascii="Arial" w:cs="Arial" w:eastAsia="Arial" w:hAnsi="Arial"/>
          <w:sz w:val="18"/>
          <w:szCs w:val="18"/>
          <w:color w:val="auto"/>
        </w:rPr>
      </w:pPr>
      <w:r>
        <w:rPr>
          <w:rFonts w:ascii="Arial" w:cs="Arial" w:eastAsia="Arial" w:hAnsi="Arial"/>
          <w:sz w:val="18"/>
          <w:szCs w:val="18"/>
          <w:color w:val="auto"/>
        </w:rPr>
        <w:t>The assignee or sublessee (or any affiliate of the assignee or sublessee) is not in Landlord’s reasonable opinion, sufficiently creditworthy to perform the obligations such assignee or sublessee will have under this Lease;</w:t>
      </w:r>
    </w:p>
    <w:p>
      <w:pPr>
        <w:spacing w:after="0" w:line="62" w:lineRule="exact"/>
        <w:rPr>
          <w:rFonts w:ascii="Arial" w:cs="Arial" w:eastAsia="Arial" w:hAnsi="Arial"/>
          <w:sz w:val="18"/>
          <w:szCs w:val="18"/>
          <w:color w:val="auto"/>
        </w:rPr>
      </w:pPr>
    </w:p>
    <w:p>
      <w:pPr>
        <w:ind w:left="1264" w:hanging="401"/>
        <w:spacing w:after="0"/>
        <w:tabs>
          <w:tab w:leader="none" w:pos="1264" w:val="left"/>
        </w:tabs>
        <w:numPr>
          <w:ilvl w:val="2"/>
          <w:numId w:val="366"/>
        </w:numPr>
        <w:rPr>
          <w:rFonts w:ascii="Arial" w:cs="Arial" w:eastAsia="Arial" w:hAnsi="Arial"/>
          <w:sz w:val="18"/>
          <w:szCs w:val="18"/>
          <w:color w:val="auto"/>
        </w:rPr>
      </w:pPr>
      <w:r>
        <w:rPr>
          <w:rFonts w:ascii="Arial" w:cs="Arial" w:eastAsia="Arial" w:hAnsi="Arial"/>
          <w:sz w:val="18"/>
          <w:szCs w:val="18"/>
          <w:color w:val="auto"/>
        </w:rPr>
        <w:t>The intended use of the Premises by the assignee or sublessee is not for general office use;</w:t>
      </w:r>
    </w:p>
    <w:p>
      <w:pPr>
        <w:spacing w:after="0" w:line="117" w:lineRule="exact"/>
        <w:rPr>
          <w:rFonts w:ascii="Arial" w:cs="Arial" w:eastAsia="Arial" w:hAnsi="Arial"/>
          <w:sz w:val="18"/>
          <w:szCs w:val="18"/>
          <w:color w:val="auto"/>
        </w:rPr>
      </w:pPr>
    </w:p>
    <w:p>
      <w:pPr>
        <w:ind w:left="444" w:right="460" w:firstLine="419"/>
        <w:spacing w:after="0" w:line="277" w:lineRule="auto"/>
        <w:tabs>
          <w:tab w:leader="none" w:pos="1313" w:val="left"/>
        </w:tabs>
        <w:numPr>
          <w:ilvl w:val="2"/>
          <w:numId w:val="366"/>
        </w:numPr>
        <w:rPr>
          <w:rFonts w:ascii="Arial" w:cs="Arial" w:eastAsia="Arial" w:hAnsi="Arial"/>
          <w:sz w:val="18"/>
          <w:szCs w:val="18"/>
          <w:color w:val="auto"/>
        </w:rPr>
      </w:pPr>
      <w:r>
        <w:rPr>
          <w:rFonts w:ascii="Arial" w:cs="Arial" w:eastAsia="Arial" w:hAnsi="Arial"/>
          <w:sz w:val="18"/>
          <w:szCs w:val="18"/>
          <w:color w:val="auto"/>
        </w:rPr>
        <w:t>The intended use of the Premises by the assignee or sublessee would materially increase the pedestrian or vehicular traffic to the Premises or the Building;</w:t>
      </w:r>
    </w:p>
    <w:p>
      <w:pPr>
        <w:spacing w:after="0" w:line="62" w:lineRule="exact"/>
        <w:rPr>
          <w:rFonts w:ascii="Arial" w:cs="Arial" w:eastAsia="Arial" w:hAnsi="Arial"/>
          <w:sz w:val="18"/>
          <w:szCs w:val="18"/>
          <w:color w:val="auto"/>
        </w:rPr>
      </w:pPr>
    </w:p>
    <w:p>
      <w:pPr>
        <w:ind w:left="444" w:firstLine="419"/>
        <w:spacing w:after="0" w:line="308" w:lineRule="auto"/>
        <w:tabs>
          <w:tab w:leader="none" w:pos="1307" w:val="left"/>
        </w:tabs>
        <w:numPr>
          <w:ilvl w:val="2"/>
          <w:numId w:val="366"/>
        </w:numPr>
        <w:rPr>
          <w:rFonts w:ascii="Arial" w:cs="Arial" w:eastAsia="Arial" w:hAnsi="Arial"/>
          <w:sz w:val="17"/>
          <w:szCs w:val="17"/>
          <w:color w:val="auto"/>
        </w:rPr>
      </w:pPr>
      <w:r>
        <w:rPr>
          <w:rFonts w:ascii="Arial" w:cs="Arial" w:eastAsia="Arial" w:hAnsi="Arial"/>
          <w:sz w:val="17"/>
          <w:szCs w:val="17"/>
          <w:color w:val="auto"/>
        </w:rPr>
        <w:t>Occupancy of the Premises by the assignee or sublessee would, in the good faith judgment of Landlord, violate any agreement binding upon Landlord, the Building or the Project with regard to the identity of tenants, usage in the Building, or similar matters;</w:t>
      </w:r>
    </w:p>
    <w:p>
      <w:pPr>
        <w:spacing w:after="0" w:line="38" w:lineRule="exact"/>
        <w:rPr>
          <w:rFonts w:ascii="Arial" w:cs="Arial" w:eastAsia="Arial" w:hAnsi="Arial"/>
          <w:sz w:val="17"/>
          <w:szCs w:val="17"/>
          <w:color w:val="auto"/>
        </w:rPr>
      </w:pPr>
    </w:p>
    <w:p>
      <w:pPr>
        <w:ind w:left="444" w:right="560" w:firstLine="419"/>
        <w:spacing w:after="0" w:line="277" w:lineRule="auto"/>
        <w:tabs>
          <w:tab w:leader="none" w:pos="1253" w:val="left"/>
        </w:tabs>
        <w:numPr>
          <w:ilvl w:val="2"/>
          <w:numId w:val="366"/>
        </w:numPr>
        <w:rPr>
          <w:rFonts w:ascii="Arial" w:cs="Arial" w:eastAsia="Arial" w:hAnsi="Arial"/>
          <w:sz w:val="18"/>
          <w:szCs w:val="18"/>
          <w:color w:val="auto"/>
        </w:rPr>
      </w:pPr>
      <w:r>
        <w:rPr>
          <w:rFonts w:ascii="Arial" w:cs="Arial" w:eastAsia="Arial" w:hAnsi="Arial"/>
          <w:sz w:val="18"/>
          <w:szCs w:val="18"/>
          <w:color w:val="auto"/>
        </w:rPr>
        <w:t>The assignee or sublessee (or any affiliate of the assignee or sublessee) is then negotiating with Landlord or has negotiated with Landlord within the previous six (6) months, or is a current tenant or subtenant within the Building or Project;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76" w:name="page377"/>
    <w:bookmarkEnd w:id="376"/>
    <w:p>
      <w:pPr>
        <w:ind w:left="444" w:right="500" w:firstLine="419"/>
        <w:spacing w:after="0" w:line="277" w:lineRule="auto"/>
        <w:tabs>
          <w:tab w:leader="none" w:pos="1303"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identity or business reputation of the assignee or sublessee will, in the good faith judgment of Landlord, tend to damage the goodwill or reputation of the Building or Project;</w:t>
      </w:r>
    </w:p>
    <w:p>
      <w:pPr>
        <w:spacing w:after="0" w:line="62" w:lineRule="exact"/>
        <w:rPr>
          <w:rFonts w:ascii="Arial" w:cs="Arial" w:eastAsia="Arial" w:hAnsi="Arial"/>
          <w:sz w:val="18"/>
          <w:szCs w:val="18"/>
          <w:color w:val="auto"/>
        </w:rPr>
      </w:pPr>
    </w:p>
    <w:p>
      <w:pPr>
        <w:ind w:left="1344" w:hanging="481"/>
        <w:spacing w:after="0"/>
        <w:tabs>
          <w:tab w:leader="none" w:pos="134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proposed sublease would result in more than two subleases of portions of the Premises being in effect at any one time during the</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Lease Term;</w:t>
      </w:r>
    </w:p>
    <w:p>
      <w:pPr>
        <w:spacing w:after="0" w:line="102" w:lineRule="exact"/>
        <w:rPr>
          <w:rFonts w:ascii="Arial" w:cs="Arial" w:eastAsia="Arial" w:hAnsi="Arial"/>
          <w:sz w:val="16"/>
          <w:szCs w:val="16"/>
          <w:color w:val="auto"/>
        </w:rPr>
      </w:pPr>
    </w:p>
    <w:p>
      <w:pPr>
        <w:ind w:left="444" w:right="440" w:firstLine="419"/>
        <w:spacing w:after="0" w:line="342" w:lineRule="auto"/>
        <w:tabs>
          <w:tab w:leader="none" w:pos="140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net effective rent payable by the assignee or sublessee (adjusted on a square foot of Rentable Area basis) is less than the net effective rent then being quoted by Landlord for new leases in the Building for comparable size space for a comparable period of time; or</w:t>
      </w:r>
    </w:p>
    <w:p>
      <w:pPr>
        <w:spacing w:after="0" w:line="15" w:lineRule="exact"/>
        <w:rPr>
          <w:rFonts w:ascii="Arial" w:cs="Arial" w:eastAsia="Arial" w:hAnsi="Arial"/>
          <w:sz w:val="16"/>
          <w:szCs w:val="16"/>
          <w:color w:val="auto"/>
        </w:rPr>
      </w:pPr>
    </w:p>
    <w:p>
      <w:pPr>
        <w:ind w:left="1304" w:hanging="441"/>
        <w:spacing w:after="0"/>
        <w:tabs>
          <w:tab w:leader="none" w:pos="130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 the case of a sublease, the subtenant has not acknowledged that the Lease controls over any inconsistent provision in the sublease.</w:t>
      </w:r>
    </w:p>
    <w:p>
      <w:pPr>
        <w:spacing w:after="0" w:line="24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The foregoing criteria shall not exclude any other reasonable basis for Landlord to refuse its consent to such assignment or sub lease. Notwithstanding any contrary provision of this Lease, if Tenant or any proposed assignee or sublessee claims that Landlord has unreasonably withheld its consent to a proposed assignment or sublease or otherwise has breached its obligations under this </w:t>
      </w:r>
      <w:r>
        <w:rPr>
          <w:rFonts w:ascii="Arial" w:cs="Arial" w:eastAsia="Arial" w:hAnsi="Arial"/>
          <w:sz w:val="18"/>
          <w:szCs w:val="18"/>
          <w:u w:val="single" w:color="auto"/>
          <w:color w:val="auto"/>
        </w:rPr>
        <w:t>Paragraph 11</w:t>
      </w:r>
      <w:r>
        <w:rPr>
          <w:rFonts w:ascii="Arial" w:cs="Arial" w:eastAsia="Arial" w:hAnsi="Arial"/>
          <w:sz w:val="18"/>
          <w:szCs w:val="18"/>
          <w:color w:val="auto"/>
        </w:rPr>
        <w:t xml:space="preserve"> their sole remedy shall be to seek a declaratory judgment and/or injunctive relief without any monetary damages, and, with respect thereto, Tenant on behalf of itself and, to the extent permitted by law, such proposed assignee /sublessee, hereby waives all other remedies against Landlord, including, without limitation, the right to seek monetary damages or to terminate this Lease.</w:t>
      </w:r>
    </w:p>
    <w:p>
      <w:pPr>
        <w:spacing w:after="0" w:line="192" w:lineRule="exact"/>
        <w:rPr>
          <w:sz w:val="20"/>
          <w:szCs w:val="20"/>
          <w:color w:val="auto"/>
        </w:rPr>
      </w:pPr>
    </w:p>
    <w:p>
      <w:pPr>
        <w:ind w:left="4" w:right="40" w:firstLine="436"/>
        <w:spacing w:after="0" w:line="284" w:lineRule="auto"/>
        <w:tabs>
          <w:tab w:leader="none" w:pos="824" w:val="left"/>
        </w:tabs>
        <w:numPr>
          <w:ilvl w:val="1"/>
          <w:numId w:val="368"/>
        </w:numPr>
        <w:rPr>
          <w:rFonts w:ascii="Arial" w:cs="Arial" w:eastAsia="Arial" w:hAnsi="Arial"/>
          <w:sz w:val="16"/>
          <w:szCs w:val="16"/>
          <w:color w:val="auto"/>
        </w:rPr>
      </w:pPr>
      <w:r>
        <w:rPr>
          <w:rFonts w:ascii="Arial" w:cs="Arial" w:eastAsia="Arial" w:hAnsi="Arial"/>
          <w:sz w:val="16"/>
          <w:szCs w:val="16"/>
          <w:color w:val="auto"/>
        </w:rPr>
        <w:t>Notwithstanding any assignment or subletting, Tenant and any guarantor or surety of Tenant’s obligations under this Lease shall at all times during the Initial Term and any subsequent renewals or extensions remain fully responsible and liable for the payment of the rent and for compliance with all of Tenant’s other obligations under this Lease. In the event that the Rent due and payable by a sublessee or assignee (or a combination of the rental payable under such sublease or assignment plus any bonus or other consideration therefor or incident thereto) exceeds the Rent payable under this Lease then Tenant shall be bound and obligated to pay Landlord, as additional rent hereunder, one-half (1/2) of all such excess Rent and other excess consideration (after deducting Tenant’s reasonable and actual out-of-pocket costs incurred in connection with such sublease or assignment) within ten</w:t>
      </w:r>
    </w:p>
    <w:p>
      <w:pPr>
        <w:spacing w:after="0" w:line="4" w:lineRule="exact"/>
        <w:rPr>
          <w:rFonts w:ascii="Arial" w:cs="Arial" w:eastAsia="Arial" w:hAnsi="Arial"/>
          <w:sz w:val="16"/>
          <w:szCs w:val="16"/>
          <w:color w:val="auto"/>
        </w:rPr>
      </w:pPr>
    </w:p>
    <w:p>
      <w:pPr>
        <w:ind w:left="344" w:hanging="344"/>
        <w:spacing w:after="0"/>
        <w:tabs>
          <w:tab w:leader="none" w:pos="3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days following receipt thereof by Tenant.</w:t>
      </w:r>
    </w:p>
    <w:p>
      <w:pPr>
        <w:spacing w:after="0" w:line="210" w:lineRule="exact"/>
        <w:rPr>
          <w:rFonts w:ascii="Arial" w:cs="Arial" w:eastAsia="Arial" w:hAnsi="Arial"/>
          <w:sz w:val="18"/>
          <w:szCs w:val="18"/>
          <w:color w:val="auto"/>
        </w:rPr>
      </w:pPr>
    </w:p>
    <w:p>
      <w:pPr>
        <w:ind w:left="4" w:right="20" w:firstLine="436"/>
        <w:spacing w:after="0" w:line="291" w:lineRule="auto"/>
        <w:tabs>
          <w:tab w:leader="none" w:pos="804" w:val="left"/>
        </w:tabs>
        <w:numPr>
          <w:ilvl w:val="1"/>
          <w:numId w:val="369"/>
        </w:numPr>
        <w:rPr>
          <w:rFonts w:ascii="Arial" w:cs="Arial" w:eastAsia="Arial" w:hAnsi="Arial"/>
          <w:sz w:val="16"/>
          <w:szCs w:val="16"/>
          <w:color w:val="auto"/>
        </w:rPr>
      </w:pPr>
      <w:r>
        <w:rPr>
          <w:rFonts w:ascii="Arial" w:cs="Arial" w:eastAsia="Arial" w:hAnsi="Arial"/>
          <w:sz w:val="16"/>
          <w:szCs w:val="16"/>
          <w:color w:val="auto"/>
        </w:rPr>
        <w:t>If this Lease is assigned or if the Premises is subleased (whether in whole or in part), or in the event of the mortgage, pledge, or hypothecation of Tenant’s leasehold interest, or grant of any concession or license within the Premises, or if the Premises are occupied in whole or in part by anyone other than Tenant, then upon a default by Tenant hereunder Landlord may collect Rent from the assignee, sublessee, mortgagee, pledgee, party to whom the leasehold interest was hypothecated, concessionee or licensee or other occupant and except to the extent set forth in the preceding paragraph apply the amount collected to the next Rent payable hereunder and all such Rent collected by Tenant shall be held in deposit for Landlord and immediately forwarded to Landlord. No such transaction or collection of Rent or application thereof by Landlord, however, shall be deemed a waiver of these provisions or a release of Tenant from the further performance by Tenant of its covenants, duties or obligations hereunder.</w:t>
      </w:r>
    </w:p>
    <w:p>
      <w:pPr>
        <w:spacing w:after="0" w:line="166" w:lineRule="exact"/>
        <w:rPr>
          <w:rFonts w:ascii="Arial" w:cs="Arial" w:eastAsia="Arial" w:hAnsi="Arial"/>
          <w:sz w:val="16"/>
          <w:szCs w:val="16"/>
          <w:color w:val="auto"/>
        </w:rPr>
      </w:pPr>
    </w:p>
    <w:p>
      <w:pPr>
        <w:ind w:left="4" w:firstLine="436"/>
        <w:spacing w:after="0" w:line="257" w:lineRule="auto"/>
        <w:tabs>
          <w:tab w:leader="none" w:pos="83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If Tenant effects an assignment or sublease or requests the consent of Landlord to any proposed assignment or sublease, then Tenant shall, upon demand, pay Landlord a non-refundable administrative fee of One Thousand Dollars ($1,000.00), plus any reasonable attorneys’ and paralegal fees and costs incurred by Landlord in connection with such assignment or sublease or request for consent. Acceptance of the One Thousand Dollar ($1,000.00) administrative fee and/or reimbursement of Landlord’s attorneys and paralegal fees shall in no event obligate Landlord to consent to any proposed assignment or sublease.</w:t>
      </w:r>
    </w:p>
    <w:p>
      <w:pPr>
        <w:spacing w:after="0" w:line="187" w:lineRule="exact"/>
        <w:rPr>
          <w:rFonts w:ascii="Arial" w:cs="Arial" w:eastAsia="Arial" w:hAnsi="Arial"/>
          <w:sz w:val="18"/>
          <w:szCs w:val="18"/>
          <w:color w:val="auto"/>
        </w:rPr>
      </w:pPr>
    </w:p>
    <w:p>
      <w:pPr>
        <w:ind w:left="4" w:right="100" w:firstLine="436"/>
        <w:spacing w:after="0" w:line="257" w:lineRule="auto"/>
        <w:tabs>
          <w:tab w:leader="none" w:pos="83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Notwithstanding any provision of this Lease to the contrary in the event this Lease is assigned to any person or entity pursuant to the provisions of the Bankruptcy Code any and all monies or other consideration payable or otherwise to be delivered in connection with such assignment shall be paid or delivered to Landlord shall be and remain the exclusive property of Landlord and shall not constitute the property of Tenant or Tenant’s estate within the meaning of the Bankruptcy Code. All such money and other consideration not paid or delivered to Landlord shall be held in trust for the benefit of Landlord and shall be promptly paid or delivered to Landlord.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77" w:name="page378"/>
    <w:bookmarkEnd w:id="377"/>
    <w:p>
      <w:pPr>
        <w:ind w:left="424" w:hanging="424"/>
        <w:spacing w:after="0"/>
        <w:tabs>
          <w:tab w:leader="none" w:pos="424"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w:t>
      </w:r>
    </w:p>
    <w:p>
      <w:pPr>
        <w:spacing w:after="0" w:line="121" w:lineRule="exact"/>
        <w:rPr>
          <w:rFonts w:ascii="Arial" w:cs="Arial" w:eastAsia="Arial" w:hAnsi="Arial"/>
          <w:sz w:val="18"/>
          <w:szCs w:val="18"/>
          <w:b w:val="1"/>
          <w:bCs w:val="1"/>
          <w:color w:val="auto"/>
        </w:rPr>
      </w:pPr>
    </w:p>
    <w:p>
      <w:pPr>
        <w:ind w:left="4" w:right="20" w:firstLine="436"/>
        <w:spacing w:after="0" w:line="285" w:lineRule="auto"/>
        <w:tabs>
          <w:tab w:leader="none" w:pos="824" w:val="left"/>
        </w:tabs>
        <w:numPr>
          <w:ilvl w:val="1"/>
          <w:numId w:val="370"/>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xml:space="preserve">. The occurrence of any one or more of the following events shall constitute an event of default (herein so called) under this Lease by Tenant: (i) the failure by Tenant to make any payment of Rent or any other payment required to be made by Tenant hereunder, where such failure continues for three (3) business days after written notice thereof from Landlord that such payment was not received; (ii) the failure by Tenant to observe or perform any of the express or implied covenants or provisions of this Lease to be observed or performed by Tenant other than monetary failures as specified in clause (i) </w:t>
      </w:r>
      <w:r>
        <w:rPr>
          <w:rFonts w:ascii="Arial" w:cs="Arial" w:eastAsia="Arial" w:hAnsi="Arial"/>
          <w:sz w:val="16"/>
          <w:szCs w:val="16"/>
          <w:u w:val="single" w:color="auto"/>
          <w:color w:val="auto"/>
        </w:rPr>
        <w:t>Paragraphs 12(a)(i)</w:t>
      </w:r>
      <w:r>
        <w:rPr>
          <w:rFonts w:ascii="Arial" w:cs="Arial" w:eastAsia="Arial" w:hAnsi="Arial"/>
          <w:sz w:val="16"/>
          <w:szCs w:val="16"/>
          <w:color w:val="auto"/>
        </w:rPr>
        <w:t xml:space="preserve"> above, where such failure shall continue for a period of ten (10) days after written notice thereof from Landlord to Tenant; provided, however that if the nature of Tenant’s default is such that more than ten (10) days are reasonably required for its cure, then Tenant shall not be deemed to be in default if Tenant shall commence such cure within said ten (10) day period and thereafter diligently prosecute such cure to completion, which completion shall occur not later than sixty (60) days from the date of such notice from Landlord; (iii) the making by Tenant or any guarantor hereof of any general assignment for the benefit of creditors, (iv) the filing by or against Tenant or any guarantor hereof of a petition to have Tenant or any guarantor hereof adjudged a bankrupt or a petition for reorganization or arrangement under any law relating to bankruptcy (unless in the case of a petition filed against Tenant or any guarantor hereof, the same is dismissed within sixty (60) days), (v) the appointment of a trustee or receiver to take possession of substantially all of Tenant’s assets located at the Premises or of Tenant’s interest in this Lease or of substantially all of guarantor’s assets, where possession is not restored to Tenant or guarantor within sixty (60) days, or (vi) the attachment, execution or other judicial seizure of substantially all of Tenant’s assets located at the Premises or of substantially all of guarantor’s assets or of Tenant’s interest in this Lease where such seizure is not discharged within sixty (60) days; (vii) any material representation or warranty made by Tenant or guarantor in this Lease or any other document delivered in connection with the execution and delivery of this Lease or pursuant to this Lease proves to be incorrect in any material respect; (viii) Tenant or guarantor shall be liquidated or dissolved or shall begin proceedings towards its liquidation or dissolution; or (ix) the vacation or abandonment of the Premises by Tenant.</w:t>
      </w:r>
    </w:p>
    <w:p>
      <w:pPr>
        <w:spacing w:after="0" w:line="17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 xml:space="preserve">Any notice sent by Landlord to Tenant pursuant to this </w:t>
      </w:r>
      <w:r>
        <w:rPr>
          <w:rFonts w:ascii="Arial" w:cs="Arial" w:eastAsia="Arial" w:hAnsi="Arial"/>
          <w:sz w:val="18"/>
          <w:szCs w:val="18"/>
          <w:u w:val="single" w:color="auto"/>
          <w:color w:val="auto"/>
        </w:rPr>
        <w:t>Paragraph 12(a)</w:t>
      </w:r>
      <w:r>
        <w:rPr>
          <w:rFonts w:ascii="Arial" w:cs="Arial" w:eastAsia="Arial" w:hAnsi="Arial"/>
          <w:sz w:val="18"/>
          <w:szCs w:val="18"/>
          <w:color w:val="auto"/>
        </w:rPr>
        <w:t xml:space="preserve"> shall be in lieu of, and not in addition to, any notice required under California Code of Civil Procedure Section 1161.</w:t>
      </w:r>
    </w:p>
    <w:p>
      <w:pPr>
        <w:spacing w:after="0" w:line="170" w:lineRule="exact"/>
        <w:rPr>
          <w:sz w:val="20"/>
          <w:szCs w:val="20"/>
          <w:color w:val="auto"/>
        </w:rPr>
      </w:pPr>
    </w:p>
    <w:p>
      <w:pPr>
        <w:jc w:val="both"/>
        <w:ind w:left="4" w:right="260" w:firstLine="436"/>
        <w:spacing w:after="0" w:line="263" w:lineRule="auto"/>
        <w:tabs>
          <w:tab w:leader="none" w:pos="834"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Landlord’s Remedies; Termination</w:t>
      </w:r>
      <w:r>
        <w:rPr>
          <w:rFonts w:ascii="Arial" w:cs="Arial" w:eastAsia="Arial" w:hAnsi="Arial"/>
          <w:sz w:val="18"/>
          <w:szCs w:val="18"/>
          <w:color w:val="auto"/>
        </w:rPr>
        <w:t>. In the event of any event of default by Tenant, in addition to any other remedies available to Landlord under this Lease, at law or in equity, Landlord shall have the immediate option to terminate this Lease and all rights of Tenant hereunder. In the event that Landlord shall elect to so terminate this Lease, then Landlord may recover from Tenant:</w:t>
      </w:r>
    </w:p>
    <w:p>
      <w:pPr>
        <w:spacing w:after="0" w:line="75" w:lineRule="exact"/>
        <w:rPr>
          <w:rFonts w:ascii="Arial" w:cs="Arial" w:eastAsia="Arial" w:hAnsi="Arial"/>
          <w:sz w:val="18"/>
          <w:szCs w:val="18"/>
          <w:color w:val="auto"/>
        </w:rPr>
      </w:pPr>
    </w:p>
    <w:p>
      <w:pPr>
        <w:ind w:left="1204" w:hanging="341"/>
        <w:spacing w:after="0"/>
        <w:tabs>
          <w:tab w:leader="none" w:pos="1204"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had been earned at the time of such termination; plus</w:t>
      </w:r>
    </w:p>
    <w:p>
      <w:pPr>
        <w:spacing w:after="0" w:line="117" w:lineRule="exact"/>
        <w:rPr>
          <w:rFonts w:ascii="Arial" w:cs="Arial" w:eastAsia="Arial" w:hAnsi="Arial"/>
          <w:sz w:val="18"/>
          <w:szCs w:val="18"/>
          <w:color w:val="auto"/>
        </w:rPr>
      </w:pPr>
    </w:p>
    <w:p>
      <w:pPr>
        <w:ind w:left="444" w:right="260" w:firstLine="419"/>
        <w:spacing w:after="0" w:line="308" w:lineRule="auto"/>
        <w:tabs>
          <w:tab w:leader="none" w:pos="1267" w:val="left"/>
        </w:tabs>
        <w:numPr>
          <w:ilvl w:val="1"/>
          <w:numId w:val="371"/>
        </w:numPr>
        <w:rPr>
          <w:rFonts w:ascii="Arial" w:cs="Arial" w:eastAsia="Arial" w:hAnsi="Arial"/>
          <w:sz w:val="17"/>
          <w:szCs w:val="17"/>
          <w:color w:val="auto"/>
        </w:rPr>
      </w:pPr>
      <w:r>
        <w:rPr>
          <w:rFonts w:ascii="Arial" w:cs="Arial" w:eastAsia="Arial" w:hAnsi="Arial"/>
          <w:sz w:val="17"/>
          <w:szCs w:val="17"/>
          <w:color w:val="auto"/>
        </w:rPr>
        <w:t>the worth at the time of the award of the amount by which the unpaid rent which would have been earned after termination until the time of award exceeds the amount of such rental loss that Tenant proves could have been reasonably avoided; plus</w:t>
      </w:r>
    </w:p>
    <w:p>
      <w:pPr>
        <w:spacing w:after="0" w:line="38" w:lineRule="exact"/>
        <w:rPr>
          <w:rFonts w:ascii="Arial" w:cs="Arial" w:eastAsia="Arial" w:hAnsi="Arial"/>
          <w:sz w:val="17"/>
          <w:szCs w:val="17"/>
          <w:color w:val="auto"/>
        </w:rPr>
      </w:pPr>
    </w:p>
    <w:p>
      <w:pPr>
        <w:ind w:left="444" w:right="140" w:firstLine="419"/>
        <w:spacing w:after="0" w:line="277" w:lineRule="auto"/>
        <w:tabs>
          <w:tab w:leader="none" w:pos="131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be reasonably avoided; plus</w:t>
      </w:r>
    </w:p>
    <w:p>
      <w:pPr>
        <w:spacing w:after="0" w:line="62" w:lineRule="exact"/>
        <w:rPr>
          <w:rFonts w:ascii="Arial" w:cs="Arial" w:eastAsia="Arial" w:hAnsi="Arial"/>
          <w:sz w:val="18"/>
          <w:szCs w:val="18"/>
          <w:color w:val="auto"/>
        </w:rPr>
      </w:pPr>
    </w:p>
    <w:p>
      <w:pPr>
        <w:ind w:left="444" w:firstLine="419"/>
        <w:spacing w:after="0" w:line="255" w:lineRule="auto"/>
        <w:tabs>
          <w:tab w:leader="none" w:pos="130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including, but not limited to: unamortized Tenant Improvement costs; attorneys’ fees; brokers’ commissions; the costs of refurbishment, alterations, renovation and repair of the Premises; and removal (including the repair of any damage caused by such removal) and storage (or disposal) of Tenant’s personal properly, equipment, fixtures, Tenant Changes, Tenant Improvements and any other items which Tenant is required under this Lease to remove but does not remove.</w:t>
      </w:r>
    </w:p>
    <w:p>
      <w:pPr>
        <w:spacing w:after="0" w:line="192"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 xml:space="preserve">As used in subparagraphs (i) and (ii) of </w:t>
      </w:r>
      <w:r>
        <w:rPr>
          <w:rFonts w:ascii="Arial" w:cs="Arial" w:eastAsia="Arial" w:hAnsi="Arial"/>
          <w:sz w:val="18"/>
          <w:szCs w:val="18"/>
          <w:u w:val="single" w:color="auto"/>
          <w:color w:val="auto"/>
        </w:rPr>
        <w:t>Paragraph 12(b)</w:t>
      </w:r>
      <w:r>
        <w:rPr>
          <w:rFonts w:ascii="Arial" w:cs="Arial" w:eastAsia="Arial" w:hAnsi="Arial"/>
          <w:sz w:val="18"/>
          <w:szCs w:val="18"/>
          <w:color w:val="auto"/>
        </w:rPr>
        <w:t xml:space="preserve"> above, the “worth at the time of award” is computed by allowing interest at the Default Rate (as defined below). As used in subparagraph (iii) of </w:t>
      </w:r>
      <w:r>
        <w:rPr>
          <w:rFonts w:ascii="Arial" w:cs="Arial" w:eastAsia="Arial" w:hAnsi="Arial"/>
          <w:sz w:val="18"/>
          <w:szCs w:val="18"/>
          <w:u w:val="single" w:color="auto"/>
          <w:color w:val="auto"/>
        </w:rPr>
        <w:t>Paragraph 12(b)</w:t>
      </w:r>
      <w:r>
        <w:rPr>
          <w:rFonts w:ascii="Arial" w:cs="Arial" w:eastAsia="Arial" w:hAnsi="Arial"/>
          <w:sz w:val="18"/>
          <w:szCs w:val="18"/>
          <w:color w:val="auto"/>
        </w:rPr>
        <w:t xml:space="preserve"> above, the “worth at the time of award” is computed by discounting such amount at the discount rate of the Federal Reserve Bank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378" w:name="page379"/>
    <w:bookmarkEnd w:id="378"/>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San Francisco at the time of award plus one percent (1%). The term “Default Rate” as used in this Lease shall mean the lesser of (A) the rate announced from time to time by Wells Fargo Bank or, if Wells Fargo bank ceases to exist or ceases to publish such rate, then the rate announced from time to time by the largest (as measured by deposits) chartered bank operating in California, as its “prime rate” or “reference rate”, plus three percent (3%), or (B) the maximum rate of interest permitted by applicable law.</w:t>
      </w:r>
    </w:p>
    <w:p>
      <w:pPr>
        <w:spacing w:after="0" w:line="187" w:lineRule="exact"/>
        <w:rPr>
          <w:sz w:val="20"/>
          <w:szCs w:val="20"/>
          <w:color w:val="auto"/>
        </w:rPr>
      </w:pPr>
    </w:p>
    <w:p>
      <w:pPr>
        <w:ind w:left="4" w:firstLine="436"/>
        <w:spacing w:after="0" w:line="293" w:lineRule="auto"/>
        <w:tabs>
          <w:tab w:leader="none" w:pos="824"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Landlords Remedies; Re-Entry Rights</w:t>
      </w:r>
      <w:r>
        <w:rPr>
          <w:rFonts w:ascii="Arial" w:cs="Arial" w:eastAsia="Arial" w:hAnsi="Arial"/>
          <w:sz w:val="16"/>
          <w:szCs w:val="16"/>
          <w:color w:val="auto"/>
        </w:rPr>
        <w:t xml:space="preserve">. In the event of any event of default by Tenant, in addition to any other remedies available to Landlord under this Lease, at law or in equity, Landlord shall also have the right, with or without terminating this Lease, to re-enter the Premises and remove all persons and property from the Premises; such property may be removed, stored and/or disposed of pursuant to </w:t>
      </w:r>
      <w:r>
        <w:rPr>
          <w:rFonts w:ascii="Arial" w:cs="Arial" w:eastAsia="Arial" w:hAnsi="Arial"/>
          <w:sz w:val="16"/>
          <w:szCs w:val="16"/>
          <w:u w:val="single" w:color="auto"/>
          <w:color w:val="auto"/>
        </w:rPr>
        <w:t>Paragraph 5(c)</w:t>
      </w:r>
      <w:r>
        <w:rPr>
          <w:rFonts w:ascii="Arial" w:cs="Arial" w:eastAsia="Arial" w:hAnsi="Arial"/>
          <w:sz w:val="16"/>
          <w:szCs w:val="16"/>
          <w:color w:val="auto"/>
        </w:rPr>
        <w:t xml:space="preserve"> of this Lease or any other procedures permitted by applicable law. No re-entry or taking possession of the Premises by Landlord pursuant to this </w:t>
      </w:r>
      <w:r>
        <w:rPr>
          <w:rFonts w:ascii="Arial" w:cs="Arial" w:eastAsia="Arial" w:hAnsi="Arial"/>
          <w:sz w:val="16"/>
          <w:szCs w:val="16"/>
          <w:u w:val="single" w:color="auto"/>
          <w:color w:val="auto"/>
        </w:rPr>
        <w:t>Paragraph 12(c)</w:t>
      </w:r>
      <w:r>
        <w:rPr>
          <w:rFonts w:ascii="Arial" w:cs="Arial" w:eastAsia="Arial" w:hAnsi="Arial"/>
          <w:sz w:val="16"/>
          <w:szCs w:val="16"/>
          <w:color w:val="auto"/>
        </w:rPr>
        <w:t>, and no acceptance of surrender of the Premises or other action on Landlord’s part, shall be construed as an election to terminate this Lease unless a written notice of such intention be given to Tenant or unless the termination thereof be decreed by a court of competent jurisdiction.</w:t>
      </w:r>
    </w:p>
    <w:p>
      <w:pPr>
        <w:spacing w:after="0" w:line="164" w:lineRule="exact"/>
        <w:rPr>
          <w:rFonts w:ascii="Arial" w:cs="Arial" w:eastAsia="Arial" w:hAnsi="Arial"/>
          <w:sz w:val="16"/>
          <w:szCs w:val="16"/>
          <w:color w:val="auto"/>
        </w:rPr>
      </w:pPr>
    </w:p>
    <w:p>
      <w:pPr>
        <w:ind w:left="4" w:right="260" w:firstLine="436"/>
        <w:spacing w:after="0" w:line="301" w:lineRule="auto"/>
        <w:tabs>
          <w:tab w:leader="none" w:pos="834"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Continuation of Lease</w:t>
      </w:r>
      <w:r>
        <w:rPr>
          <w:rFonts w:ascii="Arial" w:cs="Arial" w:eastAsia="Arial" w:hAnsi="Arial"/>
          <w:sz w:val="16"/>
          <w:szCs w:val="16"/>
          <w:color w:val="auto"/>
        </w:rPr>
        <w:t>. Landlord shall have the remedy described in California Civil Code Section 1951.4 (lessor may continue lease in effect after lessee 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57" w:lineRule="exact"/>
        <w:rPr>
          <w:rFonts w:ascii="Arial" w:cs="Arial" w:eastAsia="Arial" w:hAnsi="Arial"/>
          <w:sz w:val="16"/>
          <w:szCs w:val="16"/>
          <w:color w:val="auto"/>
        </w:rPr>
      </w:pPr>
    </w:p>
    <w:p>
      <w:pPr>
        <w:ind w:left="4" w:right="80" w:firstLine="436"/>
        <w:spacing w:after="0" w:line="287" w:lineRule="auto"/>
        <w:tabs>
          <w:tab w:leader="none" w:pos="824"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Landlord’s Right to Perform</w:t>
      </w:r>
      <w:r>
        <w:rPr>
          <w:rFonts w:ascii="Arial" w:cs="Arial" w:eastAsia="Arial" w:hAnsi="Arial"/>
          <w:sz w:val="16"/>
          <w:szCs w:val="16"/>
          <w:color w:val="auto"/>
        </w:rPr>
        <w:t>. Except as specifically provided otherwise in this Lease, all covenants and agreements by Tenant under this Lease shall be performed by Tenant at Tenant’s sole cost and expense and without any abatement or offset of rent. If Tenant shall fail to pay any sum of money (other than Monthly Basic Rent) or perform any other act on its part to be paid or performed hereunder and such failure shall continue for three</w:t>
      </w:r>
    </w:p>
    <w:p>
      <w:pPr>
        <w:spacing w:after="0" w:line="2"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business days with respect to monetary obligations (or ten (10) day with respect to non-monetary obligations, except in case of emergencies, in which such case such shorter period of time as is reasonable under the circumstances) after Tenant’s receipt of written notice thereof from Landlord, Landlord may, without waiving or releasing Tenant from any of Tenant s obligations make such payment or perform such other act on behalf of Tenant. All sums so paid by Landlord and all necessary incidental costs incurred by Landlord in performing such other acts shall be payable by Tenant to Landlord within five (5) days after demand therefor as additional rent.</w:t>
      </w:r>
    </w:p>
    <w:p>
      <w:pPr>
        <w:spacing w:after="0" w:line="190" w:lineRule="exact"/>
        <w:rPr>
          <w:rFonts w:ascii="Arial" w:cs="Arial" w:eastAsia="Arial" w:hAnsi="Arial"/>
          <w:sz w:val="18"/>
          <w:szCs w:val="18"/>
          <w:color w:val="auto"/>
        </w:rPr>
      </w:pPr>
    </w:p>
    <w:p>
      <w:pPr>
        <w:ind w:left="4" w:right="80" w:firstLine="436"/>
        <w:spacing w:after="0" w:line="286" w:lineRule="auto"/>
        <w:tabs>
          <w:tab w:leader="none" w:pos="804"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If any monthly installment of Rent or Operating Expenses, or any other amount payable by Tenant hereunder is not received by Landlord by the date when due it shall bear interest at the Default Rate from the date due until paid. All interest, and any late charges imposed pursuant to </w:t>
      </w:r>
      <w:r>
        <w:rPr>
          <w:rFonts w:ascii="Arial" w:cs="Arial" w:eastAsia="Arial" w:hAnsi="Arial"/>
          <w:sz w:val="17"/>
          <w:szCs w:val="17"/>
          <w:u w:val="single" w:color="auto"/>
          <w:color w:val="auto"/>
        </w:rPr>
        <w:t>Paragraph 12(g)</w:t>
      </w:r>
      <w:r>
        <w:rPr>
          <w:rFonts w:ascii="Arial" w:cs="Arial" w:eastAsia="Arial" w:hAnsi="Arial"/>
          <w:sz w:val="17"/>
          <w:szCs w:val="17"/>
          <w:color w:val="auto"/>
        </w:rPr>
        <w:t xml:space="preserve"> below shall be considered additional rent due from Tenant to Landlord under the terms of this Lease.</w:t>
      </w:r>
    </w:p>
    <w:p>
      <w:pPr>
        <w:spacing w:after="0" w:line="165" w:lineRule="exact"/>
        <w:rPr>
          <w:rFonts w:ascii="Arial" w:cs="Arial" w:eastAsia="Arial" w:hAnsi="Arial"/>
          <w:sz w:val="17"/>
          <w:szCs w:val="17"/>
          <w:color w:val="auto"/>
        </w:rPr>
      </w:pPr>
    </w:p>
    <w:p>
      <w:pPr>
        <w:ind w:left="4" w:right="20" w:firstLine="436"/>
        <w:spacing w:after="0" w:line="268" w:lineRule="auto"/>
        <w:tabs>
          <w:tab w:leader="none" w:pos="834"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Late Charges</w:t>
      </w:r>
      <w:r>
        <w:rPr>
          <w:rFonts w:ascii="Arial" w:cs="Arial" w:eastAsia="Arial" w:hAnsi="Arial"/>
          <w:sz w:val="17"/>
          <w:szCs w:val="17"/>
          <w:color w:val="auto"/>
        </w:rPr>
        <w:t>. Tenant acknowledges that in addition to interest costs the late payments by Tenant to Landlord of any monthly installment of Basic Annual Rent Additional Rent or other sums due under this Lease will cause Landlord to incur costs not contemplated by this Lease, the exact amount of such costs being extremely difficult and impractical to fix. Such other costs include without limitation, processing, administrative and accounting charges and late charges that may be imposed on Landlord by the terms of any mortgage deed of trust or related loan documents encumbering the Premises, the Building or the Project. Accordingly if any monthly installment of Annual Basic Rent Additional Rent or any other amount payable by Tenant hereunder is not received by Landlord by the due date thereof, Tenant shall pay to Landlord an additional sum of five percent (5%) of the overdue amount as a late charge, but in no event more than the maximum late charge allowed by law. The parties agree that such late charge represents a fair and reasonable estimate of the costs that Landlord will incur by reason of any late payment as hereinabove referred to by Tenant, and the payment of late charges and interest are distinct and separate in that the payment of interest is to compensate Landlord for the use of Landlord’s money by Tenant, while the payment of late charges is to compensate Landlord for Landlord 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79" w:name="page380"/>
    <w:bookmarkEnd w:id="379"/>
    <w:p>
      <w:pPr>
        <w:ind w:left="4" w:right="140" w:firstLine="436"/>
        <w:spacing w:after="0" w:line="301" w:lineRule="auto"/>
        <w:tabs>
          <w:tab w:leader="none" w:pos="834"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and Remedies Cumulative</w:t>
      </w:r>
      <w:r>
        <w:rPr>
          <w:rFonts w:ascii="Arial" w:cs="Arial" w:eastAsia="Arial" w:hAnsi="Arial"/>
          <w:sz w:val="16"/>
          <w:szCs w:val="16"/>
          <w:color w:val="auto"/>
        </w:rPr>
        <w:t xml:space="preserve">. All rights, options and remedies of Landlord contained in this </w:t>
      </w:r>
      <w:r>
        <w:rPr>
          <w:rFonts w:ascii="Arial" w:cs="Arial" w:eastAsia="Arial" w:hAnsi="Arial"/>
          <w:sz w:val="16"/>
          <w:szCs w:val="16"/>
          <w:u w:val="single" w:color="auto"/>
          <w:color w:val="auto"/>
        </w:rPr>
        <w:t>Paragraph 12</w:t>
      </w:r>
      <w:r>
        <w:rPr>
          <w:rFonts w:ascii="Arial" w:cs="Arial" w:eastAsia="Arial" w:hAnsi="Arial"/>
          <w:sz w:val="16"/>
          <w:szCs w:val="16"/>
          <w:color w:val="auto"/>
        </w:rPr>
        <w:t xml:space="preserve"> and elsewhere in this Lease shall be construed and held to be cumulative, and no one of them shall be exclusive of the other, and Landlord shall have the right to pursue any one or all of such remedies or any other remedy or relief which may be provided by law or in equity whether or not stated in this Lease. Nothing in this </w:t>
      </w:r>
      <w:r>
        <w:rPr>
          <w:rFonts w:ascii="Arial" w:cs="Arial" w:eastAsia="Arial" w:hAnsi="Arial"/>
          <w:sz w:val="16"/>
          <w:szCs w:val="16"/>
          <w:u w:val="single" w:color="auto"/>
          <w:color w:val="auto"/>
        </w:rPr>
        <w:t>Paragraph 12</w:t>
      </w:r>
      <w:r>
        <w:rPr>
          <w:rFonts w:ascii="Arial" w:cs="Arial" w:eastAsia="Arial" w:hAnsi="Arial"/>
          <w:sz w:val="16"/>
          <w:szCs w:val="16"/>
          <w:color w:val="auto"/>
        </w:rPr>
        <w:t xml:space="preserve"> shall be deemed to limit or otherwise affect Tenants indemnification of Landlord pursuant to any provision of this Lease.</w:t>
      </w:r>
    </w:p>
    <w:p>
      <w:pPr>
        <w:spacing w:after="0" w:line="157" w:lineRule="exact"/>
        <w:rPr>
          <w:rFonts w:ascii="Arial" w:cs="Arial" w:eastAsia="Arial" w:hAnsi="Arial"/>
          <w:sz w:val="16"/>
          <w:szCs w:val="16"/>
          <w:color w:val="auto"/>
        </w:rPr>
      </w:pPr>
    </w:p>
    <w:p>
      <w:pPr>
        <w:ind w:left="4" w:right="340" w:firstLine="436"/>
        <w:spacing w:after="0" w:line="279" w:lineRule="auto"/>
        <w:tabs>
          <w:tab w:leader="none" w:pos="794"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Tenant’s Waiver of Redemption</w:t>
      </w:r>
      <w:r>
        <w:rPr>
          <w:rFonts w:ascii="Arial" w:cs="Arial" w:eastAsia="Arial" w:hAnsi="Arial"/>
          <w:sz w:val="17"/>
          <w:szCs w:val="17"/>
          <w:color w:val="auto"/>
        </w:rPr>
        <w:t>. Tenant hereby waives and surrenders for itself and all those claiming under it, including creditors of all kinds, (i) any right and privilege which it or any of them may have under any present or future law to redeem any of the Premises or to have a continuance of this Lease after termination of this Lease or of Tenants right of occupancy or possession pursuant to any court order or any provision hereof, and (ii) the benefits of any present or future law which exempts property from liability for debt or for distress for rent.</w:t>
      </w:r>
    </w:p>
    <w:p>
      <w:pPr>
        <w:spacing w:after="0" w:line="171" w:lineRule="exact"/>
        <w:rPr>
          <w:rFonts w:ascii="Arial" w:cs="Arial" w:eastAsia="Arial" w:hAnsi="Arial"/>
          <w:sz w:val="17"/>
          <w:szCs w:val="17"/>
          <w:color w:val="auto"/>
        </w:rPr>
      </w:pPr>
    </w:p>
    <w:p>
      <w:pPr>
        <w:ind w:left="4" w:right="140" w:firstLine="436"/>
        <w:spacing w:after="0" w:line="255" w:lineRule="auto"/>
        <w:tabs>
          <w:tab w:leader="none" w:pos="794"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Costs Upon Default and Litigation</w:t>
      </w:r>
      <w:r>
        <w:rPr>
          <w:rFonts w:ascii="Arial" w:cs="Arial" w:eastAsia="Arial" w:hAnsi="Arial"/>
          <w:sz w:val="18"/>
          <w:szCs w:val="18"/>
          <w:color w:val="auto"/>
        </w:rPr>
        <w:t>. Tenant shall pay to Landlord and its mortgagees as additional rent all the expenses incurred by Landlord or its mortgagees in connection with any default by Tenant hereunder or the exercise of any remedy by reason of any default by Tenant hereunder, including reasonable attorneys’ fees and expenses. If Landlord or its mortgagees shall be made a party to any litigation commenced against Tenant or any litigation pertaining to this Lease or the Premises, at the option of Landlord and/or its mortgagees, Tenant, at its expense shall provide Landlord and/or its mortgagees with counsel approved by Landlord and/or its mortgagees and shall pay all costs incurred or paid by Landlord and/or its mortgagees in connection with such litigation.</w:t>
      </w:r>
    </w:p>
    <w:p>
      <w:pPr>
        <w:spacing w:after="0" w:line="336" w:lineRule="exact"/>
        <w:rPr>
          <w:rFonts w:ascii="Arial" w:cs="Arial" w:eastAsia="Arial" w:hAnsi="Arial"/>
          <w:sz w:val="18"/>
          <w:szCs w:val="18"/>
          <w:color w:val="auto"/>
        </w:rPr>
      </w:pPr>
    </w:p>
    <w:p>
      <w:pPr>
        <w:ind w:left="424" w:hanging="424"/>
        <w:spacing w:after="0"/>
        <w:tabs>
          <w:tab w:leader="none" w:pos="424"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CONSTRUCTION</w:t>
      </w:r>
    </w:p>
    <w:p>
      <w:pPr>
        <w:spacing w:after="0" w:line="12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Landlord reserves from the lease hold estate hereunder, in addition to all other rights reserved by Landlord under this Lease, the right to use the roof and exterior walls of the Premises and the area beneath, adjacent to and above the Premises, Landlord also reserves the right to install use maintain, repair replace and relocate equipment machinery, meters, pipes, ducts plumbing conduits and wiring through the Premises, which serve other portions of the Building or the Project in a manner and in locations which do not unreasonably interfere with Tenant’s use of the Premises. In addition, Landlord shall have free access to any and all mechanical installations of Landlord or Tenant, including, without limitation, machine rooms telephone rooms and electrical closets. Tenant agrees that there shall be no construction of partitions or other obstructions which materially interfere with or which threaten to materially interfere with Landlord’s free access thereto, or materially interfere with the moving of Landlord’s equipment to or from the enclosures containing said installations. Upon at least twenty-four (24) hours prior notice (except in the event of an emergency, when no notice shall be necessary), Landlord reserves and shall at any time and all times have the right to enter the Premises to inspect the same, to supply janitorial service and any other service to be provided by Landlord to Tenant hereunder to exhibit the Premises to prospective purchasers, lenders or tenants to post notices of non-responsibility, to alter, improve, restore, rebuild or repair the Premises or any other portion of the Building, or to do any other act permitted or contemplated to be done by Landlord hereunder, all without being deemed guilty of an eviction of Tenant and without liability for abatement of Rent or otherwise. For such purposes Landlord may also erect scaffolding and other necessary structures where reasonably required by the character of the work to be performed. Landlord shall conduct all such inspections and/or improvements, alterations and repairs so as to minimize, to the extent reasonably practical and without additional expense to Landlord, any interruption of or interference with the business of Tenant. Tenant hereby waives any claim for damages for any injury or inconvenience to or interference with Tenant’s business any loss of occupancy or quiet enjoyment of the Premises and any other loss occasioned thereby. For each of such purposes, Landlord shall at all times have and retain a key with which to unlock all of the doors in, upon and about the Premises (excluding Tenant’s vaults and safes, access to which shall be provided by Tenant upon Landlord’s reasonable request). Landlord shall have the right to use any and all means which Landlord may deem proper in an emergency in order to obtain entry to the Premises or any portion thereof, and Landlord shall have the right, at any time during the Lease Term, to provide whatever access control measures it deems reasonably necessary to the Project without any interruption or abatement in the payment of Rent by Tenant. Any entry into the Premises obtained by Landlord by any of such means shall not under any circumstances be construed to be a forcible or unlawful entry into, or a detainer of the Premises, or any eviction of Tenant from the Premises or any portion thereof. No provision of this Lease shall be construed as obligating Landlord to perform any repairs, Alterations or decorations to the Premises or the Project except as otherwise expressly agreed to be performed by Landlord pursuant to the provisions of this Lease.</w:t>
      </w: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80" w:name="page381"/>
    <w:bookmarkEnd w:id="380"/>
    <w:p>
      <w:pPr>
        <w:ind w:left="424" w:hanging="424"/>
        <w:spacing w:after="0"/>
        <w:tabs>
          <w:tab w:leader="none" w:pos="424"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w:t>
      </w:r>
    </w:p>
    <w:p>
      <w:pPr>
        <w:spacing w:after="0" w:line="121" w:lineRule="exact"/>
        <w:rPr>
          <w:rFonts w:ascii="Arial" w:cs="Arial" w:eastAsia="Arial" w:hAnsi="Arial"/>
          <w:sz w:val="18"/>
          <w:szCs w:val="18"/>
          <w:b w:val="1"/>
          <w:bCs w:val="1"/>
          <w:color w:val="auto"/>
        </w:rPr>
      </w:pPr>
    </w:p>
    <w:p>
      <w:pPr>
        <w:ind w:left="4" w:right="60" w:firstLine="436"/>
        <w:spacing w:after="0" w:line="271" w:lineRule="auto"/>
        <w:tabs>
          <w:tab w:leader="none" w:pos="824"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If at any time on or before the Commencement Date there shall be filed by or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or if Tenant makes an assignment for the benefit of creditors this Lease shall </w:t>
      </w:r>
      <w:r>
        <w:rPr>
          <w:rFonts w:ascii="Arial" w:cs="Arial" w:eastAsia="Arial" w:hAnsi="Arial"/>
          <w:sz w:val="17"/>
          <w:szCs w:val="17"/>
          <w:u w:val="single" w:color="auto"/>
          <w:color w:val="auto"/>
        </w:rPr>
        <w:t>ipso facto</w:t>
      </w:r>
      <w:r>
        <w:rPr>
          <w:rFonts w:ascii="Arial" w:cs="Arial" w:eastAsia="Arial" w:hAnsi="Arial"/>
          <w:sz w:val="17"/>
          <w:szCs w:val="17"/>
          <w:color w:val="auto"/>
        </w:rPr>
        <w:t xml:space="preserve"> be canceled and terminated and in such event neither Tenant nor any person claiming through or under Tenant or by virtue of any applicable law or by an order of any court, tribunal, administrative agency or any other forum having jurisdiction, shall be entitled to possession of the Premises and Landlord, in addition to the other rights and remedies given by </w:t>
      </w:r>
      <w:r>
        <w:rPr>
          <w:rFonts w:ascii="Arial" w:cs="Arial" w:eastAsia="Arial" w:hAnsi="Arial"/>
          <w:sz w:val="17"/>
          <w:szCs w:val="17"/>
          <w:u w:val="single" w:color="auto"/>
          <w:color w:val="auto"/>
        </w:rPr>
        <w:t>Paragraph 12</w:t>
      </w:r>
      <w:r>
        <w:rPr>
          <w:rFonts w:ascii="Arial" w:cs="Arial" w:eastAsia="Arial" w:hAnsi="Arial"/>
          <w:sz w:val="17"/>
          <w:szCs w:val="17"/>
          <w:color w:val="auto"/>
        </w:rPr>
        <w:t xml:space="preserve"> hereof or by virtue of any other provision contained in this Lease or by virtue of any applicable law, may retain as damages any Rent, Security Deposit or moneys received by it from Tenant or others on behalf of Tenant.</w:t>
      </w:r>
    </w:p>
    <w:p>
      <w:pPr>
        <w:spacing w:after="0" w:line="178" w:lineRule="exact"/>
        <w:rPr>
          <w:rFonts w:ascii="Arial" w:cs="Arial" w:eastAsia="Arial" w:hAnsi="Arial"/>
          <w:sz w:val="17"/>
          <w:szCs w:val="17"/>
          <w:color w:val="auto"/>
        </w:rPr>
      </w:pPr>
    </w:p>
    <w:p>
      <w:pPr>
        <w:ind w:left="4" w:firstLine="436"/>
        <w:spacing w:after="0" w:line="270" w:lineRule="auto"/>
        <w:tabs>
          <w:tab w:leader="none" w:pos="834"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If, after the Commencement Date or if at any time during the Lease Term, there shall be filed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and the same is not dismissed after sixty (60) calendar days, or if Tenant makes an assignment for the benefit of creditors, this Lease, at the option of Landlord exercised within a reasonable time after notice of the happening of any one or more of such events, may be canceled and terminated and in such event neither Tenant nor any person claiming through or under Tenant or by virtue of any statute or of an order of any court shall be entitled to possession or to remain in possession of the Premises but shall forthwith quit and surrender the Premises, and Landlord in addition to the other rights and remedies granted by </w:t>
      </w:r>
      <w:r>
        <w:rPr>
          <w:rFonts w:ascii="Arial" w:cs="Arial" w:eastAsia="Arial" w:hAnsi="Arial"/>
          <w:sz w:val="17"/>
          <w:szCs w:val="17"/>
          <w:u w:val="single" w:color="auto"/>
          <w:color w:val="auto"/>
        </w:rPr>
        <w:t>Paragraph 12</w:t>
      </w:r>
      <w:r>
        <w:rPr>
          <w:rFonts w:ascii="Arial" w:cs="Arial" w:eastAsia="Arial" w:hAnsi="Arial"/>
          <w:sz w:val="17"/>
          <w:szCs w:val="17"/>
          <w:color w:val="auto"/>
        </w:rPr>
        <w:t xml:space="preserve"> hereof or by virtue of any other provision contained in this Lease or by virtue of any applicable law, may retain as damage any Rent Security Deposit or moneys received by it from Tenant or others on behalf of Tenant.</w:t>
      </w:r>
    </w:p>
    <w:p>
      <w:pPr>
        <w:spacing w:after="0" w:line="180" w:lineRule="exact"/>
        <w:rPr>
          <w:rFonts w:ascii="Arial" w:cs="Arial" w:eastAsia="Arial" w:hAnsi="Arial"/>
          <w:sz w:val="17"/>
          <w:szCs w:val="17"/>
          <w:color w:val="auto"/>
        </w:rPr>
      </w:pPr>
    </w:p>
    <w:p>
      <w:pPr>
        <w:ind w:left="4" w:right="20" w:firstLine="436"/>
        <w:spacing w:after="0" w:line="284" w:lineRule="auto"/>
        <w:tabs>
          <w:tab w:leader="none" w:pos="824" w:val="left"/>
        </w:tabs>
        <w:numPr>
          <w:ilvl w:val="1"/>
          <w:numId w:val="376"/>
        </w:numPr>
        <w:rPr>
          <w:rFonts w:ascii="Arial" w:cs="Arial" w:eastAsia="Arial" w:hAnsi="Arial"/>
          <w:sz w:val="16"/>
          <w:szCs w:val="16"/>
          <w:color w:val="auto"/>
        </w:rPr>
      </w:pPr>
      <w:r>
        <w:rPr>
          <w:rFonts w:ascii="Arial" w:cs="Arial" w:eastAsia="Arial" w:hAnsi="Arial"/>
          <w:sz w:val="16"/>
          <w:szCs w:val="16"/>
          <w:color w:val="auto"/>
        </w:rPr>
        <w:t xml:space="preserve">In the event of the occurrence of any of those events specified in this </w:t>
      </w:r>
      <w:r>
        <w:rPr>
          <w:rFonts w:ascii="Arial" w:cs="Arial" w:eastAsia="Arial" w:hAnsi="Arial"/>
          <w:sz w:val="16"/>
          <w:szCs w:val="16"/>
          <w:u w:val="single" w:color="auto"/>
          <w:color w:val="auto"/>
        </w:rPr>
        <w:t>Paragraph 14</w:t>
      </w:r>
      <w:r>
        <w:rPr>
          <w:rFonts w:ascii="Arial" w:cs="Arial" w:eastAsia="Arial" w:hAnsi="Arial"/>
          <w:sz w:val="16"/>
          <w:szCs w:val="16"/>
          <w:color w:val="auto"/>
        </w:rPr>
        <w:t xml:space="preserve">, if Landlord shall not choose to exercise or by applicable law shall not be able to exercise, its rights hereunder to terminate this Lease upon the occurrence of such events, then, in addition to any other rights of Landlord hereunder or by virtue of applicable law (i) Landlord shall not be obligated to provide Tenant with any of the utilities or services specified in </w:t>
      </w:r>
      <w:r>
        <w:rPr>
          <w:rFonts w:ascii="Arial" w:cs="Arial" w:eastAsia="Arial" w:hAnsi="Arial"/>
          <w:sz w:val="16"/>
          <w:szCs w:val="16"/>
          <w:u w:val="single" w:color="auto"/>
          <w:color w:val="auto"/>
        </w:rPr>
        <w:t>Paragraph 7</w:t>
      </w:r>
      <w:r>
        <w:rPr>
          <w:rFonts w:ascii="Arial" w:cs="Arial" w:eastAsia="Arial" w:hAnsi="Arial"/>
          <w:sz w:val="16"/>
          <w:szCs w:val="16"/>
          <w:color w:val="auto"/>
        </w:rPr>
        <w:t>, unless Landlord has received compensation in advance for such utilities or services and the parties agree that Landlord’s reasonable estimate of the compensation required with respect to such services shall control. and (ii) neither Tenant as debtor-in-possession, nor any trustee or other person (hereinafter collectively referred to as the “</w:t>
      </w:r>
      <w:r>
        <w:rPr>
          <w:rFonts w:ascii="Arial" w:cs="Arial" w:eastAsia="Arial" w:hAnsi="Arial"/>
          <w:sz w:val="16"/>
          <w:szCs w:val="16"/>
          <w:u w:val="single" w:color="auto"/>
          <w:color w:val="auto"/>
        </w:rPr>
        <w:t>Assuming Tenant</w:t>
      </w:r>
      <w:r>
        <w:rPr>
          <w:rFonts w:ascii="Arial" w:cs="Arial" w:eastAsia="Arial" w:hAnsi="Arial"/>
          <w:sz w:val="16"/>
          <w:szCs w:val="16"/>
          <w:color w:val="auto"/>
        </w:rPr>
        <w:t>”) shall be entitled to assume this Lease unless on or before the date of such assumption, the Assuming Tenant (x) cures or provides adequate assurance that the latter will promptly cure, any exiting default under this Lease,</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(y) compensates, or provides adequate assurance that the Assuming Tenant will promptly compensate Landlord for any pecuniary loss (including without limitation attorneys’ fees and disbursements) resulting from such default and (z) provides adequate assurance of future performance under this Lease, it being covenanted and agreed by the parties that for such purposes any cure or compensation shall be effected by the immediate payment of any monetary default or any required compensation or the immediate correction or bonding of any nonmonetary default. For purposes of this Lease, (i) any “adequate assurance” of such cure or compensation shall be effected by the establishment of an escrow fund for the amount at issue or by the issuance of a bond, and (ii) “adequate assurance” of future performance shall be effected by the establishment of an escrow fund for the amount at issue or by the issuance of a bond.</w:t>
      </w:r>
    </w:p>
    <w:p>
      <w:pPr>
        <w:spacing w:after="0" w:line="336" w:lineRule="exact"/>
        <w:rPr>
          <w:rFonts w:ascii="Arial" w:cs="Arial" w:eastAsia="Arial" w:hAnsi="Arial"/>
          <w:sz w:val="16"/>
          <w:szCs w:val="16"/>
          <w:color w:val="auto"/>
        </w:rPr>
      </w:pPr>
    </w:p>
    <w:p>
      <w:pPr>
        <w:ind w:left="424" w:hanging="424"/>
        <w:spacing w:after="0"/>
        <w:tabs>
          <w:tab w:leader="none" w:pos="424"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SUBSTITUTION OF PREMISES</w:t>
      </w:r>
    </w:p>
    <w:p>
      <w:pPr>
        <w:spacing w:after="0" w:line="121" w:lineRule="exact"/>
        <w:rPr>
          <w:sz w:val="20"/>
          <w:szCs w:val="20"/>
          <w:color w:val="auto"/>
        </w:rPr>
      </w:pPr>
    </w:p>
    <w:p>
      <w:pPr>
        <w:ind w:left="4" w:right="280" w:firstLine="440"/>
        <w:spacing w:after="0" w:line="296" w:lineRule="auto"/>
        <w:rPr>
          <w:sz w:val="20"/>
          <w:szCs w:val="20"/>
          <w:color w:val="auto"/>
        </w:rPr>
      </w:pPr>
      <w:r>
        <w:rPr>
          <w:rFonts w:ascii="Arial" w:cs="Arial" w:eastAsia="Arial" w:hAnsi="Arial"/>
          <w:sz w:val="16"/>
          <w:szCs w:val="16"/>
          <w:color w:val="auto"/>
        </w:rPr>
        <w:t xml:space="preserve">Subject to the conditions specified in this </w:t>
      </w:r>
      <w:r>
        <w:rPr>
          <w:rFonts w:ascii="Arial" w:cs="Arial" w:eastAsia="Arial" w:hAnsi="Arial"/>
          <w:sz w:val="16"/>
          <w:szCs w:val="16"/>
          <w:u w:val="single" w:color="auto"/>
          <w:color w:val="auto"/>
        </w:rPr>
        <w:t>Paragraph 15</w:t>
      </w:r>
      <w:r>
        <w:rPr>
          <w:rFonts w:ascii="Arial" w:cs="Arial" w:eastAsia="Arial" w:hAnsi="Arial"/>
          <w:sz w:val="16"/>
          <w:szCs w:val="16"/>
          <w:color w:val="auto"/>
        </w:rPr>
        <w:t>, Landlord reserves the right without Tenant’s consent, on thirty (30) days’ prior written notice to Tenant, to substitute other premises within the Project for the Premises. ln each such case, the substituted premises shall (a) contain at least substantially the same Rentable Area as the Premises, (b) contain comparable tenant improvements, and (c) be made available to Tenant at the then current rental rate for such space, which in no event, shall exceed the per square foot rental rate for the Premises in effect under this Lease for the Premises at the time of such substitution. Landlord shall pay all reasonable moving expenses of Tenant incidental to such substitution of premises.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381" w:name="page382"/>
    <w:bookmarkEnd w:id="381"/>
    <w:p>
      <w:pPr>
        <w:ind w:left="424" w:hanging="424"/>
        <w:spacing w:after="0"/>
        <w:tabs>
          <w:tab w:leader="none" w:pos="424"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SUBORDINATION; ATTORNMENT; ESTOPPEL CERTIFICATES</w:t>
      </w:r>
    </w:p>
    <w:p>
      <w:pPr>
        <w:spacing w:after="0" w:line="121" w:lineRule="exact"/>
        <w:rPr>
          <w:rFonts w:ascii="Arial" w:cs="Arial" w:eastAsia="Arial" w:hAnsi="Arial"/>
          <w:sz w:val="18"/>
          <w:szCs w:val="18"/>
          <w:b w:val="1"/>
          <w:bCs w:val="1"/>
          <w:color w:val="auto"/>
        </w:rPr>
      </w:pPr>
    </w:p>
    <w:p>
      <w:pPr>
        <w:ind w:left="4" w:firstLine="436"/>
        <w:spacing w:after="0" w:line="286" w:lineRule="auto"/>
        <w:tabs>
          <w:tab w:leader="none" w:pos="821"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Tenant agrees that this Lease and the rights of Tenant hereunder shall be subject and subordinate to any and all deeds to secure debt, deeds of trust security interests, mortgages, master leases ground leases or other security documents and any and all modifications renewals, extensions consolidations and replacements thereof (collectively, “</w:t>
      </w:r>
      <w:r>
        <w:rPr>
          <w:rFonts w:ascii="Arial" w:cs="Arial" w:eastAsia="Arial" w:hAnsi="Arial"/>
          <w:sz w:val="16"/>
          <w:szCs w:val="16"/>
          <w:u w:val="single" w:color="auto"/>
          <w:color w:val="auto"/>
        </w:rPr>
        <w:t>Security Documents</w:t>
      </w:r>
      <w:r>
        <w:rPr>
          <w:rFonts w:ascii="Arial" w:cs="Arial" w:eastAsia="Arial" w:hAnsi="Arial"/>
          <w:sz w:val="16"/>
          <w:szCs w:val="16"/>
          <w:color w:val="auto"/>
        </w:rPr>
        <w:t>”) which now or hereafter constitute a lien upon or affect the Project, the Building or the Premises. Such subordination shall be effective without the necessity of the execution by Tenant of any additional document for the purpose of evidencing or effecting such subordination. In addition, Landlord shall have the right to subordinate or cause to be subordinated any such Security Documents to this Lease and in such case, in the event of the termination or transfer of Landlord’s estate or interest in the Project by reason of any termination or foreclosure of any such Security Documents Tenant shall, notwithstanding such subordination, attorn to and become the Tenant of the successor-in-interest to Landlord at the option of such successor-in-interest. Furthermore, Tenant shall within ten (10) days of demand therefor execute any instruments or other documents which may be required by Landlord or the holder of any Security Document and specifically shall execute, acknowledge and deliver within ten (10) days of demand therefor a subordination of lease or subordination of deed of trust or mortgage, in the form required by the holder of the Security Document requesting the document; the failure to do so by Tenant within such time period shall be a material default hereunder provide d, however, the new landlord or the holder of any Security Document shall agree that Tenant’s quiet enjoyment of the Premises shall not be disturbed as long as Tenant is not in default under this Lease.</w:t>
      </w:r>
    </w:p>
    <w:p>
      <w:pPr>
        <w:spacing w:after="0" w:line="173" w:lineRule="exact"/>
        <w:rPr>
          <w:rFonts w:ascii="Arial" w:cs="Arial" w:eastAsia="Arial" w:hAnsi="Arial"/>
          <w:sz w:val="16"/>
          <w:szCs w:val="16"/>
          <w:color w:val="auto"/>
        </w:rPr>
      </w:pPr>
    </w:p>
    <w:p>
      <w:pPr>
        <w:ind w:left="4" w:right="100" w:firstLine="436"/>
        <w:spacing w:after="0" w:line="291" w:lineRule="auto"/>
        <w:tabs>
          <w:tab w:leader="none" w:pos="834" w:val="left"/>
        </w:tabs>
        <w:numPr>
          <w:ilvl w:val="1"/>
          <w:numId w:val="377"/>
        </w:numPr>
        <w:rPr>
          <w:rFonts w:ascii="Arial" w:cs="Arial" w:eastAsia="Arial" w:hAnsi="Arial"/>
          <w:sz w:val="16"/>
          <w:szCs w:val="16"/>
          <w:color w:val="auto"/>
        </w:rPr>
      </w:pPr>
      <w:r>
        <w:rPr>
          <w:rFonts w:ascii="Arial" w:cs="Arial" w:eastAsia="Arial" w:hAnsi="Arial"/>
          <w:sz w:val="16"/>
          <w:szCs w:val="16"/>
          <w:color w:val="auto"/>
        </w:rPr>
        <w:t>lf any proceeding is brought for default under any ground or master lease to which this Lease is subject or in the event of foreclosure or the exercise of the power of sale under any mortgage deed of trust or other Security Document made by Landlord covering the Premises, at the election of such ground lessor master lessor or purchaser at foreclosure, Tenant shall attorn to and recognize the same a Landlord under this Lease, provided such successor expressly agrees in writing to be bound to all future obligations by the terms of this Lease, and if so requested, Tenant shall enter into a new lease with that successor on the same terms and conditions as are contained in this Lease (for the unexpired Lease Term then remaining). Tenant hereby waives its rights under any current or future law which gives or purports to give Tenant any right to terminate or otherwise adversely affect this Lease and the obligations of Tenant hereunder in the event of any such foreclosure proceeding or sale.</w:t>
      </w:r>
    </w:p>
    <w:p>
      <w:pPr>
        <w:spacing w:after="0" w:line="166" w:lineRule="exact"/>
        <w:rPr>
          <w:rFonts w:ascii="Arial" w:cs="Arial" w:eastAsia="Arial" w:hAnsi="Arial"/>
          <w:sz w:val="16"/>
          <w:szCs w:val="16"/>
          <w:color w:val="auto"/>
        </w:rPr>
      </w:pPr>
    </w:p>
    <w:p>
      <w:pPr>
        <w:ind w:left="4" w:right="20" w:firstLine="436"/>
        <w:spacing w:after="0" w:line="284" w:lineRule="auto"/>
        <w:tabs>
          <w:tab w:leader="none" w:pos="824"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In addition to any statutory lien for Rent in Landlord’s favor Landlord (the secured party for purposes hereof) shall have and Tenant (the debtor for purposes hereof) hereby grants to Landlord, an express contract lien and a continuing security interest to secure the payment of all Rent due hereunder from Tenant, upon all goods, wares, equipment, fixtures, furniture, inventory and other tangible personal property of Tenant (and any transferees or other occupants of the Premises) presently or hereafter situated on the Premises and upon all proceeds of any insurance which may accrue to Tenant by reason of damage or destruction of any such property. Ln the event of a default under this Lease, Landlord shall have, in addition to any other remedies provided herein or by law, all rights and remedies under the Uniform Commercial Code of the state in which the Premises is located including without limitation the right to sell the property described in this paragraph at public or private sale upon ten (10) days’ notice to Tenant, which notice Tenant hereby agrees is adequate and reasonable. Tenant hereby agrees to execute such other instruments necessary or desirable in Landlord’s discretion to perfect the security interest hereby created. Any statutory lien for Rent is not hereby waived, the express contractual lien herein granted being in addition and supplementary thereto. Landlord and Tenant agree that this Lease and the security interest granted herein serve as a financing statement, and a copy or photographic or other reproduction of this paragraph of this Lease may be filed of record by Landlord and have the same force and effect as the original Tenant warrants and represents that the collateral subject to the security interest granted herein is not purchased or used by Tenant for personal, family or household purposes. Tenant further warrants and represent to Landlord that the lien granted herein constitutes a first and superior lien and that Tenant will not allow the placing of any other lien upon any of the property described in this paragraph without the prior written consent of Landlord. Notwithstanding the provisions of this </w:t>
      </w:r>
      <w:r>
        <w:rPr>
          <w:rFonts w:ascii="Arial" w:cs="Arial" w:eastAsia="Arial" w:hAnsi="Arial"/>
          <w:sz w:val="16"/>
          <w:szCs w:val="16"/>
          <w:u w:val="single" w:color="auto"/>
          <w:color w:val="auto"/>
        </w:rPr>
        <w:t>Paragraph 16(c)</w:t>
      </w:r>
      <w:r>
        <w:rPr>
          <w:rFonts w:ascii="Arial" w:cs="Arial" w:eastAsia="Arial" w:hAnsi="Arial"/>
          <w:sz w:val="16"/>
          <w:szCs w:val="16"/>
          <w:color w:val="auto"/>
        </w:rPr>
        <w:t xml:space="preserve"> to the contrary, if Tenant desires to obtain a loan secured by Tenant’s personal property in the Premises and requests that Landlord execute a lien waiver in connection therewith, Landlord shall, in its reasonable discretion, based upon Landlord’s review of Tenant’s financial condition, agree to subordinate its lien rights to the rights of Tenant’s lender pursuant to a lien subordination on Landlord’s standard form, provided that Tenant delivers such request in writing to Landlord together with a non-refundable processing fee in the amount of Five Hundred Dollars ($500.00). Notwithstanding the foregoing, however if Landlord incurs processing costs (including attorneys’ fees) in connection with any such request which exceed Five Hundred Dollars ($500.00), then Tenant shall reimburse Landlord for such excess within three (3) business days following Tenant’s receipt of invoice(s) therefor from Landlord. Nothing in this </w:t>
      </w:r>
      <w:r>
        <w:rPr>
          <w:rFonts w:ascii="Arial" w:cs="Arial" w:eastAsia="Arial" w:hAnsi="Arial"/>
          <w:sz w:val="16"/>
          <w:szCs w:val="16"/>
          <w:u w:val="single" w:color="auto"/>
          <w:color w:val="auto"/>
        </w:rPr>
        <w:t>Paragraph 16(c)</w:t>
      </w:r>
      <w:r>
        <w:rPr>
          <w:rFonts w:ascii="Arial" w:cs="Arial" w:eastAsia="Arial" w:hAnsi="Arial"/>
          <w:sz w:val="16"/>
          <w:szCs w:val="16"/>
          <w:color w:val="auto"/>
        </w:rPr>
        <w:t xml:space="preserve"> shall permit Tenant to encumber its leasehold interest in the Premises.</w:t>
      </w:r>
    </w:p>
    <w:p>
      <w:pPr>
        <w:spacing w:after="0" w:line="3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382" w:name="page383"/>
    <w:bookmarkEnd w:id="382"/>
    <w:p>
      <w:pPr>
        <w:ind w:left="4" w:firstLine="436"/>
        <w:spacing w:after="0" w:line="268" w:lineRule="auto"/>
        <w:tabs>
          <w:tab w:leader="none" w:pos="831" w:val="left"/>
        </w:tabs>
        <w:numPr>
          <w:ilvl w:val="1"/>
          <w:numId w:val="3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Tenant shall, upon not less than ten (10) days’ prior notice by Landlord execute, acknowledge and deliver to Landlord a statement in writing certifying to those facts for which certification has been requested by Landlord or any current or prospective purchaser holder of any Security Document, ground lessor or master lessor, including, but without limitation, that (i) this Lease is unmodified and in full force and effect (or if there have been modifications, that the same is in full force and effect as modified and stating the modifications), (ii) the dates to which the Basic Annual Rent, Additional Rent and other charges hereunder have been paid, if any, and (iii) whether or not to the best knowledge of Tenant, Landlord is in default in the performance of any covenant, agreement or condition contained in this Lease and, if so, specifying each such default of which Tenant may have knowledge. The form of the statement attached hereto as </w:t>
      </w:r>
      <w:r>
        <w:rPr>
          <w:rFonts w:ascii="Arial" w:cs="Arial" w:eastAsia="Arial" w:hAnsi="Arial"/>
          <w:sz w:val="17"/>
          <w:szCs w:val="17"/>
          <w:i w:val="1"/>
          <w:iCs w:val="1"/>
          <w:u w:val="single" w:color="auto"/>
          <w:color w:val="auto"/>
        </w:rPr>
        <w:t>Exhibit E</w:t>
      </w:r>
      <w:r>
        <w:rPr>
          <w:rFonts w:ascii="Arial" w:cs="Arial" w:eastAsia="Arial" w:hAnsi="Arial"/>
          <w:sz w:val="17"/>
          <w:szCs w:val="17"/>
          <w:color w:val="auto"/>
        </w:rPr>
        <w:t xml:space="preserve"> is hereby approved by Tenant for use pursuant to this </w:t>
      </w:r>
      <w:r>
        <w:rPr>
          <w:rFonts w:ascii="Arial" w:cs="Arial" w:eastAsia="Arial" w:hAnsi="Arial"/>
          <w:sz w:val="17"/>
          <w:szCs w:val="17"/>
          <w:u w:val="single" w:color="auto"/>
          <w:color w:val="auto"/>
        </w:rPr>
        <w:t>subparagraph (d)</w:t>
      </w:r>
      <w:r>
        <w:rPr>
          <w:rFonts w:ascii="Arial" w:cs="Arial" w:eastAsia="Arial" w:hAnsi="Arial"/>
          <w:sz w:val="17"/>
          <w:szCs w:val="17"/>
          <w:color w:val="auto"/>
        </w:rPr>
        <w:t xml:space="preserve">; however, at Landlord’s option, Landlord shall have the right to use other forms for such purpose. Tenant’s failure to execute and deliver such statement within such time shall, at the option of Landlord, constitute a material default under this Lease and, in any event, shall be conclusive upon Tenant that this Lease is in full force and effect without modification except as may be represented by Landlord in any such certificate prepared by Landlord and delivered to Tenant for execution. Any statement delivered pursuant to this </w:t>
      </w:r>
      <w:r>
        <w:rPr>
          <w:rFonts w:ascii="Arial" w:cs="Arial" w:eastAsia="Arial" w:hAnsi="Arial"/>
          <w:sz w:val="17"/>
          <w:szCs w:val="17"/>
          <w:u w:val="single" w:color="auto"/>
          <w:color w:val="auto"/>
        </w:rPr>
        <w:t>Paragraph 16</w:t>
      </w:r>
      <w:r>
        <w:rPr>
          <w:rFonts w:ascii="Arial" w:cs="Arial" w:eastAsia="Arial" w:hAnsi="Arial"/>
          <w:sz w:val="17"/>
          <w:szCs w:val="17"/>
          <w:color w:val="auto"/>
        </w:rPr>
        <w:t xml:space="preserve"> may be relied upon by any prospective purchaser of the fee of the Building or the Project or any mortgagee, ground lessor or other like encumbrancer thereof or any assignee of any such encumbrance upon the Building or the Project.</w:t>
      </w:r>
    </w:p>
    <w:p>
      <w:pPr>
        <w:spacing w:after="0" w:line="330" w:lineRule="exact"/>
        <w:rPr>
          <w:rFonts w:ascii="Arial" w:cs="Arial" w:eastAsia="Arial" w:hAnsi="Arial"/>
          <w:sz w:val="17"/>
          <w:szCs w:val="17"/>
          <w:color w:val="auto"/>
        </w:rPr>
      </w:pPr>
    </w:p>
    <w:p>
      <w:pPr>
        <w:ind w:left="424" w:hanging="424"/>
        <w:spacing w:after="0"/>
        <w:tabs>
          <w:tab w:leader="none" w:pos="424"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BY LANDLORD; TENANT’S REMEDIES; NONRECOURSE LIABILITY</w:t>
      </w:r>
    </w:p>
    <w:p>
      <w:pPr>
        <w:spacing w:after="0" w:line="121" w:lineRule="exact"/>
        <w:rPr>
          <w:rFonts w:ascii="Arial" w:cs="Arial" w:eastAsia="Arial" w:hAnsi="Arial"/>
          <w:sz w:val="18"/>
          <w:szCs w:val="18"/>
          <w:b w:val="1"/>
          <w:bCs w:val="1"/>
          <w:color w:val="auto"/>
        </w:rPr>
      </w:pPr>
    </w:p>
    <w:p>
      <w:pPr>
        <w:ind w:left="4" w:right="280" w:firstLine="436"/>
        <w:spacing w:after="0" w:line="311" w:lineRule="auto"/>
        <w:tabs>
          <w:tab w:leader="none" w:pos="824" w:val="left"/>
        </w:tabs>
        <w:numPr>
          <w:ilvl w:val="1"/>
          <w:numId w:val="379"/>
        </w:numPr>
        <w:rPr>
          <w:rFonts w:ascii="Arial" w:cs="Arial" w:eastAsia="Arial" w:hAnsi="Arial"/>
          <w:sz w:val="16"/>
          <w:szCs w:val="16"/>
          <w:color w:val="auto"/>
        </w:rPr>
      </w:pPr>
      <w:r>
        <w:rPr>
          <w:rFonts w:ascii="Arial" w:cs="Arial" w:eastAsia="Arial" w:hAnsi="Arial"/>
          <w:sz w:val="16"/>
          <w:szCs w:val="16"/>
          <w:color w:val="auto"/>
        </w:rPr>
        <w:t>In the event of a sale or conveyance by Landlord of the Building or the Project, Landlord shall be released from any and all liability under this Lease. If the Security Deposit has been deposited by Tenant to Landlord prior to such sale or conveyance, Landlord shall transfer the Security Deposit to the purchaser, and upon delivery to Tenant of notice thereof, Landlord shall be discharged from any further liability in reference thereto.</w:t>
      </w:r>
    </w:p>
    <w:p>
      <w:pPr>
        <w:spacing w:after="0" w:line="148" w:lineRule="exact"/>
        <w:rPr>
          <w:rFonts w:ascii="Arial" w:cs="Arial" w:eastAsia="Arial" w:hAnsi="Arial"/>
          <w:sz w:val="16"/>
          <w:szCs w:val="16"/>
          <w:color w:val="auto"/>
        </w:rPr>
      </w:pPr>
    </w:p>
    <w:p>
      <w:pPr>
        <w:ind w:left="4" w:right="60" w:firstLine="436"/>
        <w:spacing w:after="0" w:line="254" w:lineRule="auto"/>
        <w:tabs>
          <w:tab w:leader="none" w:pos="83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Landlord shall not be in default of any obligation of Landlord hereunder unless Landlord fails to perform any of its obligations under this Lease within thirty (30) days after receipt of written notice of such failure from Tenant; provided, however, that if the nature of Landlord s obligation is such that more than thirty (30) days are required for its performance, Landlord shall not be in default if Landlord commences to cure such default within the thirty (30) day period and thereafter diligently prosecutes the same to completion. All obligations of Landlord under this Lease will be binding upon Landlord only during the period of its ownership of the Project and not thereafter. All obligations of Landlord hereunder shall be construed as covenants not conditions and, except as may be otherwise expressly provided in this Lease Tenant may not terminate this Lease for breach of Landlord’s obligations hereunder.</w:t>
      </w:r>
    </w:p>
    <w:p>
      <w:pPr>
        <w:spacing w:after="0" w:line="194" w:lineRule="exact"/>
        <w:rPr>
          <w:rFonts w:ascii="Arial" w:cs="Arial" w:eastAsia="Arial" w:hAnsi="Arial"/>
          <w:sz w:val="18"/>
          <w:szCs w:val="18"/>
          <w:color w:val="auto"/>
        </w:rPr>
      </w:pPr>
    </w:p>
    <w:p>
      <w:pPr>
        <w:ind w:left="4" w:right="80" w:firstLine="436"/>
        <w:spacing w:after="0" w:line="268" w:lineRule="auto"/>
        <w:tabs>
          <w:tab w:leader="none" w:pos="82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Notwithstanding anything contained in this Lease to the contrary the obligations of Landlord under this Lease (including any actual or alleged breach or default by Landlord) do not constitute personal obligations of the individual partners, directors officers, trustees, members or shareholders of Landlord or Landlord’s members or partners, and Tenant shall not seek recourse against the individual partners, directors, officers, trustees, members or shareholders of Landlord or against Landlord’s members or partners or against any other persons or entities having any interest in Landlord, or against any of their personal assets for satisfaction of any liability with respect to this Lease. Any liability of Landlord for a default by Landlord under this Lease, or a breach by Landlord of any of its obligations under the Lease, shall be limited solely to its interest in the Project, and in no event shall any personal liability be asserted against Landlord and/or any Landlord Indemnitee in connection with this Lease nor shall any recourse be had to any other property or assets of Landlord its partners, directors, officers, trustees, members shareholders or any other persons or entities having any interest in Landlord. Tenant’s sole and exclusive remedy for a default or breach of this Lease by Landlord shall be either (i) an action for damages, or (ii) an action for injunctive relief; Tenant hereby waiving and agreeing that Tenant shall have no offset rights or right to terminate this Lease on account of any breach or default by Landlord under this Lease. Under no circumstances whatsoever shall Landlord ever be liable for punitive, consequential or special damages or loss of profits under this Lease and Tenant waives any rights it may have to such damages under this Lease in the event of a breach or default by Landlord under this Lease.</w:t>
      </w:r>
    </w:p>
    <w:p>
      <w:pPr>
        <w:spacing w:after="0" w:line="186" w:lineRule="exact"/>
        <w:rPr>
          <w:rFonts w:ascii="Arial" w:cs="Arial" w:eastAsia="Arial" w:hAnsi="Arial"/>
          <w:sz w:val="17"/>
          <w:szCs w:val="17"/>
          <w:color w:val="auto"/>
        </w:rPr>
      </w:pPr>
    </w:p>
    <w:p>
      <w:pPr>
        <w:ind w:left="4" w:right="40" w:firstLine="436"/>
        <w:spacing w:after="0" w:line="263" w:lineRule="auto"/>
        <w:tabs>
          <w:tab w:leader="none" w:pos="82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As a condition to the effectiveness of any notice of default given by Tenant to Landlord Tenant shall also concurrently give such notice under the provisions of </w:t>
      </w:r>
      <w:r>
        <w:rPr>
          <w:rFonts w:ascii="Arial" w:cs="Arial" w:eastAsia="Arial" w:hAnsi="Arial"/>
          <w:sz w:val="18"/>
          <w:szCs w:val="18"/>
          <w:u w:val="single" w:color="auto"/>
          <w:color w:val="auto"/>
        </w:rPr>
        <w:t>Paragraph 17(b)</w:t>
      </w:r>
      <w:r>
        <w:rPr>
          <w:rFonts w:ascii="Arial" w:cs="Arial" w:eastAsia="Arial" w:hAnsi="Arial"/>
          <w:sz w:val="18"/>
          <w:szCs w:val="18"/>
          <w:color w:val="auto"/>
        </w:rPr>
        <w:t xml:space="preserve"> to each beneficiary under a Security Document encumbering the Project of whom Tenant has received written notice (such notice to specify the address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383" w:name="page384"/>
    <w:bookmarkEnd w:id="383"/>
    <w:p>
      <w:pPr>
        <w:ind w:left="4"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beneficiary). In the event Landlord shall fail to cure any breach or default within the time period specified in </w:t>
      </w:r>
      <w:r>
        <w:rPr>
          <w:rFonts w:ascii="Arial" w:cs="Arial" w:eastAsia="Arial" w:hAnsi="Arial"/>
          <w:sz w:val="16"/>
          <w:szCs w:val="16"/>
          <w:u w:val="single" w:color="auto"/>
          <w:color w:val="auto"/>
        </w:rPr>
        <w:t>subparagraph (b)</w:t>
      </w:r>
      <w:r>
        <w:rPr>
          <w:rFonts w:ascii="Arial" w:cs="Arial" w:eastAsia="Arial" w:hAnsi="Arial"/>
          <w:sz w:val="16"/>
          <w:szCs w:val="16"/>
          <w:color w:val="auto"/>
        </w:rPr>
        <w:t>, then prior to the pursuit of any remedy therefor by Tenant, each such beneficiary shall have an additional thirty (30) days within which to cure such default, or if such default cannot reasonably be cured within such period then each such beneficiary shall have such additional time as shall be necessary to cure such default, provided that within such thirty (30) day period, such beneficiary has commenced and is diligently pursuing the remedies available to it which are necessary to cure such default (including, without limitation, as appropriate commencement of foreclosure proceedings).</w:t>
      </w:r>
    </w:p>
    <w:p>
      <w:pPr>
        <w:spacing w:after="0" w:line="306" w:lineRule="exact"/>
        <w:rPr>
          <w:sz w:val="20"/>
          <w:szCs w:val="20"/>
          <w:color w:val="auto"/>
        </w:rPr>
      </w:pPr>
    </w:p>
    <w:p>
      <w:pPr>
        <w:ind w:left="424" w:hanging="424"/>
        <w:spacing w:after="0"/>
        <w:tabs>
          <w:tab w:leader="none" w:pos="42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 COMMON AREAS</w:t>
      </w:r>
    </w:p>
    <w:p>
      <w:pPr>
        <w:spacing w:after="0" w:line="121" w:lineRule="exact"/>
        <w:rPr>
          <w:rFonts w:ascii="Arial" w:cs="Arial" w:eastAsia="Arial" w:hAnsi="Arial"/>
          <w:sz w:val="18"/>
          <w:szCs w:val="18"/>
          <w:b w:val="1"/>
          <w:bCs w:val="1"/>
          <w:color w:val="auto"/>
        </w:rPr>
      </w:pPr>
    </w:p>
    <w:p>
      <w:pPr>
        <w:ind w:left="4" w:firstLine="436"/>
        <w:spacing w:after="0" w:line="284" w:lineRule="auto"/>
        <w:tabs>
          <w:tab w:leader="none" w:pos="821"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Tenant shall have the right to the nonexclusive use of the number of parking spaces located in the parking areas of the Project specified in </w:t>
      </w:r>
      <w:r>
        <w:rPr>
          <w:rFonts w:ascii="Arial" w:cs="Arial" w:eastAsia="Arial" w:hAnsi="Arial"/>
          <w:sz w:val="16"/>
          <w:szCs w:val="16"/>
          <w:i w:val="1"/>
          <w:iCs w:val="1"/>
          <w:color w:val="auto"/>
        </w:rPr>
        <w:t xml:space="preserve">Item 13 </w:t>
      </w:r>
      <w:r>
        <w:rPr>
          <w:rFonts w:ascii="Arial" w:cs="Arial" w:eastAsia="Arial" w:hAnsi="Arial"/>
          <w:sz w:val="16"/>
          <w:szCs w:val="16"/>
          <w:color w:val="auto"/>
        </w:rPr>
        <w:t>of the Basic Lease Provisions for the parking of operational motor vehicles used by Tenant, its officers and employees only. Landlord reserves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at any time upon written notice to Tenant, to designate the location of Tenant’s parking spaces as determined by Landlord in its reasonable discretion. The use of such spaces shall be subject to the rules and regulations adopted by Landlord from time to time for the use of the parking areas. Landlord further reserves the right to make such changes to the parking system as Landlord may deem necessary or reasonable from time to time; i.e., Landlord may provide for one or a combination of parking systems, including, without limitation, self-parking, single or double stall parking spaces and valet assisted parking. Except as otherwise expressly agreed to in this Lease, Tenant agrees that Tenant its officers and employees shall not be entitled to park in any reserved or specially assigned areas designated by Landlord from time to time in the Project’s parking areas. Landlord may require execution of an agreement with respect to the use of such parking areas by Tenant and/or its officers and employees in form reasonably satisfactory to Landlord as a condition of any such use by Tenant, its officers and employees. A default by Tenant, its officers or employees in the payment of such charges the compliance with such rules and regulations, or the performance of such agreement(s) shall constitute a material default by Tenant hereunder. Tenant shall not permit or allow any vehicles that belong to or are controlled by Tenant or Tenant’s officers, employees, suppliers, shippers, customers or invitees to be loaded, unloaded or parked in areas other than those designated by Landlord for such activities. If Tenant permits or allows any of the prohibited activities described in this Paragraph, then Landlord shall have the right, without notice, in addition to such other rights and remedies that it may have, to remove or tow away the vehicle involved and charge the cost to Tenant which cost shall be immediately payable upon demand by Landlord. As used herein, the term “</w:t>
      </w:r>
      <w:r>
        <w:rPr>
          <w:rFonts w:ascii="Arial" w:cs="Arial" w:eastAsia="Arial" w:hAnsi="Arial"/>
          <w:sz w:val="16"/>
          <w:szCs w:val="16"/>
          <w:u w:val="single" w:color="auto"/>
          <w:color w:val="auto"/>
        </w:rPr>
        <w:t>Adjustment Date</w:t>
      </w:r>
      <w:r>
        <w:rPr>
          <w:rFonts w:ascii="Arial" w:cs="Arial" w:eastAsia="Arial" w:hAnsi="Arial"/>
          <w:sz w:val="16"/>
          <w:szCs w:val="16"/>
          <w:color w:val="auto"/>
        </w:rPr>
        <w:t>” shall mean each anniversary of the Commencement Date. As used herein the term “</w:t>
      </w:r>
      <w:r>
        <w:rPr>
          <w:rFonts w:ascii="Arial" w:cs="Arial" w:eastAsia="Arial" w:hAnsi="Arial"/>
          <w:sz w:val="16"/>
          <w:szCs w:val="16"/>
          <w:u w:val="single" w:color="auto"/>
          <w:color w:val="auto"/>
        </w:rPr>
        <w:t>CPI Increase</w:t>
      </w:r>
      <w:r>
        <w:rPr>
          <w:rFonts w:ascii="Arial" w:cs="Arial" w:eastAsia="Arial" w:hAnsi="Arial"/>
          <w:sz w:val="16"/>
          <w:szCs w:val="16"/>
          <w:color w:val="auto"/>
        </w:rPr>
        <w:t>” shall mean for a particular twelve (12) calendar month period, the percentage increase (rounded to two (2) decimal places), if any, in (A) the Cost of Living Index (hereinafter defined) published for the month that is two (2) months prior to the applicable Adjustment Date, over (B) the Cost of Living Index published for the month that is fourteen (14) months prior to the applicable Adjustment Date. For purposes of this Lease, the term “</w:t>
      </w:r>
      <w:r>
        <w:rPr>
          <w:rFonts w:ascii="Arial" w:cs="Arial" w:eastAsia="Arial" w:hAnsi="Arial"/>
          <w:sz w:val="16"/>
          <w:szCs w:val="16"/>
          <w:u w:val="single" w:color="auto"/>
          <w:color w:val="auto"/>
        </w:rPr>
        <w:t>Cost of Living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Index</w:t>
      </w:r>
      <w:r>
        <w:rPr>
          <w:rFonts w:ascii="Arial" w:cs="Arial" w:eastAsia="Arial" w:hAnsi="Arial"/>
          <w:sz w:val="16"/>
          <w:szCs w:val="16"/>
          <w:color w:val="auto"/>
        </w:rPr>
        <w:t>” shall mean the Consumer Price Index for All Urban Consumers, U.S. City Average (1982-1984 = 100), published by the Bureau of Labor Statistics, U.S. Department of Labor or any successor thereto (the “</w:t>
      </w:r>
      <w:r>
        <w:rPr>
          <w:rFonts w:ascii="Arial" w:cs="Arial" w:eastAsia="Arial" w:hAnsi="Arial"/>
          <w:sz w:val="16"/>
          <w:szCs w:val="16"/>
          <w:u w:val="single" w:color="auto"/>
          <w:color w:val="auto"/>
        </w:rPr>
        <w:t>BLS</w:t>
      </w:r>
      <w:r>
        <w:rPr>
          <w:rFonts w:ascii="Arial" w:cs="Arial" w:eastAsia="Arial" w:hAnsi="Arial"/>
          <w:sz w:val="16"/>
          <w:szCs w:val="16"/>
          <w:color w:val="auto"/>
        </w:rPr>
        <w:t>”), or such other renamed index. If the BLS changes the publication frequency of the Cost of Living Index so that a Cost of Living Index is not available to make a cost-of-living adjustment as specified herein, the cost-of-living adjustment shall be based on the percentage difference between the Cost of Living Index for the closest preceding month for which a Cost of Living Index is available and the Cost of Living Index for the comparison month as required by this Lease (adjusted to reflect a 12 month period). If the BLS changes the base reference period for the Cost of Living Index from 1982-1984 = 100 the cost-of-living adjustment shall be determined with the use of such conversion formula or table as may be published by the BLS. If the BLS otherwise substantially revises, or ceases publication of, the Cost of Living Index, then a substitute index for determining cost-of-living adjustments, issued by the BLS or by a reliable governmental or other nonpartisan publication, shall be reasonably selected by Landlord.</w:t>
      </w:r>
    </w:p>
    <w:p>
      <w:pPr>
        <w:spacing w:after="0" w:line="385" w:lineRule="exact"/>
        <w:rPr>
          <w:rFonts w:ascii="Arial" w:cs="Arial" w:eastAsia="Arial" w:hAnsi="Arial"/>
          <w:sz w:val="16"/>
          <w:szCs w:val="16"/>
          <w:color w:val="auto"/>
        </w:rPr>
      </w:pPr>
    </w:p>
    <w:p>
      <w:pPr>
        <w:ind w:left="4" w:right="80" w:firstLine="436"/>
        <w:spacing w:after="0" w:line="291" w:lineRule="auto"/>
        <w:tabs>
          <w:tab w:leader="none" w:pos="83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subparagraph (c)</w:t>
      </w:r>
      <w:r>
        <w:rPr>
          <w:rFonts w:ascii="Arial" w:cs="Arial" w:eastAsia="Arial" w:hAnsi="Arial"/>
          <w:sz w:val="16"/>
          <w:szCs w:val="16"/>
          <w:color w:val="auto"/>
        </w:rPr>
        <w:t xml:space="preserve"> below and the remaining provisions of this Lease, Tenant shall have the nonexclusive right, in common with others, to the use of such entrances, lobbies, restrooms, elevators, ramps, drives, stairs, and similar access ways and service ways and other common areas and facilities in and adjacent to the Building and the Project as are designated from time to time by Landlord for the general nonexclusive use of Landlord, Tenant and the other tenants of the Project and their respective employees, agents, representatives, licensees and invitees (“</w:t>
      </w:r>
      <w:r>
        <w:rPr>
          <w:rFonts w:ascii="Arial" w:cs="Arial" w:eastAsia="Arial" w:hAnsi="Arial"/>
          <w:sz w:val="16"/>
          <w:szCs w:val="16"/>
          <w:u w:val="single" w:color="auto"/>
          <w:color w:val="auto"/>
        </w:rPr>
        <w:t>Common Areas</w:t>
      </w:r>
      <w:r>
        <w:rPr>
          <w:rFonts w:ascii="Arial" w:cs="Arial" w:eastAsia="Arial" w:hAnsi="Arial"/>
          <w:sz w:val="16"/>
          <w:szCs w:val="16"/>
          <w:color w:val="auto"/>
        </w:rPr>
        <w:t>”). The use of such Common Areas shall be subject to the rules and regulations contained herein and the provisions of any covenants, conditions and restrictions affecting the Building or the Project. Tenant shall keep all of the Common Areas free and clear of any obstructions created or permitted by Tenant or resulting from Tenant’s operations, and shall use the Common Areas only for normal activities parking and ingress and egress by Tenant and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84" w:name="page385"/>
    <w:bookmarkEnd w:id="384"/>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employees, agents representatives, licensees and invitees to and from the Premises, the Building or the Project. If, in the reasonable opinion of Landlord, unauthorized persons are using the Common Areas by reason of the presence of Tenant in the Premises, Tenant, upon demand of Landlord shall correct such situation by appropriate action or proceedings against all such unauthorized persons. Nothing herein shall affect the rights of Landlord at any time to remove any such unauthorized persons from said areas or to prevent the use of any of said areas by unauthorized persons. Landlord reserves the right to make such changes, alterations, additions, deletions, improvements, repairs or replacements in or to the Building, the Project (including the Premises) and the Common Areas as Landlord may reasonably deem necessary or desirable, including, without limitation constructing new buildings and making changes in the location size shape and number of driveways, entrances, parking spaces, parking areas, loading areas, landscaped areas and walkways; provided however, that (i) there shall be no unreasonable permanent obstruction of access to or use of the Premises resulting therefrom and (ii) Landlord shall use commercially reasonable efforts to minimize any interruption with Tenant s use of the Premises. In the event that the Project is not completed on the date of execution of this Lease, Landlord shall have the sole judgment and discretion to determine the architecture, design appearance construct ion, workmanship, materials and equipment with respect to construction of the Project. Notwithstanding any provision of this Lease to the contrary, the Common Areas shall not in any event be deemed to be a portion of or included within the Premises leased to Tenant and the Premises shall not be deemed to be a portion of the Common Areas. This Lease is granted subject to the terms hereof, the rights and interests of third parties under existing liens, ground leases easements and encumbrances affecting such property, all zoning regulations, rules, ordinances, building restrictions and other laws and regulations now in effect or hereafter adopted by any governmental authority having jurisdiction over the Project or any part thereof.</w:t>
      </w:r>
    </w:p>
    <w:p>
      <w:pPr>
        <w:spacing w:after="0" w:line="395" w:lineRule="exact"/>
        <w:rPr>
          <w:sz w:val="20"/>
          <w:szCs w:val="20"/>
          <w:color w:val="auto"/>
        </w:rPr>
      </w:pPr>
    </w:p>
    <w:p>
      <w:pPr>
        <w:ind w:left="4" w:firstLine="436"/>
        <w:spacing w:after="0" w:line="285" w:lineRule="auto"/>
        <w:tabs>
          <w:tab w:leader="none" w:pos="824" w:val="left"/>
        </w:tabs>
        <w:numPr>
          <w:ilvl w:val="1"/>
          <w:numId w:val="381"/>
        </w:numPr>
        <w:rPr>
          <w:rFonts w:ascii="Arial" w:cs="Arial" w:eastAsia="Arial" w:hAnsi="Arial"/>
          <w:sz w:val="16"/>
          <w:szCs w:val="16"/>
          <w:color w:val="auto"/>
        </w:rPr>
      </w:pPr>
      <w:r>
        <w:rPr>
          <w:rFonts w:ascii="Arial" w:cs="Arial" w:eastAsia="Arial" w:hAnsi="Arial"/>
          <w:sz w:val="16"/>
          <w:szCs w:val="16"/>
          <w:color w:val="auto"/>
        </w:rPr>
        <w:t>Notwithstanding any provision of this Lease to the contrary, Landlord specifically reserves the right to redefine the term “</w:t>
      </w:r>
      <w:r>
        <w:rPr>
          <w:rFonts w:ascii="Arial" w:cs="Arial" w:eastAsia="Arial" w:hAnsi="Arial"/>
          <w:sz w:val="16"/>
          <w:szCs w:val="16"/>
          <w:u w:val="single" w:color="auto"/>
          <w:color w:val="auto"/>
        </w:rPr>
        <w:t>Project</w:t>
      </w:r>
      <w:r>
        <w:rPr>
          <w:rFonts w:ascii="Arial" w:cs="Arial" w:eastAsia="Arial" w:hAnsi="Arial"/>
          <w:sz w:val="16"/>
          <w:szCs w:val="16"/>
          <w:color w:val="auto"/>
        </w:rPr>
        <w:t>” for purposes of allocating and calculating Operating Costs so as to include or exclude areas as Landlord shall from time to time determine or specify (and any such determination or specification shall be without prejudice to Landlord’s right to revise thereafter such determination or specification). In addition, Landlord shall have the right to contract or otherwise arrange for amenities, services or utilities (the cost of which is included within Operating Costs) to be on a common or shared basis to both the Project (i.e., the area with respect to which Operating Costs are determined) and adjacent areas not included within the Project so long as the basis on which the cost of such amenities, services or utilities is allocated to the Project is determined on an arms-length basis or some other basis reasonably determined by Landlord. In the case where the definition of the Project is revised for purposes of the allocation or determination of Operating Costs (i) Tenant’s Proportionate Share of the Building shall be appropriately revised to equal the percentage share of all Rentable Area contained within the Building (as then defined) represented by the Premises and (ii) Tenant’s Proportionate Share of the Project shall be appropriately revised to equal the percentage share of all Rentable Area contained within the Project (as then defined) represented by the Premises. The Rentable Area of the Project is subject to adjustment by Landlord from time to time to reflect any re-measurement thereof by Landlord’s architect, at Landlord’s request, and/or as a result of any additions or deletions to any of the buildings in the Project as designated by Landlord. Notwithstanding the foregoing, Landlord agrees that in no event shall Tenant’s Proportionate Share of Operating Costs increase due to Landlord redefining the term “Project.” Landlord shall have the sole right to determine which portions of the Project and other areas, if any, shall be served by common management, operation, maintenance and repair. Landlord shall also have the right, in its sole discretion, to allocate and prorate any portion or portions of the Operating Costs on a building-by-building bas is, on an aggregate basis of all buildings in the Project, or any other reasonable manner, and if allocated on a building-by-building basis, then Tenant’s Proportionate Share shall, as to the portion of the Operating Costs so allocated, be based on the ratio of the Rentable Area of the Premises to the Rentable Area of the Building. Landlord shall have the exclusive rights to the airspace above and around and the subsurface below, the Premises and other portions of the Building and Project.</w:t>
      </w:r>
    </w:p>
    <w:p>
      <w:pPr>
        <w:spacing w:after="0" w:line="313" w:lineRule="exact"/>
        <w:rPr>
          <w:rFonts w:ascii="Arial" w:cs="Arial" w:eastAsia="Arial" w:hAnsi="Arial"/>
          <w:sz w:val="16"/>
          <w:szCs w:val="16"/>
          <w:color w:val="auto"/>
        </w:rPr>
      </w:pPr>
    </w:p>
    <w:p>
      <w:pPr>
        <w:ind w:left="424" w:hanging="424"/>
        <w:spacing w:after="0"/>
        <w:tabs>
          <w:tab w:leader="none" w:pos="42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21" w:lineRule="exact"/>
        <w:rPr>
          <w:rFonts w:ascii="Arial" w:cs="Arial" w:eastAsia="Arial" w:hAnsi="Arial"/>
          <w:sz w:val="18"/>
          <w:szCs w:val="18"/>
          <w:b w:val="1"/>
          <w:bCs w:val="1"/>
          <w:color w:val="auto"/>
        </w:rPr>
      </w:pPr>
    </w:p>
    <w:p>
      <w:pPr>
        <w:ind w:left="4" w:right="560" w:firstLine="436"/>
        <w:spacing w:after="0" w:line="286" w:lineRule="auto"/>
        <w:tabs>
          <w:tab w:leader="none" w:pos="824" w:val="left"/>
        </w:tabs>
        <w:numPr>
          <w:ilvl w:val="1"/>
          <w:numId w:val="382"/>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legal action or proceeding brought by either party against the other arising out of this Lease, the prevailing party shall be entitled to recover reasonable attorneys’ fees and costs (including without limitation court costs and expert witness fees) incurred in such action. Such amounts shall be included in any judgment rendered in any such action or proceeding.</w:t>
      </w:r>
    </w:p>
    <w:p>
      <w:pPr>
        <w:spacing w:after="0" w:line="165" w:lineRule="exact"/>
        <w:rPr>
          <w:rFonts w:ascii="Arial" w:cs="Arial" w:eastAsia="Arial" w:hAnsi="Arial"/>
          <w:sz w:val="17"/>
          <w:szCs w:val="17"/>
          <w:color w:val="auto"/>
        </w:rPr>
      </w:pPr>
    </w:p>
    <w:p>
      <w:pPr>
        <w:jc w:val="both"/>
        <w:ind w:left="4" w:right="200" w:firstLine="436"/>
        <w:spacing w:after="0" w:line="263" w:lineRule="auto"/>
        <w:tabs>
          <w:tab w:leader="none" w:pos="834" w:val="left"/>
        </w:tabs>
        <w:numPr>
          <w:ilvl w:val="1"/>
          <w:numId w:val="38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by Landlord of any provision of this Lease or of any breach by Tenant hereunder shall be deemed to be a waiver of any other provision hereof, or of any subsequent breach by Tenant. Landlord’s consent to or approval of any act by Tenant requiring Landlord’s consent or approval under this Lease shall not be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85" w:name="page386"/>
    <w:bookmarkEnd w:id="38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render unnecessary the obtaining of Landlord’s consent to or approval of any subsequent act of Tenant. No act or thing done by Landlord or Landlord’s agents during the Lease Term shall be deemed an acceptance of a surrender of the Premises, unless in writing signed by Landlord. The delivery of the keys to any employee or agent of Landlord shall not operate as a termination of the Lease or a surrender of the Premises. The acceptance of any Rent by Landlord following a breach of this Lease by Tenant shall not constitute a waiver by Landlord of such breach or any other breach unless such waiver is expressly stated in a writing signed by Landlord.</w:t>
      </w:r>
    </w:p>
    <w:p>
      <w:pPr>
        <w:spacing w:after="0" w:line="188" w:lineRule="exact"/>
        <w:rPr>
          <w:sz w:val="20"/>
          <w:szCs w:val="20"/>
          <w:color w:val="auto"/>
        </w:rPr>
      </w:pPr>
    </w:p>
    <w:p>
      <w:pPr>
        <w:ind w:firstLine="436"/>
        <w:spacing w:after="0" w:line="269" w:lineRule="auto"/>
        <w:tabs>
          <w:tab w:leader="none" w:pos="82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demand, request, consent, approval, disapproval or certificate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required or desired to be given under this Lease shall be in writing and given by certified mail return receipt requested, by personal delivery or by a nationally recognized overnight delivery service (such as Federal Express or UPS) providing a receipt for delivery. Notices may not be given by facsimile. The date of giving any Notice shall be deemed to be the date upon which delivery is actually made by one of the methods described in this Section 19(c) (or attempted if said delivery is refused or rejected). If a Notice is received on a Saturday, Sunday or legal holiday it shall be deemed received on the next business day. All notices, demands, requests, consents, approvals, disapprovals, or certificates shall be addressed at the address specified in </w:t>
      </w:r>
      <w:r>
        <w:rPr>
          <w:rFonts w:ascii="Arial" w:cs="Arial" w:eastAsia="Arial" w:hAnsi="Arial"/>
          <w:sz w:val="17"/>
          <w:szCs w:val="17"/>
          <w:i w:val="1"/>
          <w:iCs w:val="1"/>
          <w:color w:val="auto"/>
        </w:rPr>
        <w:t>Item 14</w:t>
      </w:r>
      <w:r>
        <w:rPr>
          <w:rFonts w:ascii="Arial" w:cs="Arial" w:eastAsia="Arial" w:hAnsi="Arial"/>
          <w:sz w:val="17"/>
          <w:szCs w:val="17"/>
          <w:color w:val="auto"/>
        </w:rPr>
        <w:t xml:space="preserve"> of the Basic Lease Provisions or to such other addresses as may be specified by written notice from Landlord to Tenant and if to Tenant, at the Premises. Either party may change its address by giving reasonable advance written Notice of its new address in accordance with the methods described in this Paragraph; provided, however, no notice of either party’s change of address shall be effective until fifteen (15) days after the addressee s actual receipt thereof. For the purpose of this Lease, Landlord’s counsel may provide Notices to Tenant on behalf of Landlord and such notices shall be binding on Tenant as if such notices have been provided directly by Landlord.</w:t>
      </w:r>
    </w:p>
    <w:p>
      <w:pPr>
        <w:spacing w:after="0" w:line="181" w:lineRule="exact"/>
        <w:rPr>
          <w:rFonts w:ascii="Arial" w:cs="Arial" w:eastAsia="Arial" w:hAnsi="Arial"/>
          <w:sz w:val="17"/>
          <w:szCs w:val="17"/>
          <w:color w:val="auto"/>
        </w:rPr>
      </w:pPr>
    </w:p>
    <w:p>
      <w:pPr>
        <w:ind w:firstLine="436"/>
        <w:spacing w:after="0" w:line="268" w:lineRule="auto"/>
        <w:tabs>
          <w:tab w:leader="none" w:pos="83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Access Control</w:t>
      </w:r>
      <w:r>
        <w:rPr>
          <w:rFonts w:ascii="Arial" w:cs="Arial" w:eastAsia="Arial" w:hAnsi="Arial"/>
          <w:sz w:val="17"/>
          <w:szCs w:val="17"/>
          <w:color w:val="auto"/>
        </w:rPr>
        <w:t>. Landlord shall be the sole determinant of the type and amount of any access control or courtesy guard services to be provided to the Project, if any. IN ALL EVENTS, LANDLORD SHALL NOT BE LIABLE TO TENANT, AND TENANT HEREBY WAIVES ANY CLAIM AGAINST LANDLORD, FOR (I) ANY UNAUTHORIZED OR CRIMINAL ENTRY OF THIRD PARTIES INTO THE PREMISES, THE BUILDING OR THE PROJECT, (II) ANY DAMAGE TO PERSONS, OR (III) ANY LOSS OF PROPERTY IN AND ABOUT THE PREMISES, THE BUILDING OR THE PROJECT, BY OR FROM ANY UNAUTHORIZED OR CRIMINAL ACTS OF THIRD PARTIES, REGARDLESS OF ANY ACTION, INACTION, FAILURE, BREAKDOWN, MALFUNCTION AND/OR INSUFFICIENCY OF THE ACCESS CONTROL OR COURTESY GUARD SERVICES PROVIDED BY LANDLORD, IF ANY. Tenant shall provide such supplemental security services and shall install within the Premises such supplemental security equipment, systems and procedures as may reasonably be required for the protection of its employees and invitees, provided that Tenant shall coordinate such services and equipment with any security provided by Landlord. The determination of the extent to which such supplemental security equipment, systems and procedures are reasonably required shall be made in the sole judgment, and shall be the sole responsibility, of Tenant. Tenant acknowledges that it has neither received nor relied upon any representation or warranty made by or on behalf of Landlord with respect to the safety or security of the Premises or the Project or any part thereof or the extent or effectiveness of any security measures or procedures now or hereafter provided by Landlord, and further acknowledges that Tenant has made its own independent determinations with respect to all such matters.</w:t>
      </w:r>
    </w:p>
    <w:p>
      <w:pPr>
        <w:spacing w:after="0" w:line="184" w:lineRule="exact"/>
        <w:rPr>
          <w:rFonts w:ascii="Arial" w:cs="Arial" w:eastAsia="Arial" w:hAnsi="Arial"/>
          <w:sz w:val="17"/>
          <w:szCs w:val="17"/>
          <w:color w:val="auto"/>
        </w:rPr>
      </w:pPr>
    </w:p>
    <w:p>
      <w:pPr>
        <w:jc w:val="both"/>
        <w:ind w:right="20" w:firstLine="436"/>
        <w:spacing w:after="0" w:line="311" w:lineRule="auto"/>
        <w:tabs>
          <w:tab w:leader="none" w:pos="820"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Storage</w:t>
      </w:r>
      <w:r>
        <w:rPr>
          <w:rFonts w:ascii="Arial" w:cs="Arial" w:eastAsia="Arial" w:hAnsi="Arial"/>
          <w:sz w:val="16"/>
          <w:szCs w:val="16"/>
          <w:color w:val="auto"/>
        </w:rPr>
        <w:t>. Any storage space at any time leased to Tenant hereunder shall be used exclusively for storage. Notwithstanding any other provision of this Lease to the contrary, (i) Landlord shall have no obligation to provide heating, cleaning, water or air conditioning therefor and (ii) Landlord shall be obligated to provide to such storage space only such electricity as will in Landlord’s judgment, be adequate to light said space as storage space.</w:t>
      </w:r>
    </w:p>
    <w:p>
      <w:pPr>
        <w:spacing w:after="0" w:line="148" w:lineRule="exact"/>
        <w:rPr>
          <w:rFonts w:ascii="Arial" w:cs="Arial" w:eastAsia="Arial" w:hAnsi="Arial"/>
          <w:sz w:val="16"/>
          <w:szCs w:val="16"/>
          <w:color w:val="auto"/>
        </w:rPr>
      </w:pPr>
    </w:p>
    <w:p>
      <w:pPr>
        <w:ind w:firstLine="436"/>
        <w:spacing w:after="0" w:line="270" w:lineRule="auto"/>
        <w:tabs>
          <w:tab w:leader="none" w:pos="80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Holding Over</w:t>
      </w:r>
      <w:r>
        <w:rPr>
          <w:rFonts w:ascii="Arial" w:cs="Arial" w:eastAsia="Arial" w:hAnsi="Arial"/>
          <w:sz w:val="17"/>
          <w:szCs w:val="17"/>
          <w:color w:val="auto"/>
        </w:rPr>
        <w:t>. If Tenant retains possession of the Premises after the termination or expiration of the Lease Term, then Tenant shall, at Landlord’s election, become a tenant at sufferance (and not a tenant at will), such possession shall be subject to immediate termination by Landlord at any time, and all of the other terms and provisions of this Lease (excluding any expansion or renewal option or other similar right or option) shall be applicable during such holdover period, except that Tenant shall pay Landlord from time to time, upon demand, as Basic Annual Rent for the holdover period an amount equal to one hundred fifty percent (150%) of the Basic Annual Rent in effect on the termination date, computed on a monthly basis for each month or part thereof during such holding over. All other payments (including payments of Additional Rent) shall continue under the terms of this Lease. In addition, Tenant shall be liable for all damages incurred by Landlord as a result of such holding over. No holding over by Tenant, whether with or without consent of Landlord, shall operate to extend this Lease except as otherwise expressly provided, and this Paragraph shall not be construed as consent for Tenant to retain possession of the Premises.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86" w:name="page387"/>
    <w:bookmarkEnd w:id="386"/>
    <w:p>
      <w:pPr>
        <w:ind w:right="320" w:firstLine="436"/>
        <w:spacing w:after="0" w:line="259" w:lineRule="auto"/>
        <w:tabs>
          <w:tab w:leader="none" w:pos="83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 of Premises</w:t>
      </w:r>
      <w:r>
        <w:rPr>
          <w:rFonts w:ascii="Arial" w:cs="Arial" w:eastAsia="Arial" w:hAnsi="Arial"/>
          <w:sz w:val="18"/>
          <w:szCs w:val="18"/>
          <w:color w:val="auto"/>
        </w:rPr>
        <w:t>. EXCEPT AS OTHER WISE EXPRESSLY PROVIDED IN THIS LEASE LANDLORD HEREBY DISCLAIMS ANY EXPRESS OR IMPLIED REPRESENTATION OR WARRANTY THAT THE PREMISES ARE SUITABLE FOR TENANT’S INTENDED PURPOSE OR USE WHICH DISCLAIMER IS HEREBY ACKNOWLEDGED BY TENANT. THE TAKING OF POSSESSION BY TENANT SHALL BE CONCLUSIVE EVIDENCE THAT TENANT:</w:t>
      </w:r>
    </w:p>
    <w:p>
      <w:pPr>
        <w:spacing w:after="0" w:line="78" w:lineRule="exact"/>
        <w:rPr>
          <w:rFonts w:ascii="Arial" w:cs="Arial" w:eastAsia="Arial" w:hAnsi="Arial"/>
          <w:sz w:val="18"/>
          <w:szCs w:val="18"/>
          <w:color w:val="auto"/>
        </w:rPr>
      </w:pPr>
    </w:p>
    <w:p>
      <w:pPr>
        <w:ind w:left="440" w:right="80" w:firstLine="419"/>
        <w:spacing w:after="0" w:line="277" w:lineRule="auto"/>
        <w:tabs>
          <w:tab w:leader="none" w:pos="120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ACCEPTS THE PREMISES, THE BUILDING AND LEASEHOLD IMPROVEMENTS AS SUITABLE FOR THE PURPOSES FOR WHICH THE PREMISES WERE LEASED;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ACCEPTS THE PREMISES AND PROJECT AS BEING IN GOOD AND SATISFACTORY CONDITION;</w:t>
      </w:r>
    </w:p>
    <w:p>
      <w:pPr>
        <w:spacing w:after="0" w:line="117" w:lineRule="exact"/>
        <w:rPr>
          <w:rFonts w:ascii="Arial" w:cs="Arial" w:eastAsia="Arial" w:hAnsi="Arial"/>
          <w:sz w:val="18"/>
          <w:szCs w:val="18"/>
          <w:color w:val="auto"/>
        </w:rPr>
      </w:pPr>
    </w:p>
    <w:p>
      <w:pPr>
        <w:jc w:val="both"/>
        <w:ind w:left="440" w:right="100" w:firstLine="419"/>
        <w:spacing w:after="0" w:line="263" w:lineRule="auto"/>
        <w:tabs>
          <w:tab w:leader="none" w:pos="130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WAIVES ANY DEFECTS TN THE PREMISES AND ITS APPURTENANCES EXISTING NOW OR IN THE FUTURE, EXCEPT THAT TENANT’S TAKING OF POSSESSION SHALL NOT BE DEEMED TO WAIVE LANDLORD’S COMPLETION OF MINOR FINISH WORK IT EMS THAT DO NOT INTERFERE WITH TENANTS OCCUPANCY OF THE PREMISES; AND</w:t>
      </w:r>
    </w:p>
    <w:p>
      <w:pPr>
        <w:spacing w:after="0" w:line="75" w:lineRule="exact"/>
        <w:rPr>
          <w:rFonts w:ascii="Arial" w:cs="Arial" w:eastAsia="Arial" w:hAnsi="Arial"/>
          <w:sz w:val="18"/>
          <w:szCs w:val="18"/>
          <w:color w:val="auto"/>
        </w:rPr>
      </w:pPr>
    </w:p>
    <w:p>
      <w:pPr>
        <w:ind w:left="1300" w:hanging="441"/>
        <w:spacing w:after="0"/>
        <w:tabs>
          <w:tab w:leader="none" w:pos="130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WAIVES ALL CLAIMS BASED ON ANY IMPLIED WARRANTY OF SUITABILITY OR HABITABILITY.</w:t>
      </w:r>
    </w:p>
    <w:p>
      <w:pPr>
        <w:spacing w:after="0" w:line="225" w:lineRule="exact"/>
        <w:rPr>
          <w:rFonts w:ascii="Arial" w:cs="Arial" w:eastAsia="Arial" w:hAnsi="Arial"/>
          <w:sz w:val="18"/>
          <w:szCs w:val="18"/>
          <w:color w:val="auto"/>
        </w:rPr>
      </w:pPr>
    </w:p>
    <w:p>
      <w:pPr>
        <w:jc w:val="both"/>
        <w:ind w:right="40" w:firstLine="436"/>
        <w:spacing w:after="0" w:line="279" w:lineRule="auto"/>
        <w:tabs>
          <w:tab w:leader="none" w:pos="83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Quiet Possession</w:t>
      </w:r>
      <w:r>
        <w:rPr>
          <w:rFonts w:ascii="Arial" w:cs="Arial" w:eastAsia="Arial" w:hAnsi="Arial"/>
          <w:sz w:val="17"/>
          <w:szCs w:val="17"/>
          <w:color w:val="auto"/>
        </w:rPr>
        <w:t>. Upon Tenant’s paying the Rent reserved hereunder and observing and performing all of the covenants conditions and provisions on Tenant’s part to be observed and performed hereunder Tenant shall have quiet possession of the Premises for the term hereof without hindrance or ejection by any person lawfully claiming under Landlord, subject to the provisions of this Lease and to the provision s of any (i) covenants, conditions and restrictions, (ii) master lease, or (iii) Security Documents to which this Lease is subordinate or may be subordinated.</w:t>
      </w:r>
    </w:p>
    <w:p>
      <w:pPr>
        <w:spacing w:after="0" w:line="171" w:lineRule="exact"/>
        <w:rPr>
          <w:rFonts w:ascii="Arial" w:cs="Arial" w:eastAsia="Arial" w:hAnsi="Arial"/>
          <w:sz w:val="17"/>
          <w:szCs w:val="17"/>
          <w:color w:val="auto"/>
        </w:rPr>
      </w:pPr>
    </w:p>
    <w:p>
      <w:pPr>
        <w:ind w:firstLine="436"/>
        <w:spacing w:after="0" w:line="271" w:lineRule="auto"/>
        <w:tabs>
          <w:tab w:leader="none" w:pos="79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Matters of Record</w:t>
      </w:r>
      <w:r>
        <w:rPr>
          <w:rFonts w:ascii="Arial" w:cs="Arial" w:eastAsia="Arial" w:hAnsi="Arial"/>
          <w:sz w:val="17"/>
          <w:szCs w:val="17"/>
          <w:color w:val="auto"/>
        </w:rPr>
        <w:t>. Except as otherwise provided herein, this Lease and Tenant’s rights hereunder are subject and subordinate to all matter affecting Landlord s title to the Project recorded in the Real Property Records of the County in which the Project is located prior to and subsequent to the date hereof including, without limitation, all covenants, conditions and restrictions. Tenant agrees for itself and all persons in possession or holding under it that it will comply with and not violate any such covenants, conditions and restrictions or other matters of record. Landlord reserves the right from time to time, to grant such easements, rights and dedications as Landlord deems necessary or desirable and to cause the recordation of parcel maps and covenants, conditions and restrictions affecting the Premises, the Building or the Project, as long as such easements, rights, dedications, maps, and covenants, conditions and restrictions do not materially interfere with the use of the Premises by Tenant. At Landlord’s request, Tenant shall join in the execution of any of the aforementioned documents.</w:t>
      </w:r>
    </w:p>
    <w:p>
      <w:pPr>
        <w:spacing w:after="0" w:line="178" w:lineRule="exact"/>
        <w:rPr>
          <w:rFonts w:ascii="Arial" w:cs="Arial" w:eastAsia="Arial" w:hAnsi="Arial"/>
          <w:sz w:val="17"/>
          <w:szCs w:val="17"/>
          <w:color w:val="auto"/>
        </w:rPr>
      </w:pPr>
    </w:p>
    <w:p>
      <w:pPr>
        <w:ind w:right="140" w:firstLine="436"/>
        <w:spacing w:after="0" w:line="263" w:lineRule="auto"/>
        <w:tabs>
          <w:tab w:leader="none" w:pos="79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in this Lease, all of the covenants conditions and provisions of this Lease shall be binding upon and shall inure to the benefit of the parties hereto and their respective heirs, personal representatives, successors and assigns. Tenant shall attorn to each purchaser, successor or assignee of Landlord.</w:t>
      </w:r>
    </w:p>
    <w:p>
      <w:pPr>
        <w:spacing w:after="0" w:line="183" w:lineRule="exact"/>
        <w:rPr>
          <w:rFonts w:ascii="Arial" w:cs="Arial" w:eastAsia="Arial" w:hAnsi="Arial"/>
          <w:sz w:val="18"/>
          <w:szCs w:val="18"/>
          <w:color w:val="auto"/>
        </w:rPr>
      </w:pPr>
    </w:p>
    <w:p>
      <w:pPr>
        <w:ind w:right="80" w:firstLine="436"/>
        <w:spacing w:after="0" w:line="293" w:lineRule="auto"/>
        <w:tabs>
          <w:tab w:leader="none" w:pos="830"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Tenant warrants that it has had no dealings with any real estate broker or agent in connection with the negotiation of this Lease, excepting only the brokers named in </w:t>
      </w:r>
      <w:r>
        <w:rPr>
          <w:rFonts w:ascii="Arial" w:cs="Arial" w:eastAsia="Arial" w:hAnsi="Arial"/>
          <w:sz w:val="16"/>
          <w:szCs w:val="16"/>
          <w:i w:val="1"/>
          <w:iCs w:val="1"/>
          <w:color w:val="auto"/>
        </w:rPr>
        <w:t>Item 12</w:t>
      </w:r>
      <w:r>
        <w:rPr>
          <w:rFonts w:ascii="Arial" w:cs="Arial" w:eastAsia="Arial" w:hAnsi="Arial"/>
          <w:sz w:val="16"/>
          <w:szCs w:val="16"/>
          <w:color w:val="auto"/>
        </w:rPr>
        <w:t xml:space="preserve"> of the Basic Lease Provisions and that it knows of no other real estate broker or agent who is or might be entitled to a commission in connection with this Lease. Tenant hereby agrees to indemnify, defend and hold Landlord harmless for, from and against all claims for any brokerage commissions, finders’ fees or similar payments by any persons other than those listed in </w:t>
      </w:r>
      <w:r>
        <w:rPr>
          <w:rFonts w:ascii="Arial" w:cs="Arial" w:eastAsia="Arial" w:hAnsi="Arial"/>
          <w:sz w:val="16"/>
          <w:szCs w:val="16"/>
          <w:i w:val="1"/>
          <w:iCs w:val="1"/>
          <w:color w:val="auto"/>
        </w:rPr>
        <w:t>Item 12</w:t>
      </w:r>
      <w:r>
        <w:rPr>
          <w:rFonts w:ascii="Arial" w:cs="Arial" w:eastAsia="Arial" w:hAnsi="Arial"/>
          <w:sz w:val="16"/>
          <w:szCs w:val="16"/>
          <w:color w:val="auto"/>
        </w:rPr>
        <w:t xml:space="preserve"> of the Basic Lease Provisions and all costs, expenses and liabilities incurred in connection with such claims, including reasonable attorneys’ fees and costs. Landlord shall pay a commission to the brokers named in Item 12 of the Basic Lease Provisions pursuant to a separate written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87" w:name="page388"/>
    <w:bookmarkEnd w:id="387"/>
    <w:p>
      <w:pPr>
        <w:ind w:right="80" w:firstLine="436"/>
        <w:spacing w:after="0" w:line="286" w:lineRule="auto"/>
        <w:tabs>
          <w:tab w:leader="none" w:pos="790"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 or Building Name and Signage</w:t>
      </w:r>
      <w:r>
        <w:rPr>
          <w:rFonts w:ascii="Arial" w:cs="Arial" w:eastAsia="Arial" w:hAnsi="Arial"/>
          <w:sz w:val="16"/>
          <w:szCs w:val="16"/>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Additionally, Landlord shall have the exclusive right at all times during the Lease Term to change, modify add to or otherwise alter the name, number, or designation of the Building and/or the Project and Landlord shall not be liable for claims or damages of any kind which may be attributed thereto or result therefrom.</w:t>
      </w:r>
    </w:p>
    <w:p>
      <w:pPr>
        <w:spacing w:after="0" w:line="189" w:lineRule="exact"/>
        <w:rPr>
          <w:rFonts w:ascii="Arial" w:cs="Arial" w:eastAsia="Arial" w:hAnsi="Arial"/>
          <w:sz w:val="16"/>
          <w:szCs w:val="16"/>
          <w:color w:val="auto"/>
        </w:rPr>
      </w:pPr>
    </w:p>
    <w:p>
      <w:pPr>
        <w:ind w:right="200" w:firstLine="436"/>
        <w:spacing w:after="0" w:line="308" w:lineRule="auto"/>
        <w:tabs>
          <w:tab w:leader="none" w:pos="88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Examination of Lease</w:t>
      </w:r>
      <w:r>
        <w:rPr>
          <w:rFonts w:ascii="Arial" w:cs="Arial" w:eastAsia="Arial" w:hAnsi="Arial"/>
          <w:sz w:val="17"/>
          <w:szCs w:val="17"/>
          <w:color w:val="auto"/>
        </w:rPr>
        <w:t>. Submission of this instrument for examination or signature by Tenant does not constitute a reservation of or option for lease and it is not effective as a lease or otherwise until execution by and delivery to both Landlord and Tenant.</w:t>
      </w:r>
    </w:p>
    <w:p>
      <w:pPr>
        <w:spacing w:after="0" w:line="146" w:lineRule="exact"/>
        <w:rPr>
          <w:rFonts w:ascii="Arial" w:cs="Arial" w:eastAsia="Arial" w:hAnsi="Arial"/>
          <w:sz w:val="17"/>
          <w:szCs w:val="17"/>
          <w:color w:val="auto"/>
        </w:rPr>
      </w:pPr>
    </w:p>
    <w:p>
      <w:pPr>
        <w:ind w:left="820" w:hanging="384"/>
        <w:spacing w:after="0"/>
        <w:tabs>
          <w:tab w:leader="none" w:pos="82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Lease and each and all of its provisions.</w:t>
      </w:r>
    </w:p>
    <w:p>
      <w:pPr>
        <w:spacing w:after="0" w:line="225" w:lineRule="exact"/>
        <w:rPr>
          <w:rFonts w:ascii="Arial" w:cs="Arial" w:eastAsia="Arial" w:hAnsi="Arial"/>
          <w:sz w:val="18"/>
          <w:szCs w:val="18"/>
          <w:color w:val="auto"/>
        </w:rPr>
      </w:pPr>
    </w:p>
    <w:p>
      <w:pPr>
        <w:jc w:val="both"/>
        <w:ind w:right="280" w:firstLine="436"/>
        <w:spacing w:after="0" w:line="279" w:lineRule="auto"/>
        <w:tabs>
          <w:tab w:leader="none" w:pos="83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Defined Terms and Marginal Headings</w:t>
      </w:r>
      <w:r>
        <w:rPr>
          <w:rFonts w:ascii="Arial" w:cs="Arial" w:eastAsia="Arial" w:hAnsi="Arial"/>
          <w:sz w:val="17"/>
          <w:szCs w:val="17"/>
          <w:color w:val="auto"/>
        </w:rPr>
        <w:t>. The words “</w:t>
      </w:r>
      <w:r>
        <w:rPr>
          <w:rFonts w:ascii="Arial" w:cs="Arial" w:eastAsia="Arial" w:hAnsi="Arial"/>
          <w:sz w:val="17"/>
          <w:szCs w:val="17"/>
          <w:u w:val="single" w:color="auto"/>
          <w:color w:val="auto"/>
        </w:rPr>
        <w:t>Landlord</w:t>
      </w:r>
      <w:r>
        <w:rPr>
          <w:rFonts w:ascii="Arial" w:cs="Arial" w:eastAsia="Arial" w:hAnsi="Arial"/>
          <w:sz w:val="17"/>
          <w:szCs w:val="17"/>
          <w:color w:val="auto"/>
        </w:rPr>
        <w:t>” and “</w:t>
      </w:r>
      <w:r>
        <w:rPr>
          <w:rFonts w:ascii="Arial" w:cs="Arial" w:eastAsia="Arial" w:hAnsi="Arial"/>
          <w:sz w:val="17"/>
          <w:szCs w:val="17"/>
          <w:u w:val="single" w:color="auto"/>
          <w:color w:val="auto"/>
        </w:rPr>
        <w:t>Tenant</w:t>
      </w:r>
      <w:r>
        <w:rPr>
          <w:rFonts w:ascii="Arial" w:cs="Arial" w:eastAsia="Arial" w:hAnsi="Arial"/>
          <w:sz w:val="17"/>
          <w:szCs w:val="17"/>
          <w:color w:val="auto"/>
        </w:rPr>
        <w:t xml:space="preserve">” as used herein shall include the plural as well as the singular and for purposes of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18</w:t>
      </w:r>
      <w:r>
        <w:rPr>
          <w:rFonts w:ascii="Arial" w:cs="Arial" w:eastAsia="Arial" w:hAnsi="Arial"/>
          <w:sz w:val="17"/>
          <w:szCs w:val="17"/>
          <w:color w:val="auto"/>
        </w:rPr>
        <w:t>, the term Landlord shall include Landlord its employees, contractors and agents. If more than one person is named as Tenant the obligations of such persons are joint and several. The marginal headings and titles to the articles of this Lease are not a part of this Lease and shall have no effect upon the construction or interpretation of any part hereof.</w:t>
      </w:r>
    </w:p>
    <w:p>
      <w:pPr>
        <w:spacing w:after="0" w:line="171" w:lineRule="exact"/>
        <w:rPr>
          <w:rFonts w:ascii="Arial" w:cs="Arial" w:eastAsia="Arial" w:hAnsi="Arial"/>
          <w:sz w:val="17"/>
          <w:szCs w:val="17"/>
          <w:color w:val="auto"/>
        </w:rPr>
      </w:pPr>
    </w:p>
    <w:p>
      <w:pPr>
        <w:ind w:firstLine="436"/>
        <w:spacing w:after="0" w:line="255" w:lineRule="auto"/>
        <w:tabs>
          <w:tab w:leader="none" w:pos="83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Conflict of Laws; Prior Agreements; Separability</w:t>
      </w:r>
      <w:r>
        <w:rPr>
          <w:rFonts w:ascii="Arial" w:cs="Arial" w:eastAsia="Arial" w:hAnsi="Arial"/>
          <w:sz w:val="18"/>
          <w:szCs w:val="18"/>
          <w:color w:val="auto"/>
        </w:rPr>
        <w:t>. This Lease shall be governed by and construed pursuant to the laws of the State of California. This Lease contains all of the agreements of the parties hereto with respect to any matter covered or mentioned in this Lease. No prior agreement, understanding or representation pertaining to any such matter shall be effective for any purpose. No provision of this Lease may be amended or added to except by an agreement in writing signed by the parties hereto or their respective successors in interest. The illegality, invalidity or unenforceability of any provision of this Lease shall in no way impair or invalidate any other provision of this Lease and such remaining provisions shall remain in full force and effect.</w:t>
      </w:r>
    </w:p>
    <w:p>
      <w:pPr>
        <w:spacing w:after="0" w:line="192" w:lineRule="exact"/>
        <w:rPr>
          <w:rFonts w:ascii="Arial" w:cs="Arial" w:eastAsia="Arial" w:hAnsi="Arial"/>
          <w:sz w:val="18"/>
          <w:szCs w:val="18"/>
          <w:color w:val="auto"/>
        </w:rPr>
      </w:pPr>
    </w:p>
    <w:p>
      <w:pPr>
        <w:ind w:firstLine="436"/>
        <w:spacing w:after="0" w:line="271" w:lineRule="auto"/>
        <w:tabs>
          <w:tab w:leader="none" w:pos="83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If Tenant is a corporation or limited liability company each individual executing this Lease on behalf of Tenant hereby covenants and warrants that Tenant is a duly authorized and existing corporation or limited liability company that Tenant has and is qualified to do business in the State that the corporation or limited liability company has full right and authority to enter into this Lease, and that each person signing on behalf of the corporation is authorized to do so. If Tenant is a partnership or trust each individual executing this Lease on behalf of Tenant hereby covenants and warrants that he is duly authorized to execute and deliver this Lease on behalf of Tenant in accordance with the terms of such entity’s partnership or trust agreement. Tenant shall provide Landlord on demand with such evidence of such authority as Landlord shall reasonably request including, without limitation, resolutions certificates and opinions of counsel. This Lease shall not be construed to create a partnership, joint venture or similar relationship or arrangement between Landlord and Tenant hereunder.</w:t>
      </w:r>
    </w:p>
    <w:p>
      <w:pPr>
        <w:spacing w:after="0" w:line="178" w:lineRule="exact"/>
        <w:rPr>
          <w:rFonts w:ascii="Arial" w:cs="Arial" w:eastAsia="Arial" w:hAnsi="Arial"/>
          <w:sz w:val="17"/>
          <w:szCs w:val="17"/>
          <w:color w:val="auto"/>
        </w:rPr>
      </w:pPr>
    </w:p>
    <w:p>
      <w:pPr>
        <w:ind w:right="40" w:firstLine="436"/>
        <w:spacing w:after="0" w:line="273" w:lineRule="auto"/>
        <w:tabs>
          <w:tab w:leader="none" w:pos="80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Joint and Several Liability</w:t>
      </w:r>
      <w:r>
        <w:rPr>
          <w:rFonts w:ascii="Arial" w:cs="Arial" w:eastAsia="Arial" w:hAnsi="Arial"/>
          <w:sz w:val="17"/>
          <w:szCs w:val="17"/>
          <w:color w:val="auto"/>
        </w:rPr>
        <w:t>. If two or more individuals, corporations, partnerships or other business associations (or any combination of two or more thereof) shall sign this Lease as Tenant, the liability of each such individual, corporation, partnership or other business association to pay Rent and perform all other obligations hereunder shall be deemed to be joint and several and all notices payments and agreements given or made by, with or to any one of such individuals, corporations, partnerships or other business associations shall be deemed to have been given or made by, with or to all of them. In like manner, if Tenant shall be a partnership or other business association the members of which are, by virtue of statute or federal law, subject to personal liability, then the liability of each such member shall be joint and several.</w:t>
      </w:r>
    </w:p>
    <w:p>
      <w:pPr>
        <w:spacing w:after="0" w:line="177" w:lineRule="exact"/>
        <w:rPr>
          <w:rFonts w:ascii="Arial" w:cs="Arial" w:eastAsia="Arial" w:hAnsi="Arial"/>
          <w:sz w:val="17"/>
          <w:szCs w:val="17"/>
          <w:color w:val="auto"/>
        </w:rPr>
      </w:pPr>
    </w:p>
    <w:p>
      <w:pPr>
        <w:ind w:right="260" w:firstLine="436"/>
        <w:spacing w:after="0" w:line="308" w:lineRule="auto"/>
        <w:tabs>
          <w:tab w:leader="none" w:pos="81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Rental Allocation</w:t>
      </w:r>
      <w:r>
        <w:rPr>
          <w:rFonts w:ascii="Arial" w:cs="Arial" w:eastAsia="Arial" w:hAnsi="Arial"/>
          <w:sz w:val="17"/>
          <w:szCs w:val="17"/>
          <w:color w:val="auto"/>
        </w:rPr>
        <w:t>. For purposes of Section 467 of the Internal Revenue Code of 1986, as amended from time to time Landlord and Tenant hereby agree to allocate all Rent to the period in which payment is due, or if later, the period in which Rent is paid.</w:t>
      </w:r>
    </w:p>
    <w:p>
      <w:pPr>
        <w:spacing w:after="0" w:line="146" w:lineRule="exact"/>
        <w:rPr>
          <w:rFonts w:ascii="Arial" w:cs="Arial" w:eastAsia="Arial" w:hAnsi="Arial"/>
          <w:sz w:val="17"/>
          <w:szCs w:val="17"/>
          <w:color w:val="auto"/>
        </w:rPr>
      </w:pPr>
    </w:p>
    <w:p>
      <w:pPr>
        <w:jc w:val="both"/>
        <w:ind w:firstLine="436"/>
        <w:spacing w:after="0" w:line="259" w:lineRule="auto"/>
        <w:tabs>
          <w:tab w:leader="none" w:pos="79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Tenant agrees to comply with all rules and regulation of the Building and the Project imposed by Landlord as set forth on </w:t>
      </w:r>
      <w:r>
        <w:rPr>
          <w:rFonts w:ascii="Arial" w:cs="Arial" w:eastAsia="Arial" w:hAnsi="Arial"/>
          <w:sz w:val="18"/>
          <w:szCs w:val="18"/>
          <w:i w:val="1"/>
          <w:iCs w:val="1"/>
          <w:u w:val="single" w:color="auto"/>
          <w:color w:val="auto"/>
        </w:rPr>
        <w:t>Exhibit D</w:t>
      </w:r>
      <w:r>
        <w:rPr>
          <w:rFonts w:ascii="Arial" w:cs="Arial" w:eastAsia="Arial" w:hAnsi="Arial"/>
          <w:sz w:val="18"/>
          <w:szCs w:val="18"/>
          <w:color w:val="auto"/>
        </w:rPr>
        <w:t xml:space="preserve"> attached hereto, as the same may be changed from time to time upon reasonable notice to Tenant. Landlord shall not be liable to Tenant for the failure of any other tenant or any of its assignees, subtenants, or their respective agents, employees, representatives, invitees or licensees to conform to such rules and regulations.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88" w:name="page389"/>
    <w:bookmarkEnd w:id="388"/>
    <w:p>
      <w:pPr>
        <w:ind w:right="100" w:firstLine="436"/>
        <w:spacing w:after="0" w:line="308" w:lineRule="auto"/>
        <w:tabs>
          <w:tab w:leader="none" w:pos="83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Joint Product</w:t>
      </w:r>
      <w:r>
        <w:rPr>
          <w:rFonts w:ascii="Arial" w:cs="Arial" w:eastAsia="Arial" w:hAnsi="Arial"/>
          <w:sz w:val="17"/>
          <w:szCs w:val="17"/>
          <w:color w:val="auto"/>
        </w:rPr>
        <w:t>. This Lease is the result of arms-length negotiations between Landlord and Tenant and their respective attorneys. Accordingly, neither party shall be deemed to be the author of this Lease and this Lease shall not be construed against either party.</w:t>
      </w:r>
    </w:p>
    <w:p>
      <w:pPr>
        <w:spacing w:after="0" w:line="146" w:lineRule="exact"/>
        <w:rPr>
          <w:rFonts w:ascii="Arial" w:cs="Arial" w:eastAsia="Arial" w:hAnsi="Arial"/>
          <w:sz w:val="17"/>
          <w:szCs w:val="17"/>
          <w:color w:val="auto"/>
        </w:rPr>
      </w:pPr>
    </w:p>
    <w:p>
      <w:pPr>
        <w:ind w:right="120" w:firstLine="436"/>
        <w:spacing w:after="0" w:line="263" w:lineRule="auto"/>
        <w:tabs>
          <w:tab w:leader="none" w:pos="83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Upon Landlord’s written request Tenant shall promptly furnish Landlord, from time to time with the most current audited financial statements prepared in accordance with generally accepted accounting principles, certified by Tenant and an independent auditor to be true and correct reflecting Tenant s then current financial condition.</w:t>
      </w:r>
    </w:p>
    <w:p>
      <w:pPr>
        <w:spacing w:after="0" w:line="183" w:lineRule="exact"/>
        <w:rPr>
          <w:rFonts w:ascii="Arial" w:cs="Arial" w:eastAsia="Arial" w:hAnsi="Arial"/>
          <w:sz w:val="18"/>
          <w:szCs w:val="18"/>
          <w:color w:val="auto"/>
        </w:rPr>
      </w:pPr>
    </w:p>
    <w:p>
      <w:pPr>
        <w:ind w:right="80" w:firstLine="436"/>
        <w:spacing w:after="0" w:line="290" w:lineRule="auto"/>
        <w:tabs>
          <w:tab w:leader="none" w:pos="87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Any prevention, delay or stoppage due to strikes, lockouts, labor disputes, acts of God, acts of war, terrorism terrorist activities, inability to obtain services, labor, or materials or reasonable substitutes therefore, governmental actions, civil commotions tire, flood earthquake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and </w:t>
      </w:r>
      <w:r>
        <w:rPr>
          <w:rFonts w:ascii="Arial" w:cs="Arial" w:eastAsia="Arial" w:hAnsi="Arial"/>
          <w:sz w:val="16"/>
          <w:szCs w:val="16"/>
          <w:u w:val="single" w:color="auto"/>
          <w:color w:val="auto"/>
        </w:rPr>
        <w:t>Section 19(f)</w:t>
      </w:r>
      <w:r>
        <w:rPr>
          <w:rFonts w:ascii="Arial" w:cs="Arial" w:eastAsia="Arial" w:hAnsi="Arial"/>
          <w:sz w:val="16"/>
          <w:szCs w:val="16"/>
          <w:color w:val="auto"/>
        </w:rPr>
        <w:t xml:space="preserve"> of this Lease and any extension of the Construction Termination Date as set forth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this Lease (collectively, a “</w:t>
      </w:r>
      <w:r>
        <w:rPr>
          <w:rFonts w:ascii="Arial" w:cs="Arial" w:eastAsia="Arial" w:hAnsi="Arial"/>
          <w:sz w:val="16"/>
          <w:szCs w:val="16"/>
          <w:u w:val="single" w:color="auto"/>
          <w:color w:val="auto"/>
        </w:rPr>
        <w:t>Force Majeure</w:t>
      </w:r>
      <w:r>
        <w:rPr>
          <w:rFonts w:ascii="Arial" w:cs="Arial" w:eastAsia="Arial" w:hAnsi="Arial"/>
          <w:sz w:val="16"/>
          <w:szCs w:val="16"/>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65" w:lineRule="exact"/>
        <w:rPr>
          <w:rFonts w:ascii="Arial" w:cs="Arial" w:eastAsia="Arial" w:hAnsi="Arial"/>
          <w:sz w:val="16"/>
          <w:szCs w:val="16"/>
          <w:color w:val="auto"/>
        </w:rPr>
      </w:pPr>
    </w:p>
    <w:p>
      <w:pPr>
        <w:ind w:right="40" w:firstLine="436"/>
        <w:spacing w:after="0" w:line="277" w:lineRule="auto"/>
        <w:tabs>
          <w:tab w:leader="none" w:pos="83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70" w:lineRule="exact"/>
        <w:rPr>
          <w:rFonts w:ascii="Arial" w:cs="Arial" w:eastAsia="Arial" w:hAnsi="Arial"/>
          <w:sz w:val="18"/>
          <w:szCs w:val="18"/>
          <w:color w:val="auto"/>
        </w:rPr>
      </w:pPr>
    </w:p>
    <w:p>
      <w:pPr>
        <w:ind w:right="40" w:firstLine="436"/>
        <w:spacing w:after="0" w:line="269" w:lineRule="auto"/>
        <w:tabs>
          <w:tab w:leader="none" w:pos="83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Landlord Reserved Rights</w:t>
      </w:r>
      <w:r>
        <w:rPr>
          <w:rFonts w:ascii="Arial" w:cs="Arial" w:eastAsia="Arial" w:hAnsi="Arial"/>
          <w:sz w:val="17"/>
          <w:szCs w:val="17"/>
          <w:color w:val="auto"/>
        </w:rPr>
        <w:t>. Notwithstanding anything in this Lease to the contrary, Landlord shall have the following rights exercisable at any time without notice to Tenant, without Landlord being in breach of any provision of this Lease or any implied warranty, without liability to Tenant for damage or injury to property or business and without being deemed an eviction or disturbance of Tenants use or possession of the Premises or giving rise to any claim for setoff or abatement of any Rent: (i) to change the name of the Project or Building, (ii) to designate and/or approve prior to installation all types of signs, window shades, blinds or other similar items, and all internal lighting that may be visible from the exterior of the Premises (including, without limitation, outside of the Building), and (iii) to install, affix and maintain, and enter into or act as a lessor or licensor in leases or licenses with third parties to install, affix and maintain, any signs in or about the interior or exterior of the Project or Building including, without limitation affixing any signs to the outside, exterior walls of the Building or of any parking facilities or other structures within the Project, as Landlord may, in Landlord 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81" w:lineRule="exact"/>
        <w:rPr>
          <w:rFonts w:ascii="Arial" w:cs="Arial" w:eastAsia="Arial" w:hAnsi="Arial"/>
          <w:sz w:val="17"/>
          <w:szCs w:val="17"/>
          <w:color w:val="auto"/>
        </w:rPr>
      </w:pPr>
    </w:p>
    <w:p>
      <w:pPr>
        <w:ind w:firstLine="436"/>
        <w:spacing w:after="0" w:line="288" w:lineRule="auto"/>
        <w:tabs>
          <w:tab w:leader="none" w:pos="82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Office and Communications Services</w:t>
      </w:r>
      <w:r>
        <w:rPr>
          <w:rFonts w:ascii="Arial" w:cs="Arial" w:eastAsia="Arial" w:hAnsi="Arial"/>
          <w:sz w:val="16"/>
          <w:szCs w:val="16"/>
          <w:color w:val="auto"/>
        </w:rPr>
        <w:t>. Landlord has advised Tenant that certain office and communications services may be offered to tenants of the Building by a concessionaire under contract to Landlord (the “</w:t>
      </w:r>
      <w:r>
        <w:rPr>
          <w:rFonts w:ascii="Arial" w:cs="Arial" w:eastAsia="Arial" w:hAnsi="Arial"/>
          <w:sz w:val="16"/>
          <w:szCs w:val="16"/>
          <w:u w:val="single" w:color="auto"/>
          <w:color w:val="auto"/>
        </w:rPr>
        <w:t>Provider</w:t>
      </w:r>
      <w:r>
        <w:rPr>
          <w:rFonts w:ascii="Arial" w:cs="Arial" w:eastAsia="Arial" w:hAnsi="Arial"/>
          <w:sz w:val="16"/>
          <w:szCs w:val="16"/>
          <w:color w:val="auto"/>
        </w:rPr>
        <w:t>”). Tenant shall be permitted to contract with Provider for the provision of any or all of such services on such terms and conditions as Tenant and Provider may agree.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 under and the rights of Landlord hereunder and, without limiting the foregoing, no default or failure of Provider with respect to any such services equipment or facilities, or under 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89" w:name="page390"/>
    <w:bookmarkEnd w:id="389"/>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or agreement relating thereto, shall have any effect on this Lease or give to Tenant any offset or defense to the full and timely performance of its obligations hereunder or entitle Tenant to any abatement of Basic Annual Rent or Additional Rent or any other payment required to be made by Tenant hereunder or constitute any accrual or constructive eviction of Tenant, or otherwise give rise to any other claim of any nature against Landlord.</w:t>
      </w:r>
    </w:p>
    <w:p>
      <w:pPr>
        <w:spacing w:after="0" w:line="149" w:lineRule="exact"/>
        <w:rPr>
          <w:sz w:val="20"/>
          <w:szCs w:val="20"/>
          <w:color w:val="auto"/>
        </w:rPr>
      </w:pPr>
    </w:p>
    <w:p>
      <w:pPr>
        <w:ind w:right="640" w:firstLine="436"/>
        <w:spacing w:after="0" w:line="277"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several counterparts, each of which shall be deemed an original, and all of which shall constitute but one and the same instrument.</w:t>
      </w:r>
    </w:p>
    <w:p>
      <w:pPr>
        <w:spacing w:after="0" w:line="170" w:lineRule="exact"/>
        <w:rPr>
          <w:rFonts w:ascii="Arial" w:cs="Arial" w:eastAsia="Arial" w:hAnsi="Arial"/>
          <w:sz w:val="18"/>
          <w:szCs w:val="18"/>
          <w:color w:val="auto"/>
        </w:rPr>
      </w:pPr>
    </w:p>
    <w:p>
      <w:pPr>
        <w:ind w:right="340" w:firstLine="436"/>
        <w:spacing w:after="0" w:line="259" w:lineRule="auto"/>
        <w:tabs>
          <w:tab w:leader="none" w:pos="92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TENANT AND LANDLORD WAIVE ANY 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294" w:lineRule="exact"/>
        <w:rPr>
          <w:rFonts w:ascii="Arial" w:cs="Arial" w:eastAsia="Arial" w:hAnsi="Arial"/>
          <w:sz w:val="18"/>
          <w:szCs w:val="18"/>
          <w:color w:val="auto"/>
        </w:rPr>
      </w:pPr>
    </w:p>
    <w:p>
      <w:pPr>
        <w:ind w:left="900" w:hanging="464"/>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OFAC Compliance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Tenant certifies, represents, warrants and covenants that:</w:t>
      </w:r>
    </w:p>
    <w:p>
      <w:pPr>
        <w:spacing w:after="0" w:line="117" w:lineRule="exact"/>
        <w:rPr>
          <w:rFonts w:ascii="Arial" w:cs="Arial" w:eastAsia="Arial" w:hAnsi="Arial"/>
          <w:sz w:val="18"/>
          <w:szCs w:val="18"/>
          <w:color w:val="auto"/>
        </w:rPr>
      </w:pPr>
    </w:p>
    <w:p>
      <w:pPr>
        <w:ind w:left="440" w:right="60" w:firstLine="842"/>
        <w:spacing w:after="0" w:line="259" w:lineRule="auto"/>
        <w:tabs>
          <w:tab w:leader="none" w:pos="1716" w:val="left"/>
        </w:tabs>
        <w:numPr>
          <w:ilvl w:val="2"/>
          <w:numId w:val="387"/>
        </w:numPr>
        <w:rPr>
          <w:rFonts w:ascii="Arial" w:cs="Arial" w:eastAsia="Arial" w:hAnsi="Arial"/>
          <w:sz w:val="18"/>
          <w:szCs w:val="18"/>
          <w:color w:val="auto"/>
        </w:rPr>
      </w:pPr>
      <w:r>
        <w:rPr>
          <w:rFonts w:ascii="Arial" w:cs="Arial" w:eastAsia="Arial" w:hAnsi="Arial"/>
          <w:sz w:val="18"/>
          <w:szCs w:val="18"/>
          <w:color w:val="auto"/>
        </w:rPr>
        <w:t>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w:t>
      </w:r>
    </w:p>
    <w:p>
      <w:pPr>
        <w:spacing w:after="0" w:line="78" w:lineRule="exact"/>
        <w:rPr>
          <w:rFonts w:ascii="Arial" w:cs="Arial" w:eastAsia="Arial" w:hAnsi="Arial"/>
          <w:sz w:val="18"/>
          <w:szCs w:val="18"/>
          <w:color w:val="auto"/>
        </w:rPr>
      </w:pPr>
    </w:p>
    <w:p>
      <w:pPr>
        <w:ind w:left="440" w:right="280" w:firstLine="842"/>
        <w:spacing w:after="0" w:line="277" w:lineRule="auto"/>
        <w:tabs>
          <w:tab w:leader="none" w:pos="1706" w:val="left"/>
        </w:tabs>
        <w:numPr>
          <w:ilvl w:val="2"/>
          <w:numId w:val="387"/>
        </w:numPr>
        <w:rPr>
          <w:rFonts w:ascii="Arial" w:cs="Arial" w:eastAsia="Arial" w:hAnsi="Arial"/>
          <w:sz w:val="18"/>
          <w:szCs w:val="18"/>
          <w:color w:val="auto"/>
        </w:rPr>
      </w:pPr>
      <w:r>
        <w:rPr>
          <w:rFonts w:ascii="Arial" w:cs="Arial" w:eastAsia="Arial" w:hAnsi="Arial"/>
          <w:sz w:val="18"/>
          <w:szCs w:val="18"/>
          <w:color w:val="auto"/>
        </w:rPr>
        <w:t>It is not engaged in this transaction, directly or indirectly on behalf of, or instigating or facilitating this transaction, directly or indirectly on behalf of, any such person, group, entity or nation.</w:t>
      </w:r>
    </w:p>
    <w:p>
      <w:pPr>
        <w:spacing w:after="0" w:line="62" w:lineRule="exact"/>
        <w:rPr>
          <w:rFonts w:ascii="Arial" w:cs="Arial" w:eastAsia="Arial" w:hAnsi="Arial"/>
          <w:sz w:val="18"/>
          <w:szCs w:val="18"/>
          <w:color w:val="auto"/>
        </w:rPr>
      </w:pPr>
    </w:p>
    <w:p>
      <w:pPr>
        <w:ind w:left="440" w:right="200" w:firstLine="419"/>
        <w:spacing w:after="0" w:line="263" w:lineRule="auto"/>
        <w:tabs>
          <w:tab w:leader="none" w:pos="1263"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Tenant hereby agrees to defend (with counsel reasonably acceptable to Landlord), indemnify and hold harmless Landlord and the Landlord Indemnitees from and against any and all Claims arising from or related to any such breach of the foregoing certifications, representations, warranties and covenants.</w:t>
      </w:r>
    </w:p>
    <w:p>
      <w:pPr>
        <w:spacing w:after="0" w:line="183" w:lineRule="exact"/>
        <w:rPr>
          <w:rFonts w:ascii="Arial" w:cs="Arial" w:eastAsia="Arial" w:hAnsi="Arial"/>
          <w:sz w:val="18"/>
          <w:szCs w:val="18"/>
          <w:color w:val="auto"/>
        </w:rPr>
      </w:pPr>
    </w:p>
    <w:p>
      <w:pPr>
        <w:ind w:left="920" w:hanging="484"/>
        <w:spacing w:after="0"/>
        <w:tabs>
          <w:tab w:leader="none" w:pos="92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CASp Disclosure</w:t>
      </w:r>
      <w:r>
        <w:rPr>
          <w:rFonts w:ascii="Arial" w:cs="Arial" w:eastAsia="Arial" w:hAnsi="Arial"/>
          <w:sz w:val="17"/>
          <w:szCs w:val="17"/>
          <w:color w:val="auto"/>
        </w:rPr>
        <w:t>. As of the Date of this Lease, the Building has not undergone inspection by a Certified Access Specialist (CASp).</w:t>
      </w:r>
    </w:p>
    <w:p>
      <w:pPr>
        <w:spacing w:after="0" w:line="236" w:lineRule="exact"/>
        <w:rPr>
          <w:rFonts w:ascii="Arial" w:cs="Arial" w:eastAsia="Arial" w:hAnsi="Arial"/>
          <w:sz w:val="17"/>
          <w:szCs w:val="17"/>
          <w:color w:val="auto"/>
        </w:rPr>
      </w:pPr>
    </w:p>
    <w:p>
      <w:pPr>
        <w:ind w:right="40" w:firstLine="436"/>
        <w:spacing w:after="0" w:line="286" w:lineRule="auto"/>
        <w:tabs>
          <w:tab w:leader="none" w:pos="90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Energy Disclosures</w:t>
      </w:r>
      <w:r>
        <w:rPr>
          <w:rFonts w:ascii="Arial" w:cs="Arial" w:eastAsia="Arial" w:hAnsi="Arial"/>
          <w:sz w:val="17"/>
          <w:szCs w:val="17"/>
          <w:color w:val="auto"/>
        </w:rPr>
        <w:t>. Tenant shall reasonably cooperate with Landlord in furnishing any information that may be required in connection with Landlord s obligations to furnish energy disclosures as may be required under applicable law, including, without limitation, providing any information that may be required in order to enroll in the US Environmental Protection Agency’s Energy Star Portfolio Manager.</w:t>
      </w:r>
    </w:p>
    <w:p>
      <w:pPr>
        <w:spacing w:after="0" w:line="165" w:lineRule="exact"/>
        <w:rPr>
          <w:rFonts w:ascii="Arial" w:cs="Arial" w:eastAsia="Arial" w:hAnsi="Arial"/>
          <w:sz w:val="17"/>
          <w:szCs w:val="17"/>
          <w:color w:val="auto"/>
        </w:rPr>
      </w:pPr>
    </w:p>
    <w:p>
      <w:pPr>
        <w:ind w:firstLine="436"/>
        <w:spacing w:after="0" w:line="287" w:lineRule="auto"/>
        <w:tabs>
          <w:tab w:leader="none" w:pos="857"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Building Exterior Signage</w:t>
      </w:r>
      <w:r>
        <w:rPr>
          <w:rFonts w:ascii="Arial" w:cs="Arial" w:eastAsia="Arial" w:hAnsi="Arial"/>
          <w:sz w:val="16"/>
          <w:szCs w:val="16"/>
          <w:color w:val="auto"/>
        </w:rPr>
        <w:t>. Provided that (x) Tenant is the Tenant originally named herein, (y) Tenant is leasing and actually occupies the entirety of the Premises initially demised under this Lease and the Suite 600 Space (either under the Tenant’s Sublease or as a direct tenant hereunder), and (z) no event of default or event which but for the passage of time or the giving of notice, or both would constitute an event of default has occurred and is continuing (items (x) - (z) being the “</w:t>
      </w:r>
      <w:r>
        <w:rPr>
          <w:rFonts w:ascii="Arial" w:cs="Arial" w:eastAsia="Arial" w:hAnsi="Arial"/>
          <w:sz w:val="16"/>
          <w:szCs w:val="16"/>
          <w:u w:val="single" w:color="auto"/>
          <w:color w:val="auto"/>
        </w:rPr>
        <w:t>Signage Conditions</w:t>
      </w:r>
      <w:r>
        <w:rPr>
          <w:rFonts w:ascii="Arial" w:cs="Arial" w:eastAsia="Arial" w:hAnsi="Arial"/>
          <w:sz w:val="16"/>
          <w:szCs w:val="16"/>
          <w:color w:val="auto"/>
        </w:rPr>
        <w:t>”), then, subject to all applicable laws, ordinances restrictions, rules and regulations, as well as all applicable covenants, restrictions or deed restrictions affecting the Project (collectively, the “</w:t>
      </w:r>
      <w:r>
        <w:rPr>
          <w:rFonts w:ascii="Arial" w:cs="Arial" w:eastAsia="Arial" w:hAnsi="Arial"/>
          <w:sz w:val="16"/>
          <w:szCs w:val="16"/>
          <w:u w:val="single" w:color="auto"/>
          <w:color w:val="auto"/>
        </w:rPr>
        <w:t>Applicable Rules and Restrictions</w:t>
      </w:r>
      <w:r>
        <w:rPr>
          <w:rFonts w:ascii="Arial" w:cs="Arial" w:eastAsia="Arial" w:hAnsi="Arial"/>
          <w:sz w:val="16"/>
          <w:szCs w:val="16"/>
          <w:color w:val="auto"/>
        </w:rPr>
        <w:t>”), Tenant shall have the non-exclusive right throughout the Initial Term to install one sign on the fascia of the Building (“</w:t>
      </w:r>
      <w:r>
        <w:rPr>
          <w:rFonts w:ascii="Arial" w:cs="Arial" w:eastAsia="Arial" w:hAnsi="Arial"/>
          <w:sz w:val="16"/>
          <w:szCs w:val="16"/>
          <w:u w:val="single" w:color="auto"/>
          <w:color w:val="auto"/>
        </w:rPr>
        <w:t>Fascia Sign</w:t>
      </w:r>
      <w:r>
        <w:rPr>
          <w:rFonts w:ascii="Arial" w:cs="Arial" w:eastAsia="Arial" w:hAnsi="Arial"/>
          <w:sz w:val="16"/>
          <w:szCs w:val="16"/>
          <w:color w:val="auto"/>
        </w:rPr>
        <w:t xml:space="preserve">”) provided that Landlord, acting reasonably, approves the Fascia Sign (including all structural engineering and aesthetic aspects thereof) and the exact location where the same is to be installed. Landlord hereby pre-approves the location for the Tenant s Fascia sign shown in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attached hereto; provided however in the event that the Applicable Rules and Restrictions and/or applicable laws codes or ordinances or applicable governmental authority do not permit the Fascia Sign to be installed in such location, then the Fascia Sign shall be installed in such other location on the fascia of the Building that is either approved by or designated by Landlord in writing. The engineering, manufacture, installation, maintenance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390" w:name="page391"/>
    <w:bookmarkEnd w:id="39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removal of, and the procurement of all required approvals for, the Fascia Sign shall be at Tenant’s sole cost and expense. The installation of the Fascia Sign shall be in compliance with all Applicable Rules and Restrictions. Prior to the manufacturing or installing the Fascia Sign, Tenant shall submit to Landlord, for Landlord’s approval which shall not be unreasonably withheld delayed or, except as expressly provided here in, conditioned, (i) a report from a structural engineer reasonably acceptable to Landlord providing that (A) the Building can adequately support the installation of the Fascia Sign and (B) the Fascia Sign can and will be installed in a manner that will not damage, or otherwise affect or diminish the structural integrity of the Building, and (ii) a detailed drawing indicating the size, layout, design, configuration, lettering and/or graphics and color of the proposed Fascia Sig n, together with the proposed location where the Fascia Sign is to be installed. In the event Landlord approves the structural report, the Fascia Sign and the location, Landlord shall evidence such approval in writing. Tenant shall install, repair maintain, and remove the Fascia Sign with contractors approved by Landlord. Any such contractors shall satisfy Landlord’s insurance and indemnification requirements prior to performing any work. Tenant agrees that the installation, maintenance, repair and removal of the Fascia Sign shall be at Tenant’s sole risk. Tenant agrees to maintain the Fascia Sign in good condition and repair and, prior to the expiration of the Lease Term or the earlier termination of this Lease or Tenant s right of possession under this Lease, Tenant shall remove the Fascia Sign and restore the Building to the condition immediately prior to the installation of the Fascia Sign, at Tenant s sole cost and expense. In the event Tenant fails to repair or remove the Fascia Sign Landlord shall have the right to repair or remove the Fascia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FASCIA SIGN EVEN IF THE SAME IS CAUSED IN PART (BUT NOT SOLELY) BY THE NEGLIGENCE OF LANDLORD, ITS EMPLOYEES AGENTS OR REPRESENTATIVES. Notwithstanding anything herein to the contrary Landlord shall have the right to terminate Tenant’s rights under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by providing written notice of termination to Tenant if, at any time Tenant (1) assigns this Lease, (2) subleases any portion of the Premises (including the Suite 600 Space), or (3) suffers an event of default of any term or condition of this Lease. In the event Landlord terminates Tenant s rights under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as provided for in the immediately preceding sentence Tenant shall remove the Fascia Sign from the Building and repair any damage to the Building caused by the installation, maintenance and/or removal thereof within thirty (30) days following receipt of Landlords written notice of termination, and, in the event Tenant fails to timely remove the Fascia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Fascia Sign and Landlord shall have the right to dispose of the Fascia Sign in any manner Landlord shall choose in its sole discretion without any liability whatsoever to Tenant with respect thereto). In no event does Landlord make any representation or warranty to Tenant that the Fascia Sign shall be permitted under the Applicable Rules and Restrictions and, to the extent the Fascia Sign is not permitted by the Applicable Rules and Restrictions, Tenant acknowledges and agrees that this Lease shall remain in full force and effect despite Tenant not being permitted to install such Fascia Sign. Tenant shall be responsible, at its cost and expense, to obtain any necessary approvals or permits from the applicable governmental authorities for the purposes of installing and maintaining such Fascia Sign (the “</w:t>
      </w:r>
      <w:r>
        <w:rPr>
          <w:rFonts w:ascii="Arial" w:cs="Arial" w:eastAsia="Arial" w:hAnsi="Arial"/>
          <w:sz w:val="16"/>
          <w:szCs w:val="16"/>
          <w:u w:val="single" w:color="auto"/>
          <w:color w:val="auto"/>
        </w:rPr>
        <w:t>Fascia Sign Approvals</w:t>
      </w:r>
      <w:r>
        <w:rPr>
          <w:rFonts w:ascii="Arial" w:cs="Arial" w:eastAsia="Arial" w:hAnsi="Arial"/>
          <w:sz w:val="16"/>
          <w:szCs w:val="16"/>
          <w:color w:val="auto"/>
        </w:rPr>
        <w:t xml:space="preserve">”), provided, however, at Landlord s option it can apply for such Fascia Sign Approvals on Tenant’s behalf, at Tenants cost and expense. Promptly following obtaining such Fascia Sign Approvals (and in no event later than thirty (30) days following obtaining such Fascia Sign Approvals) Tenant shall install such Fascia Sign in accordance with the terms of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In no event shall Landlord be required to remove any existing fascia sign or other signage present existing in order to accommodate any approvals required by the Applicable Rules and Restrictions affecting the Building for the Fascia Sign. The terms and provisions of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shall survive the expiration or earlier termination of this Lease. As consideration for Tenant’s right to install and maintain the Fascia Sign, commencing on the date that the Fascia Sign Approvals are obtained and the Fascia Sign has been installed and continuing thereafter for the remainder of the Lease Term, Tenant shall pay to Landlord $5,500.00 per month (the “</w:t>
      </w:r>
      <w:r>
        <w:rPr>
          <w:rFonts w:ascii="Arial" w:cs="Arial" w:eastAsia="Arial" w:hAnsi="Arial"/>
          <w:sz w:val="16"/>
          <w:szCs w:val="16"/>
          <w:u w:val="single" w:color="auto"/>
          <w:color w:val="auto"/>
        </w:rPr>
        <w:t>Fascia Sign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w:t>
      </w:r>
      <w:r>
        <w:rPr>
          <w:rFonts w:ascii="Arial" w:cs="Arial" w:eastAsia="Arial" w:hAnsi="Arial"/>
          <w:sz w:val="16"/>
          <w:szCs w:val="16"/>
          <w:color w:val="auto"/>
        </w:rPr>
        <w:t>”), with such Fascia Sign Rent being payable in advance on the first day of the month in the same manner and time as Tenant is obligated to pay Basic Annual Rent (provided, however, any abatement of the Basic Annual Rent shall not apply with respect to the Fascia Sign Rent).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91" w:name="page392"/>
    <w:bookmarkEnd w:id="391"/>
    <w:p>
      <w:pPr>
        <w:ind w:left="4" w:right="20" w:firstLine="436"/>
        <w:spacing w:after="0" w:line="282" w:lineRule="auto"/>
        <w:tabs>
          <w:tab w:leader="none" w:pos="924"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Monument Sign</w:t>
      </w:r>
      <w:r>
        <w:rPr>
          <w:rFonts w:ascii="Arial" w:cs="Arial" w:eastAsia="Arial" w:hAnsi="Arial"/>
          <w:sz w:val="16"/>
          <w:szCs w:val="16"/>
          <w:color w:val="auto"/>
        </w:rPr>
        <w:t>. Provided that the Signage Conditions are satisfied, but subject to the Applicable Rules and Restrictions, Tenant shall have the non-exclusive right to display its signage in a new monument sign (the “</w:t>
      </w:r>
      <w:r>
        <w:rPr>
          <w:rFonts w:ascii="Arial" w:cs="Arial" w:eastAsia="Arial" w:hAnsi="Arial"/>
          <w:sz w:val="16"/>
          <w:szCs w:val="16"/>
          <w:u w:val="single" w:color="auto"/>
          <w:color w:val="auto"/>
        </w:rPr>
        <w:t>New Monument Sign</w:t>
      </w:r>
      <w:r>
        <w:rPr>
          <w:rFonts w:ascii="Arial" w:cs="Arial" w:eastAsia="Arial" w:hAnsi="Arial"/>
          <w:sz w:val="16"/>
          <w:szCs w:val="16"/>
          <w:color w:val="auto"/>
        </w:rPr>
        <w:t xml:space="preserve">”) to be constructed by Tenant, at Tenant’s sole cost and expense, in a location designated by Landlord in its sole and absolute discretion. Landlord may, at its option, elect to manage the construction of the New Monument Sign, in which case Tenant shall reimburse Landlord within thirty (30) days after receipt of an invoice for any and all costs incurred by Landlord in connection with the installation and construction of such New Monument Sign. All costs associated with the installation, fabrication, repair and maintenance of such New Monument Sign shall be paid for by Tenant. The style, type, color, size, design, engineering, precise location and the means and method of attachment of the New Monument Sign shall all be subject to Landlord’s prior written approval, which approval shall by in Landlord’s sole and absolute discretion; provided, however, such New Monument Sign shall comply with Landlord’s signage guidelines and criteria (if any). The engineering, manufacture, installation, maintenance and removal of, and the procurement of all required approvals for, the New Monument Sign shall be at Tenant’s sole cost and expense. The New Monument Sign shall be in compliance with all Applicable Rules and Restrictions. Tenant agrees to maintain the New Monument Sign in good condition and repair and, prior to the expiration of the Lease Term or the earlier termination of the Lease or Tenant’s right of possession under the Lease, Tenant shall be required remove the New Monument Sign and restore any damage arising from such removal, at Tenant’s sole cost and expense. In the event Tenant fails to repair or remove the New Monument Sign, Landlord shall have the right to repair or remove the New Monument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Notwithstanding anything herein to the contrary, Landlord shall have the right to terminate Tenant’s rights under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by providing written notice of termination to Tenant if, at any time, Tenant (1) assigns this Lease, (2) subleases any portion of the Premises (including the Suite 600 Space), or</w:t>
      </w:r>
    </w:p>
    <w:p>
      <w:pPr>
        <w:spacing w:after="0" w:line="11" w:lineRule="exact"/>
        <w:rPr>
          <w:rFonts w:ascii="Arial" w:cs="Arial" w:eastAsia="Arial" w:hAnsi="Arial"/>
          <w:sz w:val="16"/>
          <w:szCs w:val="16"/>
          <w:color w:val="auto"/>
        </w:rPr>
      </w:pPr>
    </w:p>
    <w:p>
      <w:pPr>
        <w:ind w:left="4" w:hanging="4"/>
        <w:spacing w:after="0" w:line="283" w:lineRule="auto"/>
        <w:tabs>
          <w:tab w:leader="none" w:pos="25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suffers an event of default of any term or condition of this Lease. In the event Landlord terminates Tenant’s rights under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as provided for in the immediately preceding sentence, Tenant shall remove the New Monument Sign, and repair any damage caused by the installation, maintenance and/or removal thereof within thirty (30) days following receipt of Landlord’s written notice of termination, and, in the event Tenant fails to timely remove the New Monument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New Monument Sign and Landlord shall have the right to dispose of the New Monument Sign in any manner Landlord shall choose in its sole discretion without any liability whatsoever to Tenant with respect thereto). In no event does Landlord make any representation or warranty to Tenant that the New Monument Sign shall be permitted under the Applicable Rules and Restrictions and, to the extent the New Monument Sign is not permitted by the Applicable Rules and Restrictions, Tenant acknowledges and agrees that this Lease shall remain in full force and effect despite Tenant not being permitted to install such New Monument Sign. Tenant shall be responsible, at its cost and expense, to obtain any necessary approvals or permits from the applicable governmental authorities for the purposes of installing and maintaining such New Monument Sign (the “</w:t>
      </w:r>
      <w:r>
        <w:rPr>
          <w:rFonts w:ascii="Arial" w:cs="Arial" w:eastAsia="Arial" w:hAnsi="Arial"/>
          <w:sz w:val="16"/>
          <w:szCs w:val="16"/>
          <w:u w:val="single" w:color="auto"/>
          <w:color w:val="auto"/>
        </w:rPr>
        <w:t>New Monument Sign Approvals</w:t>
      </w:r>
      <w:r>
        <w:rPr>
          <w:rFonts w:ascii="Arial" w:cs="Arial" w:eastAsia="Arial" w:hAnsi="Arial"/>
          <w:sz w:val="16"/>
          <w:szCs w:val="16"/>
          <w:color w:val="auto"/>
        </w:rPr>
        <w:t xml:space="preserve">”); provided, however, at Landlord’s option it can apply for such New Monument Sign Approvals on Tenant’s behalf, at Tenant’s cost and expense. Promptly following obtaining such New Monument Sign Approvals (and in no event later than thirty (30) days following obtaining such New Monument Sign Approvals), Tenant shall install such New Monument Sign in accordance with the terms of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In no event shall Landlord be required to remove any existing monument sign or other signage present existing in order to accommodate any approvals required by the Applicable Rules and Restrictions affecting the Building for the New Monument Sign. The terms and provisions of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shall survive the expiration or earlier termination of this Lease. As consideration for Tenant’s right to install and maintain the New Monument Sign, commencing on the date that the New Monument Sign Approvals are obtained and the New Monument Sign has been installed and continuing thereafter for the remainder of the Lease Term, Tenant shall pay to Landlord $1,000.00 per month (the “</w:t>
      </w:r>
      <w:r>
        <w:rPr>
          <w:rFonts w:ascii="Arial" w:cs="Arial" w:eastAsia="Arial" w:hAnsi="Arial"/>
          <w:sz w:val="16"/>
          <w:szCs w:val="16"/>
          <w:u w:val="single" w:color="auto"/>
          <w:color w:val="auto"/>
        </w:rPr>
        <w:t>New Monument Sign Rent</w:t>
      </w:r>
      <w:r>
        <w:rPr>
          <w:rFonts w:ascii="Arial" w:cs="Arial" w:eastAsia="Arial" w:hAnsi="Arial"/>
          <w:sz w:val="16"/>
          <w:szCs w:val="16"/>
          <w:color w:val="auto"/>
        </w:rPr>
        <w:t>”), with such New Monument Sign Rent being payable in advance on the first day of the month in the same manner and time as Tenant is obligated to pay Basic Annual Rent (provided, however, any abatement of the Basic Annual Rent shall not apply with respect to the New Monument Sign Rent).</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4" w:right="4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OFFICE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KBSIII ALMADEN FINANCIAL PLAZA, LLC, AS LANDLORD,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 AS TENANT</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WITNESS WHEREOF, intended to be legally bound hereby, the parties hereto, by their duly authorized representatives, have executed and sealed this Lease with the intention that this Lease constitutes an instrument under seal, and that the parties have executed this Lease to be effective as of the Date of this Lease.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5700" w:type="dxa"/>
            <w:vAlign w:val="bottom"/>
            <w:gridSpan w:val="4"/>
          </w:tcPr>
          <w:p>
            <w:pPr>
              <w:ind w:left="760"/>
              <w:spacing w:after="0"/>
              <w:rPr>
                <w:sz w:val="20"/>
                <w:szCs w:val="20"/>
                <w:color w:val="auto"/>
              </w:rPr>
            </w:pPr>
            <w:r>
              <w:rPr>
                <w:rFonts w:ascii="Arial" w:cs="Arial" w:eastAsia="Arial" w:hAnsi="Arial"/>
                <w:sz w:val="18"/>
                <w:szCs w:val="18"/>
                <w:b w:val="1"/>
                <w:bCs w:val="1"/>
                <w:color w:val="auto"/>
              </w:rPr>
              <w:t>“TENANT”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KBSIII ALMADEN FINANCIAL PLAZA, LLC,</w:t>
            </w:r>
          </w:p>
        </w:tc>
        <w:tc>
          <w:tcPr>
            <w:tcW w:w="5700" w:type="dxa"/>
            <w:vAlign w:val="bottom"/>
            <w:gridSpan w:val="4"/>
          </w:tcPr>
          <w:p>
            <w:pPr>
              <w:ind w:left="760"/>
              <w:spacing w:after="0"/>
              <w:rPr>
                <w:sz w:val="20"/>
                <w:szCs w:val="20"/>
                <w:color w:val="auto"/>
              </w:rPr>
            </w:pPr>
            <w:r>
              <w:rPr>
                <w:rFonts w:ascii="Arial" w:cs="Arial" w:eastAsia="Arial" w:hAnsi="Arial"/>
                <w:sz w:val="18"/>
                <w:szCs w:val="18"/>
                <w:b w:val="1"/>
                <w:bCs w:val="1"/>
                <w:color w:val="auto"/>
              </w:rPr>
              <w:t>ZOOM VIDEO COMMUNICATIONS, INC.,</w:t>
            </w:r>
          </w:p>
        </w:tc>
        <w:tc>
          <w:tcPr>
            <w:tcW w:w="0" w:type="dxa"/>
            <w:vAlign w:val="bottom"/>
          </w:tcPr>
          <w:p>
            <w:pPr>
              <w:spacing w:after="0"/>
              <w:rPr>
                <w:sz w:val="1"/>
                <w:szCs w:val="1"/>
                <w:color w:val="auto"/>
              </w:rPr>
            </w:pPr>
          </w:p>
        </w:tc>
      </w:tr>
      <w:tr>
        <w:trPr>
          <w:trHeight w:val="234"/>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a Delaware limited liability company</w:t>
            </w:r>
          </w:p>
        </w:tc>
        <w:tc>
          <w:tcPr>
            <w:tcW w:w="5700" w:type="dxa"/>
            <w:vAlign w:val="bottom"/>
            <w:gridSpan w:val="4"/>
          </w:tcPr>
          <w:p>
            <w:pPr>
              <w:ind w:left="760"/>
              <w:spacing w:after="0"/>
              <w:rPr>
                <w:sz w:val="20"/>
                <w:szCs w:val="20"/>
                <w:color w:val="auto"/>
              </w:rPr>
            </w:pPr>
            <w:r>
              <w:rPr>
                <w:rFonts w:ascii="Arial" w:cs="Arial" w:eastAsia="Arial" w:hAnsi="Arial"/>
                <w:sz w:val="18"/>
                <w:szCs w:val="18"/>
                <w:b w:val="1"/>
                <w:bCs w:val="1"/>
                <w:color w:val="auto"/>
              </w:rPr>
              <w:t>a Delaware corporation</w:t>
            </w:r>
          </w:p>
        </w:tc>
        <w:tc>
          <w:tcPr>
            <w:tcW w:w="0" w:type="dxa"/>
            <w:vAlign w:val="bottom"/>
          </w:tcPr>
          <w:p>
            <w:pPr>
              <w:spacing w:after="0"/>
              <w:rPr>
                <w:sz w:val="1"/>
                <w:szCs w:val="1"/>
                <w:color w:val="auto"/>
              </w:rPr>
            </w:pPr>
          </w:p>
        </w:tc>
      </w:tr>
      <w:tr>
        <w:trPr>
          <w:trHeight w:val="414"/>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By: KBS Capital Advisors, LLC,</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40" w:type="dxa"/>
            <w:vAlign w:val="bottom"/>
            <w:gridSpan w:val="3"/>
          </w:tcPr>
          <w:p>
            <w:pPr>
              <w:ind w:left="300"/>
              <w:spacing w:after="0"/>
              <w:rPr>
                <w:sz w:val="20"/>
                <w:szCs w:val="20"/>
                <w:color w:val="auto"/>
              </w:rPr>
            </w:pPr>
            <w:r>
              <w:rPr>
                <w:rFonts w:ascii="Arial" w:cs="Arial" w:eastAsia="Arial" w:hAnsi="Arial"/>
                <w:sz w:val="18"/>
                <w:szCs w:val="18"/>
                <w:b w:val="1"/>
                <w:bCs w:val="1"/>
                <w:color w:val="auto"/>
              </w:rPr>
              <w:t>a Delaware limited liability company,</w:t>
            </w:r>
          </w:p>
        </w:tc>
        <w:tc>
          <w:tcPr>
            <w:tcW w:w="140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By:</w:t>
            </w:r>
          </w:p>
        </w:tc>
        <w:tc>
          <w:tcPr>
            <w:tcW w:w="4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 Roy Benhorin</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8"/>
                <w:szCs w:val="18"/>
                <w:color w:val="auto"/>
              </w:rPr>
            </w:pPr>
          </w:p>
        </w:tc>
        <w:tc>
          <w:tcPr>
            <w:tcW w:w="5240" w:type="dxa"/>
            <w:vAlign w:val="bottom"/>
            <w:gridSpan w:val="3"/>
          </w:tcPr>
          <w:p>
            <w:pPr>
              <w:ind w:left="300"/>
              <w:spacing w:after="0"/>
              <w:rPr>
                <w:sz w:val="20"/>
                <w:szCs w:val="20"/>
                <w:color w:val="auto"/>
              </w:rPr>
            </w:pPr>
            <w:r>
              <w:rPr>
                <w:rFonts w:ascii="Arial" w:cs="Arial" w:eastAsia="Arial" w:hAnsi="Arial"/>
                <w:sz w:val="18"/>
                <w:szCs w:val="18"/>
                <w:b w:val="1"/>
                <w:bCs w:val="1"/>
                <w:color w:val="auto"/>
              </w:rPr>
              <w:t>as its authorized agent</w:t>
            </w:r>
          </w:p>
        </w:tc>
        <w:tc>
          <w:tcPr>
            <w:tcW w:w="1400" w:type="dxa"/>
            <w:vAlign w:val="bottom"/>
            <w:gridSpan w:val="2"/>
            <w:vMerge w:val="continue"/>
          </w:tcPr>
          <w:p>
            <w:pPr>
              <w:spacing w:after="0"/>
              <w:rPr>
                <w:sz w:val="18"/>
                <w:szCs w:val="18"/>
                <w:color w:val="auto"/>
              </w:rPr>
            </w:pPr>
          </w:p>
        </w:tc>
        <w:tc>
          <w:tcPr>
            <w:tcW w:w="4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400" w:type="dxa"/>
            <w:vAlign w:val="bottom"/>
            <w:gridSpan w:val="2"/>
          </w:tcPr>
          <w:p>
            <w:pPr>
              <w:ind w:left="760"/>
              <w:spacing w:after="0" w:line="205" w:lineRule="exact"/>
              <w:rPr>
                <w:sz w:val="20"/>
                <w:szCs w:val="20"/>
                <w:color w:val="auto"/>
              </w:rPr>
            </w:pPr>
            <w:r>
              <w:rPr>
                <w:rFonts w:ascii="Arial" w:cs="Arial" w:eastAsia="Arial" w:hAnsi="Arial"/>
                <w:sz w:val="18"/>
                <w:szCs w:val="18"/>
                <w:b w:val="1"/>
                <w:bCs w:val="1"/>
                <w:color w:val="auto"/>
              </w:rPr>
              <w:t>Name:</w:t>
            </w:r>
          </w:p>
        </w:tc>
        <w:tc>
          <w:tcPr>
            <w:tcW w:w="4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Roy Benhorin</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By:</w:t>
            </w:r>
          </w:p>
        </w:tc>
        <w:tc>
          <w:tcPr>
            <w:tcW w:w="4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 Brent Carroll</w:t>
            </w:r>
          </w:p>
        </w:tc>
        <w:tc>
          <w:tcPr>
            <w:tcW w:w="1400" w:type="dxa"/>
            <w:vAlign w:val="bottom"/>
            <w:gridSpan w:val="2"/>
          </w:tcPr>
          <w:p>
            <w:pPr>
              <w:ind w:left="760"/>
              <w:spacing w:after="0"/>
              <w:rPr>
                <w:sz w:val="20"/>
                <w:szCs w:val="20"/>
                <w:color w:val="auto"/>
              </w:rPr>
            </w:pPr>
            <w:r>
              <w:rPr>
                <w:rFonts w:ascii="Arial" w:cs="Arial" w:eastAsia="Arial" w:hAnsi="Arial"/>
                <w:sz w:val="18"/>
                <w:szCs w:val="18"/>
                <w:b w:val="1"/>
                <w:bCs w:val="1"/>
                <w:color w:val="auto"/>
              </w:rPr>
              <w:t>Title:</w:t>
            </w: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Head of Finance</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300" w:type="dxa"/>
            <w:vAlign w:val="bottom"/>
            <w:tcBorders>
              <w:bottom w:val="single" w:sz="8" w:color="auto"/>
            </w:tcBorders>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940" w:type="dxa"/>
            <w:vAlign w:val="bottom"/>
          </w:tcPr>
          <w:p>
            <w:pPr>
              <w:ind w:left="300"/>
              <w:spacing w:after="0" w:line="205" w:lineRule="exact"/>
              <w:rPr>
                <w:sz w:val="20"/>
                <w:szCs w:val="20"/>
                <w:color w:val="auto"/>
              </w:rPr>
            </w:pPr>
            <w:r>
              <w:rPr>
                <w:rFonts w:ascii="Arial" w:cs="Arial" w:eastAsia="Arial" w:hAnsi="Arial"/>
                <w:sz w:val="18"/>
                <w:szCs w:val="18"/>
                <w:b w:val="1"/>
                <w:bCs w:val="1"/>
                <w:color w:val="auto"/>
              </w:rPr>
              <w:t>Name:</w:t>
            </w:r>
          </w:p>
        </w:tc>
        <w:tc>
          <w:tcPr>
            <w:tcW w:w="4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Brent Carroll,</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Senior Vice President</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8/1/16</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93" w:name="page394"/>
    <w:bookmarkEnd w:id="393"/>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u w:val="single" w:color="auto"/>
          <w:color w:val="auto"/>
        </w:rPr>
        <w:t>FLOOR PLAN OF THE PREMISES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169545</wp:posOffset>
            </wp:positionV>
            <wp:extent cx="5374640" cy="34804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37464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 — 1</w:t>
      </w:r>
    </w:p>
    <w:p>
      <w:pPr>
        <w:sectPr>
          <w:pgSz w:w="11900" w:h="16838" w:orient="portrait"/>
          <w:cols w:equalWidth="0" w:num="1">
            <w:col w:w="10019"/>
          </w:cols>
          <w:pgMar w:left="440" w:top="270" w:right="1440"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Suite 600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169545</wp:posOffset>
            </wp:positionV>
            <wp:extent cx="5469255" cy="3471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46925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A-1 — 2</w:t>
      </w:r>
    </w:p>
    <w:p>
      <w:pPr>
        <w:sectPr>
          <w:pgSz w:w="11900" w:h="16838" w:orient="portrait"/>
          <w:cols w:equalWidth="0" w:num="1">
            <w:col w:w="10019"/>
          </w:cols>
          <w:pgMar w:left="440" w:top="274" w:right="1440"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LEGAL DESCRIPTION OF THE PROJECT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land situated in the City of San Jose, County of Santa Clara, State of California,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ONE: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PARCEL 1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TWO:</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PARCEL 2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THREE: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OF PARCEL 3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THREE-A:</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IRREVOCABLE PERPETUAL PARKING EASEMENT ON, OVER ABOVE, THROUGH AND WITHIN PARCEL 4, AS SHOWN ON PARCEL MAP FILED JULY 24, 1979 IN BOOK 446 OF MAPS, AT PAGES 26 AND 27, AND AN IRREVOCABLE PERPETUAL EASEMENT FOR VEHICULAR AND PEDESTRIAN INGRESS, EGRESS AND PASSAGE OVER AND UPON SAID PARCEL 4 AS MORE PARTICULARLY DESCRIBED IN THAT CERTAIN IRREVOCABLE PERPETUAL PARKING EASEMENT GRANTED BY W-S-D, A PARTNERSHIP AND WOLFF-SESNON DEVELOPMENT COMPANY, DATED AUGUST 28, 1979, AND RECORDED ON AUGUST 31, 1979 IN BOOK E763. PAGE 215, INSTRUMENT NO. 6486434 IN THE SANTA CLARA COUNTY OFFICIAL RECORDS.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PARCEL FOUR: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PORTION OF PARCEL 4 AS SHOWN ON PARCEL MAP FILED JULY 24, 1979 IN BOOK 446 OF MAPS, AT PAGE S 26 AND 27, SANTA CLARA COUNTY RECORDS, DESCRIBED AS FOLLOWS: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BEGINNING AT THE NORTHERLY CORNER OF SAID PARCEL 4; THENCE ALONG THE EAST LINE OF SAID PARCEL. SOUTH 29° 54’ 59” EAST 312.55 FEET TO A CORNER; THENCE SOUTH 60°07’ 07’’ WEST 25.21 FEET; THENCE NORTH 29° 51’ 11” WEST 275.88 FEET TO THE WEST LINE OF SAID PARCEL 4 ON THE GUADALUPE PARKWAY; THENCE ALONG SAID WEST LINE NORTH 07° 47’ 35” WEST</w:t>
      </w:r>
    </w:p>
    <w:p>
      <w:pPr>
        <w:ind w:right="240"/>
        <w:spacing w:after="0" w:line="260" w:lineRule="auto"/>
        <w:rPr>
          <w:sz w:val="20"/>
          <w:szCs w:val="20"/>
          <w:color w:val="auto"/>
        </w:rPr>
      </w:pPr>
      <w:r>
        <w:rPr>
          <w:rFonts w:ascii="Arial" w:cs="Arial" w:eastAsia="Arial" w:hAnsi="Arial"/>
          <w:sz w:val="18"/>
          <w:szCs w:val="18"/>
          <w:color w:val="auto"/>
        </w:rPr>
        <w:t>39.57 FEET TO THE NORTHWEST LINE OF SAID PARCEL; THENCE ALONG SAID PARCEL LINE NORTH 60° 06’ 24” EAST 10 FEET TO THE POINT OF BEGINNING.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PARCEL FIVE: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OF PARCEL 5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FIVE-A:</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 NONEXCLUSIVE EASEMENT FOR PEDESTRIAN AND VEHICULAR INGRESS AND EGRESS AS GRANTED IN THAT CERTAIN DOCUMENT ENTITLED “</w:t>
      </w:r>
      <w:r>
        <w:rPr>
          <w:rFonts w:ascii="Arial" w:cs="Arial" w:eastAsia="Arial" w:hAnsi="Arial"/>
          <w:sz w:val="18"/>
          <w:szCs w:val="18"/>
          <w:u w:val="single" w:color="auto"/>
          <w:color w:val="auto"/>
        </w:rPr>
        <w:t>AMENDED AND RESTATED RECIPROCAL EASEMENT AGREEMENT</w:t>
      </w:r>
      <w:r>
        <w:rPr>
          <w:rFonts w:ascii="Arial" w:cs="Arial" w:eastAsia="Arial" w:hAnsi="Arial"/>
          <w:sz w:val="18"/>
          <w:szCs w:val="18"/>
          <w:color w:val="auto"/>
        </w:rPr>
        <w:t>” RECORDED DECEMBER 9, 2014 AS INSTRUMENT NO. 2-795060. OFFICIAL RECORDS.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 — 1</w:t>
      </w:r>
    </w:p>
    <w:p>
      <w:pPr>
        <w:sectPr>
          <w:pgSz w:w="11900" w:h="16838" w:orient="portrait"/>
          <w:cols w:equalWidth="0" w:num="1">
            <w:col w:w="10980"/>
          </w:cols>
          <w:pgMar w:left="440" w:top="270" w:right="47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APN: 259-39-113 (Affects Parcel 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259-39-114 (Affects Parcel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259-39-115 (Affects Parcel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259-39-119 (Affects Parcel Four)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259-39-112 (Affects Parcel Five)</w:t>
      </w:r>
    </w:p>
    <w:p>
      <w:pPr>
        <w:spacing w:after="0" w:line="143"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A-2 — 2</w:t>
      </w:r>
    </w:p>
    <w:p>
      <w:pPr>
        <w:sectPr>
          <w:pgSz w:w="11900" w:h="16838" w:orient="portrait"/>
          <w:cols w:equalWidth="0" w:num="1">
            <w:col w:w="10019"/>
          </w:cols>
          <w:pgMar w:left="440" w:top="274" w:right="1440"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RENTABLE AREA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as used in the Lease shall mean:</w:t>
      </w:r>
    </w:p>
    <w:p>
      <w:pPr>
        <w:spacing w:after="0" w:line="225"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As to each floor of the Building on which the entire space rentable to tenants is or will be leased to one tenant (hereinafter referred to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Tenant Floor</w:t>
      </w:r>
      <w:r>
        <w:rPr>
          <w:rFonts w:ascii="Arial" w:cs="Arial" w:eastAsia="Arial" w:hAnsi="Arial"/>
          <w:sz w:val="16"/>
          <w:szCs w:val="16"/>
          <w:color w:val="auto"/>
        </w:rPr>
        <w:t>”), Rentable Area shall be the entire area bounded by the inside surface of the four exterior glass walls (or the inside surface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permanent exterior wall where there is no glass) on such floor, including (i) all areas used for elevator lobbies, corridors, or special stairways, restrooms,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mechanical rooms, electrical rooms and telephone closets, without deduction for columns, and other structural portions of the Building or vertical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penetrations that are included for the special use of Tenant and (ii) if the Building has more than one floor, a pro rata portion (calculated on the basis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entire Rentable Area of the Building) of the area of the mailroom premises and entry lobby located on the first floor of the Building (as bounded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inside surface of the walls thereof, but excluding the area contained within the exterior walls of the Building stairs, fire towers, vertical ducts,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elevator shafts, flues, vents, stacks and pipe shafts).</w:t>
      </w:r>
    </w:p>
    <w:p>
      <w:pPr>
        <w:spacing w:after="0" w:line="211" w:lineRule="exact"/>
        <w:rPr>
          <w:sz w:val="20"/>
          <w:szCs w:val="20"/>
          <w:color w:val="auto"/>
        </w:rPr>
      </w:pPr>
    </w:p>
    <w:p>
      <w:pPr>
        <w:ind w:firstLine="436"/>
        <w:spacing w:after="0" w:line="270" w:lineRule="auto"/>
        <w:tabs>
          <w:tab w:leader="none" w:pos="8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As to each floor of the Building on which space is or will be leased to more than one tenant (hereinafter referred to as “</w:t>
      </w:r>
      <w:r>
        <w:rPr>
          <w:rFonts w:ascii="Arial" w:cs="Arial" w:eastAsia="Arial" w:hAnsi="Arial"/>
          <w:sz w:val="17"/>
          <w:szCs w:val="17"/>
          <w:u w:val="single" w:color="auto"/>
          <w:color w:val="auto"/>
        </w:rPr>
        <w:t>Multi-Tenant Floor</w:t>
      </w:r>
      <w:r>
        <w:rPr>
          <w:rFonts w:ascii="Arial" w:cs="Arial" w:eastAsia="Arial" w:hAnsi="Arial"/>
          <w:sz w:val="17"/>
          <w:szCs w:val="17"/>
          <w:color w:val="auto"/>
        </w:rPr>
        <w:t>”), Rentable Area attributable to each such lease shall be the total of (i) the entire area included within the Premises covered by such lease, being the area bounded by the inside surface of any exterior glass walls (or the inside surface of the permanent exterior wall where there is no glass) of the Building bounding such Premises, the exterior of all walls separating such Premises from public corridors or other public areas on such floor, and the centerline of all walls separating such Premises from other areas leased or to be leased to other tenants on such floor, (ii) a pro rata portion (calculated on the basis of the Rentable Area of the floor) of the area covered by the elevator lobbies, corridors, restrooms, mechanical rooms, electrical rooms and telephone closets situated on such floor and (iii) if the Building has more than one floor, a pro rata portion (calculated on the basis of the entire Rentable Area of the Building) of the area of the mailroom premises and entry lobby located on the main entry floor of the Building (as bounded by the inside surface of the walls thereof).</w:t>
      </w:r>
    </w:p>
    <w:p>
      <w:pPr>
        <w:spacing w:after="0" w:line="180" w:lineRule="exact"/>
        <w:rPr>
          <w:rFonts w:ascii="Arial" w:cs="Arial" w:eastAsia="Arial" w:hAnsi="Arial"/>
          <w:sz w:val="17"/>
          <w:szCs w:val="17"/>
          <w:color w:val="auto"/>
        </w:rPr>
      </w:pPr>
    </w:p>
    <w:p>
      <w:pPr>
        <w:ind w:right="40" w:firstLine="436"/>
        <w:spacing w:after="0" w:line="275" w:lineRule="auto"/>
        <w:tabs>
          <w:tab w:leader="none" w:pos="81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As to any storage space leased to a tenant, the Rentable Area shall be the entire area included within the storage space covered by such lease, being the area bounded by the inside surface of any permanent exterior wall of the Building bounding such storage space, the exterior of all walls separating such storage space from public corridors or other public areas on such floor, and the centerline of all walls separating such storage space from other areas leased or to be leased to other tenants on such floor. The Rentable Area of storage space shall not be included within the Premises for purposes of determining Tenant’s Proportionate Share of Operating Costs.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 — 1</w:t>
      </w:r>
    </w:p>
    <w:p>
      <w:pPr>
        <w:sectPr>
          <w:pgSz w:w="11900" w:h="16838" w:orient="portrait"/>
          <w:cols w:equalWidth="0" w:num="1">
            <w:col w:w="11020"/>
          </w:cols>
          <w:pgMar w:left="440" w:top="270" w:right="439" w:bottom="1440" w:gutter="0" w:footer="0" w:header="0"/>
        </w:sectPr>
      </w:pPr>
    </w:p>
    <w:bookmarkStart w:id="398" w:name="page399"/>
    <w:bookmarkEnd w:id="39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07"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THIS WORK LETTER </w:t>
      </w:r>
      <w:r>
        <w:rPr>
          <w:rFonts w:ascii="Arial" w:cs="Arial" w:eastAsia="Arial" w:hAnsi="Arial"/>
          <w:sz w:val="18"/>
          <w:szCs w:val="18"/>
          <w:color w:val="auto"/>
        </w:rPr>
        <w:t>is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Office Lease between KBSIII Almaden Financial Plaza, LLC,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Landlord, and Zoom Video Communications, Inc., a Delaware corporation, as Tenant, and constitutes the further agreement between Landlord and Tenant as follows:</w:t>
      </w:r>
    </w:p>
    <w:p>
      <w:pPr>
        <w:spacing w:after="0" w:line="180" w:lineRule="exact"/>
        <w:rPr>
          <w:sz w:val="20"/>
          <w:szCs w:val="20"/>
          <w:color w:val="auto"/>
        </w:rPr>
      </w:pPr>
    </w:p>
    <w:p>
      <w:pPr>
        <w:ind w:left="4" w:firstLine="436"/>
        <w:spacing w:after="0" w:line="282" w:lineRule="auto"/>
        <w:tabs>
          <w:tab w:leader="none" w:pos="824" w:val="left"/>
        </w:tabs>
        <w:numPr>
          <w:ilvl w:val="1"/>
          <w:numId w:val="391"/>
        </w:numPr>
        <w:rPr>
          <w:rFonts w:ascii="Arial" w:cs="Arial" w:eastAsia="Arial" w:hAnsi="Arial"/>
          <w:sz w:val="16"/>
          <w:szCs w:val="16"/>
          <w:color w:val="auto"/>
        </w:rPr>
      </w:pPr>
      <w:r>
        <w:rPr>
          <w:rFonts w:ascii="Arial" w:cs="Arial" w:eastAsia="Arial" w:hAnsi="Arial"/>
          <w:sz w:val="16"/>
          <w:szCs w:val="16"/>
          <w:color w:val="auto"/>
        </w:rPr>
        <w:t>Landlord agrees to furnish or perform, at Landlord’s sole cost and expense up to the maximum amount of $352,780.00 (being $20.00 per square foot of the initial Premises (i.e., being Suite 500 only) being leased hereunder) (the “</w:t>
      </w:r>
      <w:r>
        <w:rPr>
          <w:rFonts w:ascii="Arial" w:cs="Arial" w:eastAsia="Arial" w:hAnsi="Arial"/>
          <w:sz w:val="16"/>
          <w:szCs w:val="16"/>
          <w:u w:val="single" w:color="auto"/>
          <w:color w:val="auto"/>
        </w:rPr>
        <w:t>Landlord Amount</w:t>
      </w:r>
      <w:r>
        <w:rPr>
          <w:rFonts w:ascii="Arial" w:cs="Arial" w:eastAsia="Arial" w:hAnsi="Arial"/>
          <w:sz w:val="16"/>
          <w:szCs w:val="16"/>
          <w:color w:val="auto"/>
        </w:rPr>
        <w:t>”), those items of construction and those improvements (the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as set forth on the plans mutually approved by Landlord and Tenant as shown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and incorporated herein for all purposes, using building standard materials and methods of construction. For the avoidance of doubt, the Tenant Improvements shall only be performed on the initial Premises (i.e., being Suite 500 only) being leased hereunder and in no event shall Landlord have any obligation whatsoever to perform any Tenant Improvements with respect to the Suite 600 Space. Notwithstanding anything to the contrary in this Lease, in the event that the total cost of the Tenant Improvements (the “</w:t>
      </w:r>
      <w:r>
        <w:rPr>
          <w:rFonts w:ascii="Arial" w:cs="Arial" w:eastAsia="Arial" w:hAnsi="Arial"/>
          <w:sz w:val="16"/>
          <w:szCs w:val="16"/>
          <w:u w:val="single" w:color="auto"/>
          <w:color w:val="auto"/>
        </w:rPr>
        <w:t>Cost of the Work</w:t>
      </w:r>
      <w:r>
        <w:rPr>
          <w:rFonts w:ascii="Arial" w:cs="Arial" w:eastAsia="Arial" w:hAnsi="Arial"/>
          <w:sz w:val="16"/>
          <w:szCs w:val="16"/>
          <w:color w:val="auto"/>
        </w:rPr>
        <w:t>”) exceeds the Landlord Amount (the “</w:t>
      </w:r>
      <w:r>
        <w:rPr>
          <w:rFonts w:ascii="Arial" w:cs="Arial" w:eastAsia="Arial" w:hAnsi="Arial"/>
          <w:sz w:val="16"/>
          <w:szCs w:val="16"/>
          <w:u w:val="single" w:color="auto"/>
          <w:color w:val="auto"/>
        </w:rPr>
        <w:t>Excess</w:t>
      </w:r>
      <w:r>
        <w:rPr>
          <w:rFonts w:ascii="Arial" w:cs="Arial" w:eastAsia="Arial" w:hAnsi="Arial"/>
          <w:sz w:val="16"/>
          <w:szCs w:val="16"/>
          <w:color w:val="auto"/>
        </w:rPr>
        <w:t xml:space="preserve">”), then prior to commencement of construction of the Tenant Improvements, Tenant shall forward to Landlord any such Excess. For purposes of determining the Cost of the Work, a construction management fee payable to Landlord equal to three percent (3%) of the hard and soft costs of the Tenant Improvements shall be factored into the Cost of the Work. Landlord shall obtain a written non-binding itemized estimate of the costs of all Tenant Improvements shown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as prepared by a general contractor selected by Landlord. Tenant acknowledges that any cost estimates are prepared by the general contractor and Landlord shall not be liable to Tenant for any inaccuracy in any such estimate. Within five (5) business days after receipt of the written non-binding cost estimate prepared by the general contractor, Tenant shall either (A) give its written approval thereof and authorization to proceed with construction or (B) immediately request the Landlord’s space planner to modify or revise the scope of the Tenant Improvements in any manner desired by Tenant to decrease the cost of the Tenant Improvements. If Tenant is silent during such five (5) business day period, then Tenant shall be deemed to have approved such non-binding cost estimate as set forth in Clause (A) above. If the scope of the Tenant Improvements are revised pursuant to Clause</w:t>
      </w:r>
    </w:p>
    <w:p>
      <w:pPr>
        <w:spacing w:after="0" w:line="11" w:lineRule="exact"/>
        <w:rPr>
          <w:rFonts w:ascii="Arial" w:cs="Arial" w:eastAsia="Arial" w:hAnsi="Arial"/>
          <w:sz w:val="16"/>
          <w:szCs w:val="16"/>
          <w:color w:val="auto"/>
        </w:rPr>
      </w:pPr>
    </w:p>
    <w:p>
      <w:pPr>
        <w:ind w:left="4" w:right="80" w:hanging="4"/>
        <w:spacing w:after="0" w:line="284" w:lineRule="auto"/>
        <w:tabs>
          <w:tab w:leader="none" w:pos="28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above, then Landlord shall request that the general contractor provide a revised cost estimate to Tenant based upon the revisions to the scope of the Tenant Improvements. Such modifications and revisions shall be subject to Landlord’s reasonable approval. Within ten (10) business days after receipt of the general contractor’s original written cost estimate and the description, if any, of any Tenant Delay, Tenant shall give its final approval of the general contractor bid to Landlord which shall constitute authorization to commence the construction of the Tenant Improvements in accordance with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as modified or revised. Subject to the terms and provisions of this Work Letter, Landlord shall pay the cost of the Tenant Improvements, no later than the due dates reflected in the contractor invoices, up to the amount of the Landlord Amount and notwithstanding anything herein to the contrary, in no event shall Landlord be required to spend any monies in excess of the Landlord Amount in connection with completion of the Tenant Improvements. If the amount of the lowest qualified bid to perform the Tenant Improvements exceeds the Landlord Amount, Tenant shall bear the cost of such excess and shall pay the estimated cost of such excess to Landlord prior to commencement of construction of such Tenant Improvements and a final adjusting payment based upon the actual costs of the Tenant Improvements shall be made when the Tenant Improvements are completed. If the Cost of the Work is less than the Landlord Amount, then, subject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Tenant shall not receive any credit whatsoever for the difference between the actual Cost of the Work and the Landlord Amount. All remaining amounts due to Landlord shall be paid upon the earlier of Substantial Completion of the Tenant Improvements or presentation of a written statement of the sums due, which statement may be an estimate of the cost of any component of the Tenant Improvements.</w:t>
      </w:r>
    </w:p>
    <w:p>
      <w:pPr>
        <w:spacing w:after="0" w:line="177" w:lineRule="exact"/>
        <w:rPr>
          <w:rFonts w:ascii="Arial" w:cs="Arial" w:eastAsia="Arial" w:hAnsi="Arial"/>
          <w:sz w:val="16"/>
          <w:szCs w:val="16"/>
          <w:color w:val="auto"/>
        </w:rPr>
      </w:pPr>
    </w:p>
    <w:p>
      <w:pPr>
        <w:ind w:left="4" w:right="20" w:firstLine="436"/>
        <w:spacing w:after="0" w:line="291" w:lineRule="auto"/>
        <w:tabs>
          <w:tab w:leader="none" w:pos="834" w:val="left"/>
        </w:tabs>
        <w:numPr>
          <w:ilvl w:val="1"/>
          <w:numId w:val="392"/>
        </w:numPr>
        <w:rPr>
          <w:rFonts w:ascii="Arial" w:cs="Arial" w:eastAsia="Arial" w:hAnsi="Arial"/>
          <w:sz w:val="16"/>
          <w:szCs w:val="16"/>
          <w:color w:val="auto"/>
        </w:rPr>
      </w:pPr>
      <w:r>
        <w:rPr>
          <w:rFonts w:ascii="Arial" w:cs="Arial" w:eastAsia="Arial" w:hAnsi="Arial"/>
          <w:sz w:val="16"/>
          <w:szCs w:val="16"/>
          <w:color w:val="auto"/>
        </w:rPr>
        <w:t>If Tenant shall desire any changes in the Tenant Improvements, Tenant shall so advise Landlord in writing and Landlord shall determine whether such changes can be made in a reasonable and feasible manner. Any and all costs of reviewing any requested changes, and any and all costs of making any changes to the Tenant Improvements (including a coordination fee payable to Landlord in the amount of three percent (3%) of the cost of such changes) which Tenant may request and which Landlord may agree to shall be at Tenant’s sole cost and expense and shall be paid to Landlord upon demand and before execution of the change order (provided, however, to the extent any portion of the Landlord’s Amount is then unused and available, Tenant may apply such unused amounts of the Landlord’s Amount towards such change orders). Any such change orders requested by Tenant to the scope of the Tenant Improvements shall be subject to Landlord’s prior written approval. Landlord hereby agrees that such change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4"/>
          </w:cols>
          <w:pgMar w:left="436" w:top="270" w:right="439" w:bottom="1440" w:gutter="0" w:footer="0" w:header="0"/>
        </w:sectPr>
      </w:pPr>
    </w:p>
    <w:bookmarkStart w:id="399" w:name="page400"/>
    <w:bookmarkEnd w:id="399"/>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orders (which are at Tenant’s cost and expense but subject to application of any unused portion of the Landlord’s Amount) may include a request by Tenant to repair or upgrade the air conditioning system in Suite 600 or to upgrade the access control system for the Premises; provided, however, such change orders shall be subject to Landlord’s review and reasonable approval.</w:t>
      </w:r>
    </w:p>
    <w:p>
      <w:pPr>
        <w:spacing w:after="0" w:line="184" w:lineRule="exact"/>
        <w:rPr>
          <w:sz w:val="20"/>
          <w:szCs w:val="20"/>
          <w:color w:val="auto"/>
        </w:rPr>
      </w:pPr>
    </w:p>
    <w:p>
      <w:pPr>
        <w:ind w:left="4" w:firstLine="436"/>
        <w:spacing w:after="0" w:line="287" w:lineRule="auto"/>
        <w:tabs>
          <w:tab w:leader="none" w:pos="82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Landlord shall proceed with and complete the construction of the Tenant Improvements. As soon as such improvements have been Substantially Completed, Landlord shall notify Tenant in writing of the date that the Tenant Improvements were Substantially Completed. The Tenant Improvements shall be deemed substantially completed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when, in the opinion of the Landlord’s architect (whether an employee or agent of Landlord or a third party architect) (“</w:t>
      </w:r>
      <w:r>
        <w:rPr>
          <w:rFonts w:ascii="Arial" w:cs="Arial" w:eastAsia="Arial" w:hAnsi="Arial"/>
          <w:sz w:val="16"/>
          <w:szCs w:val="16"/>
          <w:u w:val="single" w:color="auto"/>
          <w:color w:val="auto"/>
        </w:rPr>
        <w:t>Architect</w:t>
      </w:r>
      <w:r>
        <w:rPr>
          <w:rFonts w:ascii="Arial" w:cs="Arial" w:eastAsia="Arial" w:hAnsi="Arial"/>
          <w:sz w:val="16"/>
          <w:szCs w:val="16"/>
          <w:color w:val="auto"/>
        </w:rPr>
        <w:t>”), the initial Premises (i.e., the Suite 500 portion) being leased by Tenant are substantially completed except for punch list items which do not prevent in any material way the use of such Premises for the purposes for which they were intended. In the event Tenant, its employees, agents, or contractors cause construction of such Tenant Improvements to be delayed, the date of Substantial Completion shall be deemed to be the date that, in the opinion of the Architect, Substantial Completion would have occurred if such delays had not taken place. Without limiting the foregoing, Tenant shall be solely responsible for delays caused by Tenant’s request for any changes in the plans, Tenant’s request for long lead items or Tenant’s interference with the construction of the Tenant Improvements (each of the foregoing, a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Delay</w:t>
      </w:r>
      <w:r>
        <w:rPr>
          <w:rFonts w:ascii="Arial" w:cs="Arial" w:eastAsia="Arial" w:hAnsi="Arial"/>
          <w:sz w:val="16"/>
          <w:szCs w:val="16"/>
          <w:color w:val="auto"/>
        </w:rPr>
        <w:t>”), and such Tenant Delays shall not cause a deferral of the Commencement Date beyond what it otherwise would have been. After the Commencement Date Tenant shall, upon demand, execute and deliver to Landlord a letter of acceptance of delivery of the Premises. In the event of any dispute as to the Tenant Improvements, including the Commencement Date, the certificate of the Architect shall be conclusive absent manifest error.</w:t>
      </w:r>
    </w:p>
    <w:p>
      <w:pPr>
        <w:spacing w:after="0" w:line="167" w:lineRule="exact"/>
        <w:rPr>
          <w:rFonts w:ascii="Arial" w:cs="Arial" w:eastAsia="Arial" w:hAnsi="Arial"/>
          <w:sz w:val="16"/>
          <w:szCs w:val="16"/>
          <w:color w:val="auto"/>
        </w:rPr>
      </w:pPr>
    </w:p>
    <w:p>
      <w:pPr>
        <w:ind w:left="4" w:firstLine="436"/>
        <w:spacing w:after="0" w:line="263" w:lineRule="auto"/>
        <w:tabs>
          <w:tab w:leader="none" w:pos="831"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failure of Tenant to take possession of or to occupy the Premises shall not serve to relieve Tenant of obligations arising on the Commencement Date or delay the payment of Rent by Tenant. Delay in putting Tenant in possession of the Premises shall not serve to extend the Lease Term of this Lease or to make Landlord liable for any damages arising therefrom.</w:t>
      </w:r>
    </w:p>
    <w:p>
      <w:pPr>
        <w:spacing w:after="0" w:line="183" w:lineRule="exact"/>
        <w:rPr>
          <w:rFonts w:ascii="Arial" w:cs="Arial" w:eastAsia="Arial" w:hAnsi="Arial"/>
          <w:sz w:val="18"/>
          <w:szCs w:val="18"/>
          <w:color w:val="auto"/>
        </w:rPr>
      </w:pPr>
    </w:p>
    <w:p>
      <w:pPr>
        <w:ind w:left="4" w:right="240" w:firstLine="436"/>
        <w:spacing w:after="0" w:line="342" w:lineRule="auto"/>
        <w:tabs>
          <w:tab w:leader="none" w:pos="82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Except for incomplete punch list items, Tenant upon the Commencement Date shall have and hold the Premises as the same shall then be without any liability or obligation on the part of Landlord for making any further alterations or improvements of any kind in or about the Premises.</w:t>
      </w:r>
    </w:p>
    <w:p>
      <w:pPr>
        <w:spacing w:after="0" w:line="123" w:lineRule="exact"/>
        <w:rPr>
          <w:rFonts w:ascii="Arial" w:cs="Arial" w:eastAsia="Arial" w:hAnsi="Arial"/>
          <w:sz w:val="16"/>
          <w:szCs w:val="16"/>
          <w:color w:val="auto"/>
        </w:rPr>
      </w:pPr>
    </w:p>
    <w:p>
      <w:pPr>
        <w:ind w:left="4" w:firstLine="436"/>
        <w:spacing w:after="0" w:line="283" w:lineRule="auto"/>
        <w:tabs>
          <w:tab w:leader="none" w:pos="804"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Under Budget Amounts</w:t>
      </w:r>
      <w:r>
        <w:rPr>
          <w:rFonts w:ascii="Arial" w:cs="Arial" w:eastAsia="Arial" w:hAnsi="Arial"/>
          <w:sz w:val="16"/>
          <w:szCs w:val="16"/>
          <w:color w:val="auto"/>
        </w:rPr>
        <w:t>. Notwithstanding anything herein to the contrary, if the total Cost of the Work is less than the Landlord Amount (the difference between the Cost of the Work and the Landlord Amount being referred to herein as the “</w:t>
      </w:r>
      <w:r>
        <w:rPr>
          <w:rFonts w:ascii="Arial" w:cs="Arial" w:eastAsia="Arial" w:hAnsi="Arial"/>
          <w:sz w:val="16"/>
          <w:szCs w:val="16"/>
          <w:u w:val="single" w:color="auto"/>
          <w:color w:val="auto"/>
        </w:rPr>
        <w:t>Under Budget Amount</w:t>
      </w:r>
      <w:r>
        <w:rPr>
          <w:rFonts w:ascii="Arial" w:cs="Arial" w:eastAsia="Arial" w:hAnsi="Arial"/>
          <w:sz w:val="16"/>
          <w:szCs w:val="16"/>
          <w:color w:val="auto"/>
        </w:rPr>
        <w:t xml:space="preserve">”), then Landlord agrees that, upon Tenant’s written request and subject to the further terms of this </w:t>
      </w:r>
      <w:r>
        <w:rPr>
          <w:rFonts w:ascii="Arial" w:cs="Arial" w:eastAsia="Arial" w:hAnsi="Arial"/>
          <w:sz w:val="16"/>
          <w:szCs w:val="16"/>
          <w:u w:val="single" w:color="auto"/>
          <w:color w:val="auto"/>
        </w:rPr>
        <w:t>Paragraph (f)</w:t>
      </w:r>
      <w:r>
        <w:rPr>
          <w:rFonts w:ascii="Arial" w:cs="Arial" w:eastAsia="Arial" w:hAnsi="Arial"/>
          <w:sz w:val="16"/>
          <w:szCs w:val="16"/>
          <w:color w:val="auto"/>
        </w:rPr>
        <w:t>, Tenant shall have the right to have up to (but not to exceed) $88,195.00 out of such Under Budget Amount disbursed to Tenant as a reimbursement of the actual out-of-pocket expenses paid by Tenant to third parties in connection with Tenant’s move to the Premises, including space planning and design, built-in and movable furniture and the installation of Tenant’s wiring and cabling in the Premises (the “</w:t>
      </w:r>
      <w:r>
        <w:rPr>
          <w:rFonts w:ascii="Arial" w:cs="Arial" w:eastAsia="Arial" w:hAnsi="Arial"/>
          <w:sz w:val="16"/>
          <w:szCs w:val="16"/>
          <w:u w:val="single" w:color="auto"/>
          <w:color w:val="auto"/>
        </w:rPr>
        <w:t>Moving Reimbursement</w:t>
      </w:r>
      <w:r>
        <w:rPr>
          <w:rFonts w:ascii="Arial" w:cs="Arial" w:eastAsia="Arial" w:hAnsi="Arial"/>
          <w:sz w:val="16"/>
          <w:szCs w:val="16"/>
          <w:color w:val="auto"/>
        </w:rPr>
        <w:t>”); provided, however, in no event shall (x) the total amount advanced by Landlord to Tenant for the Moving Reimbursement exceed the lesser of the amount of the Under Budget Amount or $88,195.00, and (y) the amount advanced by Landlord for the Cost of the Work and/or the Moving Reimbursement exceed the Landlord Amount. In the event Tenant desires any such reimbursement, Tenant shall notify Landlord of the amounts that Tenant wants reimbursed (which such request shall include actual copies of paid invoices reflecting amounts Tenant desires to have reimbursed) within sixty (60) days following the Commencement Date, and, notwithstanding anything herein to the contrary, if Tenant fails to so notify Landlord in writing of such amounts Tenant desires to have reimbursed within said sixty</w:t>
      </w:r>
    </w:p>
    <w:p>
      <w:pPr>
        <w:spacing w:after="0" w:line="3" w:lineRule="exact"/>
        <w:rPr>
          <w:rFonts w:ascii="Arial" w:cs="Arial" w:eastAsia="Arial" w:hAnsi="Arial"/>
          <w:sz w:val="16"/>
          <w:szCs w:val="16"/>
          <w:color w:val="auto"/>
        </w:rPr>
      </w:pPr>
    </w:p>
    <w:p>
      <w:pPr>
        <w:ind w:left="4" w:right="160" w:hanging="4"/>
        <w:spacing w:after="0" w:line="260" w:lineRule="auto"/>
        <w:tabs>
          <w:tab w:leader="none" w:pos="34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day period, Tenant shall not be entitled to any such reimbursement and all such Under Budget Amount shall belong to Landlord and Tenant shall have no rights thereto.</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24"/>
          </w:cols>
          <w:pgMar w:left="436" w:top="274" w:right="5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174625</wp:posOffset>
            </wp:positionV>
            <wp:extent cx="5332095" cy="26574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33209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019"/>
          </w:cols>
          <w:pgMar w:left="1440" w:top="270" w:right="1440" w:bottom="1440" w:gutter="0" w:footer="0" w:header="0"/>
        </w:sectPr>
      </w:pPr>
    </w:p>
    <w:bookmarkStart w:id="401" w:name="page402"/>
    <w:bookmarkEnd w:id="4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262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B-1-2</w:t>
      </w:r>
    </w:p>
    <w:p>
      <w:pPr>
        <w:sectPr>
          <w:pgSz w:w="11900" w:h="16838" w:orient="portrait"/>
          <w:cols w:equalWidth="0" w:num="1">
            <w:col w:w="9019"/>
          </w:cols>
          <w:pgMar w:left="1440" w:top="1440" w:right="1440"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STANDARDS FOR UTILITIES AND SERVICES</w:t>
      </w:r>
    </w:p>
    <w:p>
      <w:pPr>
        <w:spacing w:after="0" w:line="21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following are the Project Standards for Utilities and Services. Landlord reserves the right to adopt such reasonable, nondiscriminatory modifications and additions hereto as it deems appropriate.</w:t>
      </w:r>
    </w:p>
    <w:p>
      <w:pPr>
        <w:spacing w:after="0" w:line="170" w:lineRule="exact"/>
        <w:rPr>
          <w:sz w:val="20"/>
          <w:szCs w:val="20"/>
          <w:color w:val="auto"/>
        </w:rPr>
      </w:pPr>
    </w:p>
    <w:p>
      <w:pPr>
        <w:ind w:right="440" w:firstLine="436"/>
        <w:spacing w:after="0" w:line="277" w:lineRule="auto"/>
        <w:tabs>
          <w:tab w:leader="none" w:pos="7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As long as Tenant is not in default under any of the terms, covenants, conditions, provisions or agreements of this Lease, Landlord shall, subject to the limitations and provisions hereinafter set forth in this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243"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Provide automatic elevator facilities on Monday through Friday from 8:00 A.M. to 7:00 P.M., excepting state and federal holidays (hereinafter referred to as “</w:t>
      </w:r>
      <w:r>
        <w:rPr>
          <w:rFonts w:ascii="Arial" w:cs="Arial" w:eastAsia="Arial" w:hAnsi="Arial"/>
          <w:sz w:val="18"/>
          <w:szCs w:val="18"/>
          <w:u w:val="single" w:color="auto"/>
          <w:color w:val="auto"/>
        </w:rPr>
        <w:t>Business Hours</w:t>
      </w:r>
      <w:r>
        <w:rPr>
          <w:rFonts w:ascii="Arial" w:cs="Arial" w:eastAsia="Arial" w:hAnsi="Arial"/>
          <w:sz w:val="18"/>
          <w:szCs w:val="18"/>
          <w:color w:val="auto"/>
        </w:rPr>
        <w:t>”), and provide one (1) automatic elevator at all other times.</w:t>
      </w:r>
    </w:p>
    <w:p>
      <w:pPr>
        <w:spacing w:after="0" w:line="62" w:lineRule="exact"/>
        <w:rPr>
          <w:rFonts w:ascii="Arial" w:cs="Arial" w:eastAsia="Arial" w:hAnsi="Arial"/>
          <w:sz w:val="18"/>
          <w:szCs w:val="18"/>
          <w:color w:val="auto"/>
        </w:rPr>
      </w:pPr>
    </w:p>
    <w:p>
      <w:pPr>
        <w:ind w:left="440" w:right="60" w:firstLine="419"/>
        <w:spacing w:after="0" w:line="255" w:lineRule="auto"/>
        <w:tabs>
          <w:tab w:leader="none" w:pos="1253"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Provide to the Premises, during Business Hours (and at other times for an additional charge to be fixed by Landlord), heating, ventilation, and air conditioning (HVAC), when and to the extent, in the judgment of Landlord, any of such services may be required for the comfortable occupancy of the Premises for general office purposes. Landlord shall not be responsible for room temperatures and conditions in the Premises if the lighting and receptacle load for Tenant’s equipment and fixtures exceed those listed in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hereof, if the Premises are used for other than general office purposes or if the Building standard blinds or curtains in the Premises are not closed so as to screen the sun’s rays.</w:t>
      </w:r>
    </w:p>
    <w:p>
      <w:pPr>
        <w:spacing w:after="0" w:line="84" w:lineRule="exact"/>
        <w:rPr>
          <w:rFonts w:ascii="Arial" w:cs="Arial" w:eastAsia="Arial" w:hAnsi="Arial"/>
          <w:sz w:val="18"/>
          <w:szCs w:val="18"/>
          <w:color w:val="auto"/>
        </w:rPr>
      </w:pPr>
    </w:p>
    <w:p>
      <w:pPr>
        <w:ind w:left="440" w:right="120" w:firstLine="419"/>
        <w:spacing w:after="0" w:line="311" w:lineRule="auto"/>
        <w:tabs>
          <w:tab w:leader="none" w:pos="1243" w:val="left"/>
        </w:tabs>
        <w:numPr>
          <w:ilvl w:val="1"/>
          <w:numId w:val="395"/>
        </w:numPr>
        <w:rPr>
          <w:rFonts w:ascii="Arial" w:cs="Arial" w:eastAsia="Arial" w:hAnsi="Arial"/>
          <w:sz w:val="16"/>
          <w:szCs w:val="16"/>
          <w:color w:val="auto"/>
        </w:rPr>
      </w:pPr>
      <w:r>
        <w:rPr>
          <w:rFonts w:ascii="Arial" w:cs="Arial" w:eastAsia="Arial" w:hAnsi="Arial"/>
          <w:sz w:val="16"/>
          <w:szCs w:val="16"/>
          <w:color w:val="auto"/>
        </w:rPr>
        <w:t>Furnish to the Premises, during Business Hours, electric current for routine lighting and the operation of general office machines such as typewriters, dictating equipment, desk model adding machines, and the like, which use 110 volt electric power, not to exceed the reasonable capacity of Building standard office lighting and receptacles, and not in excess of limits imposed or recommended by governmental authority.</w:t>
      </w:r>
    </w:p>
    <w:p>
      <w:pPr>
        <w:spacing w:after="0" w:line="40" w:lineRule="exact"/>
        <w:rPr>
          <w:rFonts w:ascii="Arial" w:cs="Arial" w:eastAsia="Arial" w:hAnsi="Arial"/>
          <w:sz w:val="16"/>
          <w:szCs w:val="16"/>
          <w:color w:val="auto"/>
        </w:rPr>
      </w:pPr>
    </w:p>
    <w:p>
      <w:pPr>
        <w:ind w:left="440" w:right="100" w:firstLine="419"/>
        <w:spacing w:after="0" w:line="259" w:lineRule="auto"/>
        <w:tabs>
          <w:tab w:leader="none" w:pos="1253"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Provide janitorial services to the Premises Monday through Friday (except state and federal holidays), provided the same are used exclusively for the uses permitted under the foregoing Lease, and are kept reasonably in order by Tenant. Tenant shall pay to Landlord the cost of removal of any of Tenant’s refuse and rubbish, to the extent that the same exceeds the refuse and rubbish which generally would be produced by the use of the Premises for general office purposes.</w:t>
      </w:r>
    </w:p>
    <w:p>
      <w:pPr>
        <w:spacing w:after="0" w:line="186" w:lineRule="exact"/>
        <w:rPr>
          <w:rFonts w:ascii="Arial" w:cs="Arial" w:eastAsia="Arial" w:hAnsi="Arial"/>
          <w:sz w:val="18"/>
          <w:szCs w:val="18"/>
          <w:color w:val="auto"/>
        </w:rPr>
      </w:pPr>
    </w:p>
    <w:p>
      <w:pPr>
        <w:ind w:right="180" w:firstLine="436"/>
        <w:spacing w:after="0" w:line="257" w:lineRule="auto"/>
        <w:tabs>
          <w:tab w:leader="none" w:pos="7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data processing equipment, other special electrical equipment (excluding personal computers utilizing 110 volt electric power), air conditioning or heating units, or plumbing additions shall be installed, nor shall any changes to the Building HVAC, electrical or plumbing systems be made without the prior written consent of Landlord, which consent shall be subject to Landlord’s sole and absolute discretion. In the case of any such change, Landlord reserves the right to designate and/or approve the contractor to be used. Any permitted installations shall be made under Landlord’s supervision.</w:t>
      </w:r>
    </w:p>
    <w:p>
      <w:pPr>
        <w:spacing w:after="0" w:line="187" w:lineRule="exact"/>
        <w:rPr>
          <w:rFonts w:ascii="Arial" w:cs="Arial" w:eastAsia="Arial" w:hAnsi="Arial"/>
          <w:sz w:val="18"/>
          <w:szCs w:val="18"/>
          <w:color w:val="auto"/>
        </w:rPr>
      </w:pPr>
    </w:p>
    <w:p>
      <w:pPr>
        <w:ind w:right="280" w:firstLine="436"/>
        <w:spacing w:after="0" w:line="277" w:lineRule="auto"/>
        <w:tabs>
          <w:tab w:leader="none" w:pos="7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Landlord shall not provide reception outlets or television or radio antennas for television or radio broadcast reception, and Tenant shall not install any such equipment without prior written approval from Landlord.</w:t>
      </w:r>
    </w:p>
    <w:p>
      <w:pPr>
        <w:spacing w:after="0" w:line="170" w:lineRule="exact"/>
        <w:rPr>
          <w:rFonts w:ascii="Arial" w:cs="Arial" w:eastAsia="Arial" w:hAnsi="Arial"/>
          <w:sz w:val="18"/>
          <w:szCs w:val="18"/>
          <w:color w:val="auto"/>
        </w:rPr>
      </w:pPr>
    </w:p>
    <w:p>
      <w:pPr>
        <w:ind w:firstLine="436"/>
        <w:spacing w:after="0" w:line="257" w:lineRule="auto"/>
        <w:tabs>
          <w:tab w:leader="none" w:pos="7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Tenant will not, without the prior written consent of Landlord, use any apparatus, machine or device in the Premises, including, without limitation, duplicating machines, electronic data processing machines, punch card machines and machines using current in excess of 110 volts, which will in any way increase the amount of electricity or water usually furnished or supplied for use of the Premises as general office space, nor connect with electric current, except through existing electrical outlets in the Premises, any apparatus or device for the purpose of using electric current in excess of that usually furnished or supplied for use of the Premises as general office space.</w:t>
      </w:r>
    </w:p>
    <w:p>
      <w:pPr>
        <w:spacing w:after="0" w:line="187" w:lineRule="exact"/>
        <w:rPr>
          <w:rFonts w:ascii="Arial" w:cs="Arial" w:eastAsia="Arial" w:hAnsi="Arial"/>
          <w:sz w:val="18"/>
          <w:szCs w:val="18"/>
          <w:color w:val="auto"/>
        </w:rPr>
      </w:pPr>
    </w:p>
    <w:p>
      <w:pPr>
        <w:ind w:right="20" w:firstLine="436"/>
        <w:spacing w:after="0" w:line="301" w:lineRule="auto"/>
        <w:tabs>
          <w:tab w:leader="none" w:pos="75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Tenant agrees to cooperate fully at all times with Landlord, and to abide by all regulations and requirements which Landlord may prescribe for the proper functioning and protection of the Building HVAC, electrical, plumbing and other systems. Tenant shall comply with all laws, statutes, ordinances and governmental rules and regulations now in force or which may hereafter be enacted or promulgated in connection with Building services furnished to the Premises, including, without limitation, any governmental rule or regulation relating to the heating and cooling of the Building.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0"/>
          </w:cols>
          <w:pgMar w:left="440" w:top="270" w:right="45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11" w:lineRule="exact"/>
        <w:rPr>
          <w:sz w:val="20"/>
          <w:szCs w:val="20"/>
          <w:color w:val="auto"/>
        </w:rPr>
      </w:pPr>
    </w:p>
    <w:p>
      <w:pPr>
        <w:ind w:right="120" w:firstLine="436"/>
        <w:spacing w:after="0" w:line="291" w:lineRule="auto"/>
        <w:tabs>
          <w:tab w:leader="none" w:pos="75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sidewalks, entrances, passages, courts, elevators, vestibules, stairways and corridors of halls shall not be obstructed or used for any purpose other than ingress and egress. The halls, passages, entrances, elevators, stairways, balconies and roof are not for the use of the general public, and the Landlord shall in all cases retain the right to control and prevent access thereto of all persons whose presence, in the judgment of the Landlord, shall be prejudicial to the safety, character, reputation and interests of the Building and its tenants, provided that nothing herein contained shall be construed to prevent such access to persons with whom the Tenant normally deals only for the purpose of conducting its business in the Premises (such as clients, customers, office suppliers and equipment vendors, and the like) unless such persons are engaged in illegal activities. No tenant and no employees of any tenant shall go upon the roof of the Building without the written consent of Landlord.</w:t>
      </w:r>
    </w:p>
    <w:p>
      <w:pPr>
        <w:spacing w:after="0" w:line="166" w:lineRule="exact"/>
        <w:rPr>
          <w:rFonts w:ascii="Arial" w:cs="Arial" w:eastAsia="Arial" w:hAnsi="Arial"/>
          <w:sz w:val="16"/>
          <w:szCs w:val="16"/>
          <w:color w:val="auto"/>
        </w:rPr>
      </w:pPr>
    </w:p>
    <w:p>
      <w:pPr>
        <w:ind w:right="80" w:firstLine="436"/>
        <w:spacing w:after="0" w:line="301" w:lineRule="auto"/>
        <w:tabs>
          <w:tab w:leader="none" w:pos="75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No awnings or other projections shall be attached to the outside walls of the Building. No curtains, blinds, shades or screens shall be attached to or hung in, or used in connection with, any window or door of the Premises other than Landlord standard window coverings. All electrical ceiling fixtures hung in offices or spaces along the perimeter of the Building must be fluorescent, of a quality, type, design and bulb color approved by Landlord. Neither the interior nor the exterior of any windows shall be coated or otherwise sunscreened without the written consent of Landlord.</w:t>
      </w:r>
    </w:p>
    <w:p>
      <w:pPr>
        <w:spacing w:after="0" w:line="157" w:lineRule="exact"/>
        <w:rPr>
          <w:rFonts w:ascii="Arial" w:cs="Arial" w:eastAsia="Arial" w:hAnsi="Arial"/>
          <w:sz w:val="16"/>
          <w:szCs w:val="16"/>
          <w:color w:val="auto"/>
        </w:rPr>
      </w:pPr>
    </w:p>
    <w:p>
      <w:pPr>
        <w:ind w:firstLine="436"/>
        <w:spacing w:after="0" w:line="269" w:lineRule="auto"/>
        <w:tabs>
          <w:tab w:leader="none" w:pos="755"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No sign, advertisement, notice or handbill shall be exhibited, distributed, painted or affixed by any tenant on, about or from any part of the Premises, the Building or the Project without the prior written consent of the Landlord. If the Landlord shall have given such consent at the time, whether before or after the execution of this Lease, such consent shall in no way operate as a waiver or release of any of the provisions hereof or of this Lease, and shall be deemed to relate only to the particular sign, advertisement or notice so consented to by the Landlord and shall not be construed as dispensing with the necessity of obtaining the specific written consent of the Landlord with respect to each and every such sign, advertisement or notice other than the particular sign, advertisement or notice, as the case may be, so consented to by the Landlord. In the event of the violation of the foregoing by any tenant, Landlord may remove or stop same without any liability, and may charge the expense incurred in such removal or stopping to such tenant. Interior signs on doors and the directory tablet shall be inscribed, painted or affixed for each tenant by the Landlord at the expense of such tenant, and shall be of a size, color and style acceptable to the Landlord. The directory tablet will be provided exclusively for the display of the name and location of tenants only and Landlord reserves the right to exclude any other names therefrom. Nothing may be placed on the exterior of corridor walls or corridor doors other than Landlord’s standard lettering.</w:t>
      </w:r>
    </w:p>
    <w:p>
      <w:pPr>
        <w:spacing w:after="0" w:line="181" w:lineRule="exact"/>
        <w:rPr>
          <w:rFonts w:ascii="Arial" w:cs="Arial" w:eastAsia="Arial" w:hAnsi="Arial"/>
          <w:sz w:val="17"/>
          <w:szCs w:val="17"/>
          <w:color w:val="auto"/>
        </w:rPr>
      </w:pPr>
    </w:p>
    <w:p>
      <w:pPr>
        <w:ind w:right="140" w:firstLine="436"/>
        <w:spacing w:after="0" w:line="291" w:lineRule="auto"/>
        <w:tabs>
          <w:tab w:leader="none" w:pos="75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sashes, sash doors, skylights, windows, and doors that reflect or admit light and air into halls, passageways or other public places in the Building shall not be covered or obstructed by any tenant, nor shall any bottles, parcels or other articles be placed on the window sills. Tenant shall see that the windows, transoms and doors of the Premises are closed and securely locked before leaving the Building and must observe strict care not to leave windows open when it rains. Tenant shall exercise extraordinary care and caution that all water faucets or water apparatus are entirely shut off before Tenant or Tenant’s employees leave the Building, and that all electricity, gas or air shall likewise be carefully shut off, so as to prevent waste or damage. Tenant shall cooperate with Landlord in obtaining maximum effectiveness of the cooling system by closing window coverings when the sun’s rays fall directly on the windows of the Premises. Tenant shall not tamper with or change the setting of any thermostats or temperature control valves.</w:t>
      </w:r>
    </w:p>
    <w:p>
      <w:pPr>
        <w:spacing w:after="0" w:line="166" w:lineRule="exact"/>
        <w:rPr>
          <w:rFonts w:ascii="Arial" w:cs="Arial" w:eastAsia="Arial" w:hAnsi="Arial"/>
          <w:sz w:val="16"/>
          <w:szCs w:val="16"/>
          <w:color w:val="auto"/>
        </w:rPr>
      </w:pPr>
    </w:p>
    <w:p>
      <w:pPr>
        <w:jc w:val="both"/>
        <w:ind w:right="140" w:firstLine="436"/>
        <w:spacing w:after="0" w:line="311" w:lineRule="auto"/>
        <w:tabs>
          <w:tab w:leader="none" w:pos="75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toilet rooms, water and wash closets and other plumbing fixtures shall not be used for any purpose other than those for which they were considered, and no sweepings, rubbish, rags or other substances shall be thrown therein. All damages resulting from any misuse of the fixtures shall be borne by the tenant who, or whose subtenants, assignees or any of their servants, employees, agents, visitors or licensees shall have caused the same.</w:t>
      </w:r>
    </w:p>
    <w:p>
      <w:pPr>
        <w:spacing w:after="0" w:line="148" w:lineRule="exact"/>
        <w:rPr>
          <w:rFonts w:ascii="Arial" w:cs="Arial" w:eastAsia="Arial" w:hAnsi="Arial"/>
          <w:sz w:val="16"/>
          <w:szCs w:val="16"/>
          <w:color w:val="auto"/>
        </w:rPr>
      </w:pPr>
    </w:p>
    <w:p>
      <w:pPr>
        <w:ind w:right="140" w:firstLine="436"/>
        <w:spacing w:after="0" w:line="263" w:lineRule="auto"/>
        <w:tabs>
          <w:tab w:leader="none" w:pos="75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tenant shall mark, paint, drill into, or in any way deface any part of the Premises, the Building or the Project. No boring, cutting or stringing of wires or laying of linoleum or other similar floor coverings shall be permitted, except with the prior written consent of the Landlord and as the Landlord may direct.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0"/>
          </w:cols>
          <w:pgMar w:left="440" w:top="270" w:right="459" w:bottom="1440" w:gutter="0" w:footer="0" w:header="0"/>
        </w:sectPr>
      </w:pPr>
    </w:p>
    <w:bookmarkStart w:id="404" w:name="page405"/>
    <w:bookmarkEnd w:id="404"/>
    <w:p>
      <w:pPr>
        <w:ind w:left="-20" w:right="260" w:firstLine="436"/>
        <w:spacing w:after="0" w:line="275" w:lineRule="auto"/>
        <w:tabs>
          <w:tab w:leader="none" w:pos="735" w:val="left"/>
        </w:tabs>
        <w:numPr>
          <w:ilvl w:val="0"/>
          <w:numId w:val="3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bicycles, vehicles, birds or animals of any kind shall be brought into or kept in or about the Premises, and no cooking shall be done or permitted by any tenant on the Premises, except that the preparation of coffee, tea, hot chocolate and similar items (including those suitable for microwave heating) for tenants and their employees shall be permitted, provided that the power required therefor shall not exceed that amount which can be provided by a 30 amp circuit. No tenant shall cause or permit any unusual or objectionable odors to be produced or permeate the Premises. Smoking or carrying lighted cigars, cigarettes or pipes in the Building is prohibited.</w:t>
      </w:r>
    </w:p>
    <w:p>
      <w:pPr>
        <w:spacing w:after="0" w:line="176" w:lineRule="exact"/>
        <w:rPr>
          <w:rFonts w:ascii="Arial" w:cs="Arial" w:eastAsia="Arial" w:hAnsi="Arial"/>
          <w:sz w:val="17"/>
          <w:szCs w:val="17"/>
          <w:color w:val="auto"/>
        </w:rPr>
      </w:pPr>
    </w:p>
    <w:p>
      <w:pPr>
        <w:ind w:left="-20" w:firstLine="436"/>
        <w:spacing w:after="0" w:line="273" w:lineRule="auto"/>
        <w:tabs>
          <w:tab w:leader="none" w:pos="73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Premises shall not be used for manufacturing or for the storage of merchandise except as such storage may be incidental to the permitted use of the Premises. No tenant shall occupy or permit any portion of the Premises to be occupied as an office for a public stenographer or typist, or for the manufacture or sale of liquor, narcotics, or tobacco (except by a cigarette vending machine for use by Tenant’s employees) in any form, or as a medical office, or as a barber or manicure shop, or as an employment bureau, without the express written consent of Landlord. No tenant shall engage or pay any employees on the Premises except those actually working for such tenant on the Premises nor advertise for laborers giving an address at the Premises. The Premises shall not be used for lodging or sleeping or for any immoral or illegal purposes.</w:t>
      </w:r>
    </w:p>
    <w:p>
      <w:pPr>
        <w:spacing w:after="0" w:line="177" w:lineRule="exact"/>
        <w:rPr>
          <w:rFonts w:ascii="Arial" w:cs="Arial" w:eastAsia="Arial" w:hAnsi="Arial"/>
          <w:sz w:val="17"/>
          <w:szCs w:val="17"/>
          <w:color w:val="auto"/>
        </w:rPr>
      </w:pPr>
    </w:p>
    <w:p>
      <w:pPr>
        <w:jc w:val="both"/>
        <w:ind w:left="-20" w:right="280" w:firstLine="436"/>
        <w:spacing w:after="0" w:line="286" w:lineRule="auto"/>
        <w:tabs>
          <w:tab w:leader="none" w:pos="73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No tenant shall make, or permit to be made any unseemly or disturbing noises or disturb or interfere with occupants of this or neighboring buildings or premises or those having business with them, whether by the use of any musical instrument, radio, phonograph, unusual noise, or in any other way. No tenant shall throw anything out of doors, windows or skylights or down the passageways.</w:t>
      </w:r>
    </w:p>
    <w:p>
      <w:pPr>
        <w:spacing w:after="0" w:line="165" w:lineRule="exact"/>
        <w:rPr>
          <w:rFonts w:ascii="Arial" w:cs="Arial" w:eastAsia="Arial" w:hAnsi="Arial"/>
          <w:sz w:val="17"/>
          <w:szCs w:val="17"/>
          <w:color w:val="auto"/>
        </w:rPr>
      </w:pPr>
    </w:p>
    <w:p>
      <w:pPr>
        <w:ind w:left="-20" w:right="200" w:firstLine="436"/>
        <w:spacing w:after="0" w:line="277" w:lineRule="auto"/>
        <w:tabs>
          <w:tab w:leader="none" w:pos="82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 tenant, subtenant or assignee nor any of their servants, employees, agents, visitors or licensees shall at any time bring or keep upon the Premises any flammable, combustible or explosive fluid, chemical or substance.</w:t>
      </w:r>
    </w:p>
    <w:p>
      <w:pPr>
        <w:spacing w:after="0" w:line="170" w:lineRule="exact"/>
        <w:rPr>
          <w:rFonts w:ascii="Arial" w:cs="Arial" w:eastAsia="Arial" w:hAnsi="Arial"/>
          <w:sz w:val="18"/>
          <w:szCs w:val="18"/>
          <w:color w:val="auto"/>
        </w:rPr>
      </w:pPr>
    </w:p>
    <w:p>
      <w:pPr>
        <w:ind w:left="-20" w:right="20" w:firstLine="436"/>
        <w:spacing w:after="0" w:line="301" w:lineRule="auto"/>
        <w:tabs>
          <w:tab w:leader="none" w:pos="819" w:val="left"/>
        </w:tabs>
        <w:numPr>
          <w:ilvl w:val="0"/>
          <w:numId w:val="397"/>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by any tenant, nor shall any changes be made in existing locks or the mechanisms thereof. Each tenant must, upon the termination of his tenancy, restore to Landlord all keys of stores, offices, and toilet rooms, either furnished to, or otherwise procured by, such tenant and in the event of the loss of keys so furnished, such tenant shall pay to Landlord the cost of replacing the same or of changing the lock or locks opened by such lost key if Landlord shall deem it necessary to make such changes.</w:t>
      </w:r>
    </w:p>
    <w:p>
      <w:pPr>
        <w:spacing w:after="0" w:line="157" w:lineRule="exact"/>
        <w:rPr>
          <w:rFonts w:ascii="Arial" w:cs="Arial" w:eastAsia="Arial" w:hAnsi="Arial"/>
          <w:sz w:val="16"/>
          <w:szCs w:val="16"/>
          <w:color w:val="auto"/>
        </w:rPr>
      </w:pPr>
    </w:p>
    <w:p>
      <w:pPr>
        <w:ind w:left="-20" w:firstLine="436"/>
        <w:spacing w:after="0" w:line="254" w:lineRule="auto"/>
        <w:tabs>
          <w:tab w:leader="none" w:pos="81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All removals, or the carrying in or out of any safes, freight, furniture, or bulky matter of any description must take place during the hours which Landlord shall determine from time to time, without the express written consent of Landlord. The moving of safes or other fixtures or bulky matter of any kind must be done upon previous notice to the Project Management Office and under its supervision, and the persons employed by any tenant for such work must be acceptable to the Landlord, Landlord reserves the right to inspect all safes, freight or other bulky articles to be brought into the Building and to exclude from the Building all safes, freight or other bulky articles which violate any of these Rules and Regulations or the Lease of which these Rules and Regulations are a part. Landlord reserves the right to prescribe the weight and position of all safes, which must be placed upon supports approved by Landlord to distribute the weight.</w:t>
      </w:r>
    </w:p>
    <w:p>
      <w:pPr>
        <w:spacing w:after="0" w:line="194" w:lineRule="exact"/>
        <w:rPr>
          <w:rFonts w:ascii="Arial" w:cs="Arial" w:eastAsia="Arial" w:hAnsi="Arial"/>
          <w:sz w:val="18"/>
          <w:szCs w:val="18"/>
          <w:color w:val="auto"/>
        </w:rPr>
      </w:pPr>
    </w:p>
    <w:p>
      <w:pPr>
        <w:ind w:left="-20" w:right="160" w:firstLine="436"/>
        <w:spacing w:after="0" w:line="277" w:lineRule="auto"/>
        <w:tabs>
          <w:tab w:leader="none" w:pos="82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 tenant shall purchase spring water, ice, towel, janitorial maintenance or other similar services from any person or persons not approved by Landlord.</w:t>
      </w:r>
    </w:p>
    <w:p>
      <w:pPr>
        <w:spacing w:after="0" w:line="170" w:lineRule="exact"/>
        <w:rPr>
          <w:rFonts w:ascii="Arial" w:cs="Arial" w:eastAsia="Arial" w:hAnsi="Arial"/>
          <w:sz w:val="18"/>
          <w:szCs w:val="18"/>
          <w:color w:val="auto"/>
        </w:rPr>
      </w:pPr>
    </w:p>
    <w:p>
      <w:pPr>
        <w:ind w:left="-20" w:right="100" w:firstLine="436"/>
        <w:spacing w:after="0" w:line="263" w:lineRule="auto"/>
        <w:tabs>
          <w:tab w:leader="none" w:pos="82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by any tenant which, in Landlord’s opinion, tends to impair the reputation of the Building or the Project or its desirability as an office location, and upon written notice from Landlord, any tenant shall refrain from or discontinue such advertising.</w:t>
      </w:r>
    </w:p>
    <w:p>
      <w:pPr>
        <w:spacing w:after="0" w:line="183" w:lineRule="exact"/>
        <w:rPr>
          <w:rFonts w:ascii="Arial" w:cs="Arial" w:eastAsia="Arial" w:hAnsi="Arial"/>
          <w:sz w:val="18"/>
          <w:szCs w:val="18"/>
          <w:color w:val="auto"/>
        </w:rPr>
      </w:pPr>
    </w:p>
    <w:p>
      <w:pPr>
        <w:ind w:left="-20" w:right="20" w:firstLine="436"/>
        <w:spacing w:after="0" w:line="272" w:lineRule="auto"/>
        <w:tabs>
          <w:tab w:leader="none" w:pos="82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between the hours of 6:00 P.M. and 7:00 A.M. and at all hours on Saturday, Sunday and legal holidays all persons who do not present a pass or card key to the Building approved by the Landlord. Each tenant shall be responsible for all persons who enter the Building with or at the invitation of such tenant and shall be liable to Landlord for all acts of such persons. Landlord shall in no case be liable for damages for any error with regard to the admission to or exclusion from the Building of any person. In case of an invasion, mob riot, public excitement or other circumstances rendering such action advisable in Landlord’s opinion, Landlord reserves the right, without abatement of Rent, to require all persons to vacate the Building and to prevent access to the Building during the continuance of the same for the safety of the tenants, the protection of the Building, and the property in the Building.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60"/>
          </w:cols>
          <w:pgMar w:left="460" w:top="274" w:right="479" w:bottom="1440" w:gutter="0" w:footer="0" w:header="0"/>
        </w:sectPr>
      </w:pPr>
    </w:p>
    <w:bookmarkStart w:id="405" w:name="page406"/>
    <w:bookmarkEnd w:id="405"/>
    <w:p>
      <w:pPr>
        <w:ind w:right="220" w:firstLine="436"/>
        <w:spacing w:after="0" w:line="263" w:lineRule="auto"/>
        <w:tabs>
          <w:tab w:leader="none" w:pos="835"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persons employed by any tenant to do janitorial work shall, while in the Building and outside of the Premises, be subject to and under the control and direction of the Project Management Office (but not as an agent or servant of said Office or of the Landlord), and such tenant shall be responsible for all acts of such persons.</w:t>
      </w:r>
    </w:p>
    <w:p>
      <w:pPr>
        <w:spacing w:after="0" w:line="183" w:lineRule="exact"/>
        <w:rPr>
          <w:rFonts w:ascii="Arial" w:cs="Arial" w:eastAsia="Arial" w:hAnsi="Arial"/>
          <w:sz w:val="18"/>
          <w:szCs w:val="18"/>
          <w:color w:val="auto"/>
        </w:rPr>
      </w:pPr>
    </w:p>
    <w:p>
      <w:pPr>
        <w:ind w:left="840" w:hanging="404"/>
        <w:spacing w:after="0"/>
        <w:tabs>
          <w:tab w:leader="none" w:pos="8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doors opening onto public corridors shall be kept closed, except when in use for ingress and egress.</w:t>
      </w:r>
    </w:p>
    <w:p>
      <w:pPr>
        <w:spacing w:after="0" w:line="225" w:lineRule="exact"/>
        <w:rPr>
          <w:rFonts w:ascii="Arial" w:cs="Arial" w:eastAsia="Arial" w:hAnsi="Arial"/>
          <w:sz w:val="18"/>
          <w:szCs w:val="18"/>
          <w:color w:val="auto"/>
        </w:rPr>
      </w:pPr>
    </w:p>
    <w:p>
      <w:pPr>
        <w:ind w:left="840" w:hanging="404"/>
        <w:spacing w:after="0"/>
        <w:tabs>
          <w:tab w:leader="none" w:pos="8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to the Project Management Office.</w:t>
      </w:r>
    </w:p>
    <w:p>
      <w:pPr>
        <w:spacing w:after="0" w:line="225" w:lineRule="exact"/>
        <w:rPr>
          <w:rFonts w:ascii="Arial" w:cs="Arial" w:eastAsia="Arial" w:hAnsi="Arial"/>
          <w:sz w:val="18"/>
          <w:szCs w:val="18"/>
          <w:color w:val="auto"/>
        </w:rPr>
      </w:pPr>
    </w:p>
    <w:p>
      <w:pPr>
        <w:ind w:left="840" w:hanging="404"/>
        <w:spacing w:after="0"/>
        <w:tabs>
          <w:tab w:leader="none" w:pos="84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Canvassing, soliciting and peddling in the Building are prohibited and each tenant shall report and otherwise cooperate to prevent the same.</w:t>
      </w:r>
    </w:p>
    <w:p>
      <w:pPr>
        <w:spacing w:after="0" w:line="248" w:lineRule="exact"/>
        <w:rPr>
          <w:rFonts w:ascii="Arial" w:cs="Arial" w:eastAsia="Arial" w:hAnsi="Arial"/>
          <w:sz w:val="16"/>
          <w:szCs w:val="16"/>
          <w:color w:val="auto"/>
        </w:rPr>
      </w:pPr>
    </w:p>
    <w:p>
      <w:pPr>
        <w:ind w:right="260" w:firstLine="436"/>
        <w:spacing w:after="0" w:line="277" w:lineRule="auto"/>
        <w:tabs>
          <w:tab w:leader="none" w:pos="83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office equipment of any electrical or mechanical nature shall be placed by Tenant in the Premises in settings approved by Landlord, to absorb or prevent any vibration, noise or annoyance.</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 air conditioning unit or other similar apparatus shall be installed or used by any tenant without the written consent of Landlord.</w:t>
      </w:r>
    </w:p>
    <w:p>
      <w:pPr>
        <w:spacing w:after="0" w:line="236" w:lineRule="exact"/>
        <w:rPr>
          <w:rFonts w:ascii="Arial" w:cs="Arial" w:eastAsia="Arial" w:hAnsi="Arial"/>
          <w:sz w:val="17"/>
          <w:szCs w:val="17"/>
          <w:color w:val="auto"/>
        </w:rPr>
      </w:pPr>
    </w:p>
    <w:p>
      <w:pPr>
        <w:ind w:right="460" w:firstLine="436"/>
        <w:spacing w:after="0" w:line="277" w:lineRule="auto"/>
        <w:tabs>
          <w:tab w:leader="none" w:pos="84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There shall not be used in any space, or in the public halls of the Building, either by any tenant or others, any hand trucks, except those equipped with rubber tires and rubber side guards.</w:t>
      </w:r>
    </w:p>
    <w:p>
      <w:pPr>
        <w:spacing w:after="0" w:line="170" w:lineRule="exact"/>
        <w:rPr>
          <w:rFonts w:ascii="Arial" w:cs="Arial" w:eastAsia="Arial" w:hAnsi="Arial"/>
          <w:sz w:val="18"/>
          <w:szCs w:val="18"/>
          <w:color w:val="auto"/>
        </w:rPr>
      </w:pPr>
    </w:p>
    <w:p>
      <w:pPr>
        <w:ind w:right="40" w:firstLine="436"/>
        <w:spacing w:after="0" w:line="277" w:lineRule="auto"/>
        <w:tabs>
          <w:tab w:leader="none" w:pos="84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 vending machine or machines of any description shall be installed, maintained or operated upon the Premises without the written consent of Landlord.</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scheduling of tenant move-ins shall be subject to the reasonable discretion of Landlord.</w:t>
      </w:r>
    </w:p>
    <w:p>
      <w:pPr>
        <w:spacing w:after="0" w:line="225" w:lineRule="exact"/>
        <w:rPr>
          <w:rFonts w:ascii="Arial" w:cs="Arial" w:eastAsia="Arial" w:hAnsi="Arial"/>
          <w:sz w:val="18"/>
          <w:szCs w:val="18"/>
          <w:color w:val="auto"/>
        </w:rPr>
      </w:pPr>
    </w:p>
    <w:p>
      <w:pPr>
        <w:ind w:right="620" w:firstLine="436"/>
        <w:spacing w:after="0" w:line="277" w:lineRule="auto"/>
        <w:tabs>
          <w:tab w:leader="none" w:pos="84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If the Tenant desires telephone or telegraph connections, the Landlord will direct electricians as to where and how the wires are to be introduced. No boring or cutting for wires or otherwise shall be made without direction from the Landlord.</w:t>
      </w:r>
    </w:p>
    <w:p>
      <w:pPr>
        <w:spacing w:after="0" w:line="170" w:lineRule="exact"/>
        <w:rPr>
          <w:rFonts w:ascii="Arial" w:cs="Arial" w:eastAsia="Arial" w:hAnsi="Arial"/>
          <w:sz w:val="18"/>
          <w:szCs w:val="18"/>
          <w:color w:val="auto"/>
        </w:rPr>
      </w:pPr>
    </w:p>
    <w:p>
      <w:pPr>
        <w:ind w:firstLine="436"/>
        <w:spacing w:after="0" w:line="270" w:lineRule="auto"/>
        <w:tabs>
          <w:tab w:leader="none" w:pos="842"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personal goods or services vendors</w:t>
      </w:r>
      <w:r>
        <w:rPr>
          <w:rFonts w:ascii="Arial" w:cs="Arial" w:eastAsia="Arial" w:hAnsi="Arial"/>
          <w:sz w:val="17"/>
          <w:szCs w:val="17"/>
          <w:color w:val="auto"/>
        </w:rPr>
        <w:t>” as used herein means persons who periodically enter the Building of which the Premises are a part for the purpose of selling goods or services to a tenant, other than goods or services which are used by the Tenant only for the purpose of conducting its business in the Premises. “</w:t>
      </w:r>
      <w:r>
        <w:rPr>
          <w:rFonts w:ascii="Arial" w:cs="Arial" w:eastAsia="Arial" w:hAnsi="Arial"/>
          <w:sz w:val="17"/>
          <w:szCs w:val="17"/>
          <w:u w:val="single" w:color="auto"/>
          <w:color w:val="auto"/>
        </w:rPr>
        <w:t>Personal goods or services</w:t>
      </w:r>
      <w:r>
        <w:rPr>
          <w:rFonts w:ascii="Arial" w:cs="Arial" w:eastAsia="Arial" w:hAnsi="Arial"/>
          <w:sz w:val="17"/>
          <w:szCs w:val="17"/>
          <w:color w:val="auto"/>
        </w:rPr>
        <w:t>” include, but are not limited to, drinking water and other beverages, food, barbering services and shoe shining services. Landlord reserves the right to prohibit personal goods and services vendors from access to the Building except upon Landlord’s prior written consent and upon such reasonable terms and conditions, including, but not limited to, the payment of a reasonable fee and provision for insurance coverage, as are related to the safety, care and cleanliness of the Building, the preservation of good order thereon, and the relief of any financial or other burden on Landlord or other tenants occasioned by the presence of such vendors or the sale by them of personal goods or services to the Tenant or its employees. If necessary for the accomplishment of these purposes, Landlord may exclude a particular vendor entirely or limit the number of vendors who may be present at any one time in the Building.</w:t>
      </w:r>
    </w:p>
    <w:p>
      <w:pPr>
        <w:spacing w:after="0" w:line="180" w:lineRule="exact"/>
        <w:rPr>
          <w:rFonts w:ascii="Arial" w:cs="Arial" w:eastAsia="Arial" w:hAnsi="Arial"/>
          <w:sz w:val="17"/>
          <w:szCs w:val="17"/>
          <w:color w:val="auto"/>
        </w:rPr>
      </w:pPr>
    </w:p>
    <w:p>
      <w:pPr>
        <w:ind w:right="60" w:firstLine="436"/>
        <w:spacing w:after="0" w:line="257" w:lineRule="auto"/>
        <w:tabs>
          <w:tab w:leader="none" w:pos="84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Building is a non-smoking building. Smoking is prohibited at all times within the entire Building, including all leased premises, as well as all public/common areas and parking areas for the Building, including any attached parking garage structure. This prohibition applies during business and non-business hours to restrooms, elevators, elevator lobbies, first floor lobby, stairwells, common hallways, the lunch room and any other public/common area, as well as to all areas within the Leased Premises by Tenants. Smoking is only permitted in the designated smoking area outside the Building and away from the entrances to the Building.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440" w:top="274" w:right="439" w:bottom="1440" w:gutter="0" w:footer="0" w:header="0"/>
        </w:sectPr>
      </w:pPr>
    </w:p>
    <w:bookmarkStart w:id="406" w:name="page407"/>
    <w:bookmarkEnd w:id="406"/>
    <w:p>
      <w:pPr>
        <w:ind w:left="-20" w:firstLine="436"/>
        <w:spacing w:after="0" w:line="279" w:lineRule="auto"/>
        <w:tabs>
          <w:tab w:leader="none" w:pos="822" w:val="left"/>
        </w:tabs>
        <w:numPr>
          <w:ilvl w:val="0"/>
          <w:numId w:val="3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Building and Project is a weapons free environment. No tenant, owner of a tenant, officer or employee of a tenant, visitor of tenant, contractor or subcontractor of tenant, or any other party shall carry weapons (concealed or not) of any kind in the building, or parking areas. This prohibition applies to all public areas, including without limitation, restrooms, elevators, elevator lobbies, first floor lobby, stairwells, common hallways, all areas within the leased premises of tenants, all surface parking areas and the surrounding land related to the building.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980"/>
          </w:cols>
          <w:pgMar w:left="460" w:top="274" w:right="459" w:bottom="1440" w:gutter="0" w:footer="0" w:header="0"/>
        </w:sectPr>
      </w:pPr>
    </w:p>
    <w:bookmarkStart w:id="407" w:name="page408"/>
    <w:bookmarkEnd w:id="40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ESTOPPEL CERTIFICATE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4"/>
          </w:tcPr>
          <w:p>
            <w:pPr>
              <w:ind w:left="440"/>
              <w:spacing w:after="0"/>
              <w:rPr>
                <w:sz w:val="20"/>
                <w:szCs w:val="20"/>
                <w:color w:val="auto"/>
              </w:rPr>
            </w:pPr>
            <w:r>
              <w:rPr>
                <w:rFonts w:ascii="Arial" w:cs="Arial" w:eastAsia="Arial" w:hAnsi="Arial"/>
                <w:sz w:val="18"/>
                <w:szCs w:val="18"/>
                <w:color w:val="auto"/>
                <w:w w:val="91"/>
              </w:rPr>
              <w:t>The undersigned,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 a</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60" w:type="dxa"/>
            <w:vAlign w:val="bottom"/>
            <w:gridSpan w:val="7"/>
          </w:tcPr>
          <w:p>
            <w:pPr>
              <w:jc w:val="right"/>
              <w:spacing w:after="0"/>
              <w:rPr>
                <w:sz w:val="20"/>
                <w:szCs w:val="20"/>
                <w:color w:val="auto"/>
              </w:rPr>
            </w:pPr>
            <w:r>
              <w:rPr>
                <w:rFonts w:ascii="Arial" w:cs="Arial" w:eastAsia="Arial" w:hAnsi="Arial"/>
                <w:sz w:val="18"/>
                <w:szCs w:val="18"/>
                <w:color w:val="auto"/>
                <w:w w:val="91"/>
              </w:rPr>
              <w:t>(“Tenant”), the tenant under that certain Office Lease dated</w:t>
            </w:r>
          </w:p>
        </w:tc>
        <w:tc>
          <w:tcPr>
            <w:tcW w:w="2900" w:type="dxa"/>
            <w:vAlign w:val="bottom"/>
            <w:gridSpan w:val="4"/>
          </w:tcPr>
          <w:p>
            <w:pPr>
              <w:ind w:left="900"/>
              <w:spacing w:after="0"/>
              <w:rPr>
                <w:sz w:val="20"/>
                <w:szCs w:val="20"/>
                <w:color w:val="auto"/>
              </w:rPr>
            </w:pPr>
            <w:r>
              <w:rPr>
                <w:rFonts w:ascii="Arial" w:cs="Arial" w:eastAsia="Arial" w:hAnsi="Arial"/>
                <w:sz w:val="18"/>
                <w:szCs w:val="18"/>
                <w:color w:val="auto"/>
              </w:rPr>
              <w:t>, between Tenant and</w:t>
            </w: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620" w:type="dxa"/>
            <w:vAlign w:val="bottom"/>
          </w:tcPr>
          <w:p>
            <w:pPr>
              <w:spacing w:after="0"/>
              <w:rPr>
                <w:sz w:val="17"/>
                <w:szCs w:val="17"/>
                <w:color w:val="auto"/>
              </w:rPr>
            </w:pPr>
          </w:p>
        </w:tc>
        <w:tc>
          <w:tcPr>
            <w:tcW w:w="4380" w:type="dxa"/>
            <w:vAlign w:val="bottom"/>
            <w:gridSpan w:val="13"/>
          </w:tcPr>
          <w:p>
            <w:pPr>
              <w:ind w:left="280"/>
              <w:spacing w:after="0" w:line="196" w:lineRule="exact"/>
              <w:rPr>
                <w:sz w:val="20"/>
                <w:szCs w:val="20"/>
                <w:color w:val="auto"/>
              </w:rPr>
            </w:pPr>
            <w:r>
              <w:rPr>
                <w:rFonts w:ascii="Arial" w:cs="Arial" w:eastAsia="Arial" w:hAnsi="Arial"/>
                <w:sz w:val="18"/>
                <w:szCs w:val="18"/>
                <w:color w:val="auto"/>
                <w:w w:val="98"/>
              </w:rPr>
              <w:t>, as landlord (“Landlord”) hereby certifies as follows:</w:t>
            </w: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ind w:left="440"/>
              <w:spacing w:after="0"/>
              <w:rPr>
                <w:sz w:val="20"/>
                <w:szCs w:val="20"/>
                <w:color w:val="auto"/>
              </w:rPr>
            </w:pPr>
            <w:r>
              <w:rPr>
                <w:rFonts w:ascii="Arial" w:cs="Arial" w:eastAsia="Arial" w:hAnsi="Arial"/>
                <w:sz w:val="18"/>
                <w:szCs w:val="18"/>
                <w:color w:val="auto"/>
              </w:rPr>
              <w:t>1.</w:t>
            </w:r>
          </w:p>
        </w:tc>
        <w:tc>
          <w:tcPr>
            <w:tcW w:w="4120" w:type="dxa"/>
            <w:vAlign w:val="bottom"/>
            <w:gridSpan w:val="13"/>
          </w:tcPr>
          <w:p>
            <w:pPr>
              <w:ind w:left="80"/>
              <w:spacing w:after="0"/>
              <w:rPr>
                <w:sz w:val="20"/>
                <w:szCs w:val="20"/>
                <w:color w:val="auto"/>
              </w:rPr>
            </w:pPr>
            <w:r>
              <w:rPr>
                <w:rFonts w:ascii="Arial" w:cs="Arial" w:eastAsia="Arial" w:hAnsi="Arial"/>
                <w:sz w:val="18"/>
                <w:szCs w:val="18"/>
                <w:color w:val="auto"/>
                <w:w w:val="90"/>
              </w:rPr>
              <w:t>The Premises (the “Premises”) under the Lease is Suite</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800" w:type="dxa"/>
            <w:vAlign w:val="bottom"/>
          </w:tcPr>
          <w:p>
            <w:pPr>
              <w:jc w:val="right"/>
              <w:ind w:right="1709"/>
              <w:spacing w:after="0"/>
              <w:rPr>
                <w:sz w:val="20"/>
                <w:szCs w:val="20"/>
                <w:color w:val="auto"/>
              </w:rPr>
            </w:pPr>
            <w:r>
              <w:rPr>
                <w:rFonts w:ascii="Arial" w:cs="Arial" w:eastAsia="Arial" w:hAnsi="Arial"/>
                <w:sz w:val="10"/>
                <w:szCs w:val="10"/>
                <w:color w:val="auto"/>
                <w:w w:val="70"/>
              </w:rPr>
              <w:t>.</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tcPr>
          <w:p>
            <w:pPr>
              <w:ind w:left="440"/>
              <w:spacing w:after="0"/>
              <w:rPr>
                <w:sz w:val="20"/>
                <w:szCs w:val="20"/>
                <w:color w:val="auto"/>
              </w:rPr>
            </w:pPr>
            <w:r>
              <w:rPr>
                <w:rFonts w:ascii="Arial" w:cs="Arial" w:eastAsia="Arial" w:hAnsi="Arial"/>
                <w:sz w:val="18"/>
                <w:szCs w:val="18"/>
                <w:color w:val="auto"/>
              </w:rPr>
              <w:t>2.</w:t>
            </w:r>
          </w:p>
        </w:tc>
        <w:tc>
          <w:tcPr>
            <w:tcW w:w="8700" w:type="dxa"/>
            <w:vAlign w:val="bottom"/>
            <w:gridSpan w:val="19"/>
          </w:tcPr>
          <w:p>
            <w:pPr>
              <w:ind w:left="80"/>
              <w:spacing w:after="0"/>
              <w:rPr>
                <w:sz w:val="20"/>
                <w:szCs w:val="20"/>
                <w:color w:val="auto"/>
              </w:rPr>
            </w:pPr>
            <w:r>
              <w:rPr>
                <w:rFonts w:ascii="Arial" w:cs="Arial" w:eastAsia="Arial" w:hAnsi="Arial"/>
                <w:sz w:val="18"/>
                <w:szCs w:val="18"/>
                <w:color w:val="auto"/>
                <w:w w:val="89"/>
              </w:rPr>
              <w:t>The Lease is in full force and effect and has not been modified or amended in any respect except by amendments dated</w:t>
            </w:r>
          </w:p>
        </w:tc>
        <w:tc>
          <w:tcPr>
            <w:tcW w:w="900" w:type="dxa"/>
            <w:vAlign w:val="bottom"/>
            <w:tcBorders>
              <w:bottom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w w:val="86"/>
              </w:rPr>
              <w:t>(copies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of which are attached).</w:t>
      </w:r>
    </w:p>
    <w:p>
      <w:pPr>
        <w:spacing w:after="0" w:line="225"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 Lease has not been assigned, encumbered, subleased or transferred in any manner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-10160</wp:posOffset>
            </wp:positionV>
            <wp:extent cx="85661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566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117094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spacing w:after="0"/>
              <w:rPr>
                <w:sz w:val="16"/>
                <w:szCs w:val="16"/>
                <w:color w:val="auto"/>
              </w:rPr>
            </w:pPr>
          </w:p>
        </w:tc>
        <w:tc>
          <w:tcPr>
            <w:tcW w:w="140" w:type="dxa"/>
            <w:vAlign w:val="bottom"/>
          </w:tcPr>
          <w:p>
            <w:pPr>
              <w:jc w:val="right"/>
              <w:ind w:right="49"/>
              <w:spacing w:after="0"/>
              <w:rPr>
                <w:sz w:val="20"/>
                <w:szCs w:val="20"/>
                <w:color w:val="auto"/>
              </w:rPr>
            </w:pPr>
            <w:r>
              <w:rPr>
                <w:rFonts w:ascii="Arial" w:cs="Arial" w:eastAsia="Arial" w:hAnsi="Arial"/>
                <w:sz w:val="10"/>
                <w:szCs w:val="10"/>
                <w:color w:val="auto"/>
                <w:w w:val="70"/>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w w:val="90"/>
              </w:rPr>
              <w:t>The Commencement Date of the Lease is</w:t>
            </w:r>
          </w:p>
        </w:tc>
        <w:tc>
          <w:tcPr>
            <w:tcW w:w="400" w:type="dxa"/>
            <w:vAlign w:val="bottom"/>
            <w:tcBorders>
              <w:bottom w:val="single" w:sz="8" w:color="auto"/>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20" w:type="dxa"/>
            <w:vAlign w:val="bottom"/>
            <w:gridSpan w:val="11"/>
          </w:tcPr>
          <w:p>
            <w:pPr>
              <w:ind w:left="40"/>
              <w:spacing w:after="0"/>
              <w:rPr>
                <w:sz w:val="20"/>
                <w:szCs w:val="20"/>
                <w:color w:val="auto"/>
              </w:rPr>
            </w:pPr>
            <w:r>
              <w:rPr>
                <w:rFonts w:ascii="Arial" w:cs="Arial" w:eastAsia="Arial" w:hAnsi="Arial"/>
                <w:sz w:val="18"/>
                <w:szCs w:val="18"/>
                <w:color w:val="auto"/>
                <w:w w:val="90"/>
              </w:rPr>
              <w:t>and the expiration date of the Lease is</w:t>
            </w:r>
          </w:p>
        </w:tc>
        <w:tc>
          <w:tcPr>
            <w:tcW w:w="900" w:type="dxa"/>
            <w:vAlign w:val="bottom"/>
            <w:tcBorders>
              <w:bottom w:val="single" w:sz="8" w:color="auto"/>
            </w:tcBorders>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88"/>
              </w:rPr>
              <w:t>. There are no options to extend the</w:t>
            </w:r>
          </w:p>
        </w:tc>
      </w:tr>
      <w:tr>
        <w:trPr>
          <w:trHeight w:val="196"/>
        </w:trPr>
        <w:tc>
          <w:tcPr>
            <w:tcW w:w="3720" w:type="dxa"/>
            <w:vAlign w:val="bottom"/>
            <w:gridSpan w:val="3"/>
          </w:tcPr>
          <w:p>
            <w:pPr>
              <w:spacing w:after="0" w:line="196" w:lineRule="exact"/>
              <w:rPr>
                <w:sz w:val="20"/>
                <w:szCs w:val="20"/>
                <w:color w:val="auto"/>
              </w:rPr>
            </w:pPr>
            <w:r>
              <w:rPr>
                <w:rFonts w:ascii="Arial" w:cs="Arial" w:eastAsia="Arial" w:hAnsi="Arial"/>
                <w:sz w:val="18"/>
                <w:szCs w:val="18"/>
                <w:color w:val="auto"/>
                <w:w w:val="89"/>
              </w:rPr>
              <w:t>Lease Term beyond such expiration date other than</w:t>
            </w:r>
          </w:p>
        </w:tc>
        <w:tc>
          <w:tcPr>
            <w:tcW w:w="460" w:type="dxa"/>
            <w:vAlign w:val="bottom"/>
            <w:tcBorders>
              <w:bottom w:val="single" w:sz="8" w:color="auto"/>
            </w:tcBorders>
            <w:gridSpan w:val="3"/>
          </w:tcPr>
          <w:p>
            <w:pPr>
              <w:spacing w:after="0"/>
              <w:rPr>
                <w:sz w:val="17"/>
                <w:szCs w:val="17"/>
                <w:color w:val="auto"/>
              </w:rPr>
            </w:pPr>
          </w:p>
        </w:tc>
        <w:tc>
          <w:tcPr>
            <w:tcW w:w="440" w:type="dxa"/>
            <w:vAlign w:val="bottom"/>
            <w:tcBorders>
              <w:bottom w:val="single" w:sz="8" w:color="auto"/>
            </w:tcBorders>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580" w:type="dxa"/>
            <w:vAlign w:val="bottom"/>
            <w:gridSpan w:val="5"/>
          </w:tcPr>
          <w:p>
            <w:pPr>
              <w:ind w:left="140"/>
              <w:spacing w:after="0"/>
              <w:rPr>
                <w:sz w:val="20"/>
                <w:szCs w:val="20"/>
                <w:color w:val="auto"/>
              </w:rPr>
            </w:pPr>
            <w:r>
              <w:rPr>
                <w:rFonts w:ascii="Arial" w:cs="Arial" w:eastAsia="Arial" w:hAnsi="Arial"/>
                <w:sz w:val="18"/>
                <w:szCs w:val="18"/>
                <w:color w:val="auto"/>
                <w:w w:val="89"/>
              </w:rPr>
              <w:t>The present monthly rental under the Lease is $</w:t>
            </w:r>
          </w:p>
        </w:tc>
        <w:tc>
          <w:tcPr>
            <w:tcW w:w="360" w:type="dxa"/>
            <w:vAlign w:val="bottom"/>
          </w:tcPr>
          <w:p>
            <w:pPr>
              <w:spacing w:after="0"/>
              <w:rPr>
                <w:sz w:val="24"/>
                <w:szCs w:val="24"/>
                <w:color w:val="auto"/>
              </w:rPr>
            </w:pPr>
          </w:p>
        </w:tc>
        <w:tc>
          <w:tcPr>
            <w:tcW w:w="1040" w:type="dxa"/>
            <w:vAlign w:val="bottom"/>
            <w:gridSpan w:val="7"/>
          </w:tcPr>
          <w:p>
            <w:pPr>
              <w:jc w:val="right"/>
              <w:spacing w:after="0"/>
              <w:rPr>
                <w:sz w:val="20"/>
                <w:szCs w:val="20"/>
                <w:color w:val="auto"/>
              </w:rPr>
            </w:pPr>
            <w:r>
              <w:rPr>
                <w:rFonts w:ascii="Arial" w:cs="Arial" w:eastAsia="Arial" w:hAnsi="Arial"/>
                <w:sz w:val="18"/>
                <w:szCs w:val="18"/>
                <w:color w:val="auto"/>
                <w:w w:val="88"/>
              </w:rPr>
              <w:t>. The sum of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Arial" w:cs="Arial" w:eastAsia="Arial" w:hAnsi="Arial"/>
                <w:sz w:val="18"/>
                <w:szCs w:val="18"/>
                <w:color w:val="auto"/>
              </w:rPr>
              <w:t>, representing   month’s Rent has been paid in advance.</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380" w:type="dxa"/>
            <w:vAlign w:val="bottom"/>
            <w:gridSpan w:val="10"/>
          </w:tcPr>
          <w:p>
            <w:pPr>
              <w:ind w:left="140"/>
              <w:spacing w:after="0"/>
              <w:rPr>
                <w:sz w:val="20"/>
                <w:szCs w:val="20"/>
                <w:color w:val="auto"/>
              </w:rPr>
            </w:pPr>
            <w:r>
              <w:rPr>
                <w:rFonts w:ascii="Arial" w:cs="Arial" w:eastAsia="Arial" w:hAnsi="Arial"/>
                <w:sz w:val="18"/>
                <w:szCs w:val="18"/>
                <w:color w:val="auto"/>
                <w:w w:val="90"/>
              </w:rPr>
              <w:t>The security deposit held by Landlord under the Lease is $</w:t>
            </w:r>
          </w:p>
        </w:tc>
        <w:tc>
          <w:tcPr>
            <w:tcW w:w="18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380" w:type="dxa"/>
            <w:vAlign w:val="bottom"/>
            <w:gridSpan w:val="10"/>
          </w:tcPr>
          <w:p>
            <w:pPr>
              <w:ind w:left="160"/>
              <w:spacing w:after="0"/>
              <w:rPr>
                <w:sz w:val="20"/>
                <w:szCs w:val="20"/>
                <w:color w:val="auto"/>
              </w:rPr>
            </w:pPr>
            <w:r>
              <w:rPr>
                <w:rFonts w:ascii="Arial" w:cs="Arial" w:eastAsia="Arial" w:hAnsi="Arial"/>
                <w:sz w:val="18"/>
                <w:szCs w:val="18"/>
                <w:color w:val="auto"/>
                <w:w w:val="90"/>
              </w:rPr>
              <w:t>Rent under the Lease has been paid through the month of</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7"/>
          </w:tcPr>
          <w:p>
            <w:pPr>
              <w:ind w:left="120"/>
              <w:spacing w:after="0"/>
              <w:rPr>
                <w:sz w:val="20"/>
                <w:szCs w:val="20"/>
                <w:color w:val="auto"/>
              </w:rPr>
            </w:pPr>
            <w:r>
              <w:rPr>
                <w:rFonts w:ascii="Arial" w:cs="Arial" w:eastAsia="Arial" w:hAnsi="Arial"/>
                <w:sz w:val="18"/>
                <w:szCs w:val="18"/>
                <w:color w:val="auto"/>
                <w:w w:val="88"/>
              </w:rPr>
              <w:t>. Tenant’s estimated share of Operating Costs payments have been paid</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w w:val="94"/>
              </w:rPr>
              <w:t>through</w:t>
            </w:r>
          </w:p>
        </w:tc>
        <w:tc>
          <w:tcPr>
            <w:tcW w:w="900" w:type="dxa"/>
            <w:vAlign w:val="bottom"/>
            <w:tcBorders>
              <w:bottom w:val="single" w:sz="8" w:color="auto"/>
            </w:tcBorders>
          </w:tcPr>
          <w:p>
            <w:pPr>
              <w:spacing w:after="0"/>
              <w:rPr>
                <w:sz w:val="17"/>
                <w:szCs w:val="17"/>
                <w:color w:val="auto"/>
              </w:rPr>
            </w:pPr>
          </w:p>
        </w:tc>
        <w:tc>
          <w:tcPr>
            <w:tcW w:w="2220" w:type="dxa"/>
            <w:vAlign w:val="bottom"/>
          </w:tcPr>
          <w:p>
            <w:pPr>
              <w:jc w:val="right"/>
              <w:ind w:right="2129"/>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29" w:lineRule="exact"/>
        <w:rPr>
          <w:sz w:val="20"/>
          <w:szCs w:val="20"/>
          <w:color w:val="auto"/>
        </w:rPr>
      </w:pPr>
    </w:p>
    <w:p>
      <w:pPr>
        <w:ind w:left="740" w:hanging="304"/>
        <w:spacing w:after="0"/>
        <w:tabs>
          <w:tab w:leader="none" w:pos="7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Premises are presently occupied by Tenant.</w:t>
      </w:r>
    </w:p>
    <w:p>
      <w:pPr>
        <w:spacing w:after="0" w:line="225" w:lineRule="exact"/>
        <w:rPr>
          <w:rFonts w:ascii="Arial" w:cs="Arial" w:eastAsia="Arial" w:hAnsi="Arial"/>
          <w:sz w:val="18"/>
          <w:szCs w:val="18"/>
          <w:color w:val="auto"/>
        </w:rPr>
      </w:pPr>
    </w:p>
    <w:p>
      <w:pPr>
        <w:ind w:right="440" w:firstLine="436"/>
        <w:spacing w:after="0" w:line="277" w:lineRule="auto"/>
        <w:tabs>
          <w:tab w:leader="none" w:pos="7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Tenant has accepted the Premises without condition or qualification under the Lease and Landlord has completed and complied with all conditions of such acceptance.</w:t>
      </w:r>
    </w:p>
    <w:p>
      <w:pPr>
        <w:spacing w:after="0" w:line="170" w:lineRule="exact"/>
        <w:rPr>
          <w:rFonts w:ascii="Arial" w:cs="Arial" w:eastAsia="Arial" w:hAnsi="Arial"/>
          <w:sz w:val="18"/>
          <w:szCs w:val="18"/>
          <w:color w:val="auto"/>
        </w:rPr>
      </w:pPr>
    </w:p>
    <w:p>
      <w:pPr>
        <w:ind w:right="100" w:firstLine="436"/>
        <w:spacing w:after="0" w:line="263" w:lineRule="auto"/>
        <w:tabs>
          <w:tab w:leader="none" w:pos="84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the best knowledge of Tenant, neither it nor the Landlord is in default (or will be in default following the delivery of notice, the passage of time, or both) or claims a default by the other under the Lease, or has any claims, defenses, or rights of offset against payment of Rent under the Lease, except as follows:</w:t>
      </w:r>
    </w:p>
    <w:p>
      <w:pPr>
        <w:spacing w:after="0" w:line="183" w:lineRule="exact"/>
        <w:rPr>
          <w:rFonts w:ascii="Arial" w:cs="Arial" w:eastAsia="Arial" w:hAnsi="Arial"/>
          <w:sz w:val="18"/>
          <w:szCs w:val="18"/>
          <w:color w:val="auto"/>
        </w:rPr>
      </w:pPr>
    </w:p>
    <w:p>
      <w:pPr>
        <w:ind w:right="500" w:firstLine="436"/>
        <w:spacing w:after="0" w:line="277" w:lineRule="auto"/>
        <w:tabs>
          <w:tab w:leader="none" w:pos="83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Tenant acknowledges that Landlord has the right to assign the Lease and the Rent thereunder and to sell, assign, transfer, mortgage or otherwise encumber the Project without the consent of Tenant.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12.  Tenant makes this statement for the benefit and protection of</w:t>
            </w:r>
          </w:p>
        </w:tc>
        <w:tc>
          <w:tcPr>
            <w:tcW w:w="900" w:type="dxa"/>
            <w:vAlign w:val="bottom"/>
            <w:tcBorders>
              <w:bottom w:val="single" w:sz="8" w:color="auto"/>
            </w:tcBorders>
          </w:tcPr>
          <w:p>
            <w:pPr>
              <w:spacing w:after="0"/>
              <w:rPr>
                <w:sz w:val="18"/>
                <w:szCs w:val="18"/>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w w:val="91"/>
              </w:rPr>
              <w:t>with the understanding that</w:t>
            </w:r>
          </w:p>
        </w:tc>
        <w:tc>
          <w:tcPr>
            <w:tcW w:w="900" w:type="dxa"/>
            <w:vAlign w:val="bottom"/>
            <w:tcBorders>
              <w:bottom w:val="single" w:sz="8" w:color="auto"/>
            </w:tcBorders>
          </w:tcPr>
          <w:p>
            <w:pPr>
              <w:spacing w:after="0"/>
              <w:rPr>
                <w:sz w:val="18"/>
                <w:szCs w:val="18"/>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w w:val="89"/>
              </w:rPr>
              <w:t>intends to rely on this</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w w:val="92"/>
              </w:rPr>
              <w:t>statement in connection with</w:t>
            </w:r>
          </w:p>
        </w:tc>
        <w:tc>
          <w:tcPr>
            <w:tcW w:w="3140" w:type="dxa"/>
            <w:vAlign w:val="bottom"/>
            <w:gridSpan w:val="2"/>
          </w:tcPr>
          <w:p>
            <w:pPr>
              <w:jc w:val="right"/>
              <w:ind w:right="2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85"/>
        </w:trPr>
        <w:tc>
          <w:tcPr>
            <w:tcW w:w="2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E-1</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408" w:name="page409"/>
    <w:bookmarkEnd w:id="4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certificate has been executed and delivered by the authorized officers or representatives of the undersigned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5715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-10160</wp:posOffset>
            </wp:positionV>
            <wp:extent cx="274193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-19050</wp:posOffset>
            </wp:positionV>
            <wp:extent cx="26847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-10160</wp:posOffset>
            </wp:positionV>
            <wp:extent cx="22561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56155" cy="889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126365</wp:posOffset>
            </wp:positionV>
            <wp:extent cx="14287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-10160</wp:posOffset>
            </wp:positionV>
            <wp:extent cx="22561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126365</wp:posOffset>
            </wp:positionV>
            <wp:extent cx="14287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-10160</wp:posOffset>
            </wp:positionV>
            <wp:extent cx="22561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126365</wp:posOffset>
            </wp:positionV>
            <wp:extent cx="14287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540"/>
          </w:cols>
          <w:pgMar w:left="880" w:top="274" w:right="479" w:bottom="1440" w:gutter="0" w:footer="0" w:header="0"/>
        </w:sectPr>
      </w:pPr>
    </w:p>
    <w:bookmarkStart w:id="409" w:name="page410"/>
    <w:bookmarkEnd w:id="409"/>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TENANT COMMENCEMENT CERTIFICATE</w:t>
      </w:r>
    </w:p>
    <w:p>
      <w:pPr>
        <w:spacing w:after="0" w:line="21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-10160</wp:posOffset>
            </wp:positionV>
            <wp:extent cx="5715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-10160</wp:posOffset>
            </wp:positionV>
            <wp:extent cx="571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3429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-10160</wp:posOffset>
            </wp:positionV>
            <wp:extent cx="1143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Property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-10160</wp:posOffset>
            </wp:positionV>
            <wp:extent cx="19996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126365</wp:posOffset>
            </wp:positionV>
            <wp:extent cx="199961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13"/>
          </w:tcPr>
          <w:p>
            <w:pPr>
              <w:ind w:left="440"/>
              <w:spacing w:after="0"/>
              <w:rPr>
                <w:sz w:val="20"/>
                <w:szCs w:val="20"/>
                <w:color w:val="auto"/>
              </w:rPr>
            </w:pPr>
            <w:r>
              <w:rPr>
                <w:rFonts w:ascii="Arial" w:cs="Arial" w:eastAsia="Arial" w:hAnsi="Arial"/>
                <w:sz w:val="18"/>
                <w:szCs w:val="18"/>
                <w:color w:val="auto"/>
                <w:w w:val="91"/>
              </w:rPr>
              <w:t>The undersigned, as an authorized representative of the Tenant under that certain Lease (the “Lease”) dated</w:t>
            </w:r>
          </w:p>
        </w:tc>
        <w:tc>
          <w:tcPr>
            <w:tcW w:w="1960" w:type="dxa"/>
            <w:vAlign w:val="bottom"/>
            <w:gridSpan w:val="11"/>
          </w:tcPr>
          <w:p>
            <w:pPr>
              <w:jc w:val="right"/>
              <w:spacing w:after="0"/>
              <w:rPr>
                <w:sz w:val="20"/>
                <w:szCs w:val="20"/>
                <w:color w:val="auto"/>
              </w:rPr>
            </w:pPr>
            <w:r>
              <w:rPr>
                <w:rFonts w:ascii="Arial" w:cs="Arial" w:eastAsia="Arial" w:hAnsi="Arial"/>
                <w:sz w:val="18"/>
                <w:szCs w:val="18"/>
                <w:color w:val="auto"/>
              </w:rPr>
              <w:t>, 20  , as modified (if</w:t>
            </w:r>
          </w:p>
        </w:tc>
      </w:tr>
      <w:tr>
        <w:trPr>
          <w:trHeight w:val="196"/>
        </w:trPr>
        <w:tc>
          <w:tcPr>
            <w:tcW w:w="2580" w:type="dxa"/>
            <w:vAlign w:val="bottom"/>
            <w:gridSpan w:val="2"/>
          </w:tcPr>
          <w:p>
            <w:pPr>
              <w:spacing w:after="0" w:line="196" w:lineRule="exact"/>
              <w:rPr>
                <w:sz w:val="20"/>
                <w:szCs w:val="20"/>
                <w:color w:val="auto"/>
              </w:rPr>
            </w:pPr>
            <w:r>
              <w:rPr>
                <w:rFonts w:ascii="Arial" w:cs="Arial" w:eastAsia="Arial" w:hAnsi="Arial"/>
                <w:sz w:val="18"/>
                <w:szCs w:val="18"/>
                <w:color w:val="auto"/>
                <w:w w:val="90"/>
              </w:rPr>
              <w:t>applicable) by amendment(s) dated</w:t>
            </w:r>
          </w:p>
        </w:tc>
        <w:tc>
          <w:tcPr>
            <w:tcW w:w="540" w:type="dxa"/>
            <w:vAlign w:val="bottom"/>
          </w:tcPr>
          <w:p>
            <w:pPr>
              <w:spacing w:after="0"/>
              <w:rPr>
                <w:sz w:val="17"/>
                <w:szCs w:val="17"/>
                <w:color w:val="auto"/>
              </w:rPr>
            </w:pPr>
          </w:p>
        </w:tc>
        <w:tc>
          <w:tcPr>
            <w:tcW w:w="4040" w:type="dxa"/>
            <w:vAlign w:val="bottom"/>
            <w:gridSpan w:val="7"/>
          </w:tcPr>
          <w:p>
            <w:pPr>
              <w:jc w:val="right"/>
              <w:ind w:right="2000"/>
              <w:spacing w:after="0" w:line="196" w:lineRule="exact"/>
              <w:rPr>
                <w:sz w:val="20"/>
                <w:szCs w:val="20"/>
                <w:color w:val="auto"/>
              </w:rPr>
            </w:pPr>
            <w:r>
              <w:rPr>
                <w:rFonts w:ascii="Arial" w:cs="Arial" w:eastAsia="Arial" w:hAnsi="Arial"/>
                <w:sz w:val="18"/>
                <w:szCs w:val="18"/>
                <w:color w:val="auto"/>
                <w:w w:val="94"/>
              </w:rPr>
              <w:t>, 20  , hereby certified that:</w:t>
            </w:r>
          </w:p>
        </w:tc>
        <w:tc>
          <w:tcPr>
            <w:tcW w:w="4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720" w:type="dxa"/>
            <w:vAlign w:val="bottom"/>
          </w:tcPr>
          <w:p>
            <w:pPr>
              <w:ind w:left="420"/>
              <w:spacing w:after="0"/>
              <w:rPr>
                <w:sz w:val="20"/>
                <w:szCs w:val="20"/>
                <w:color w:val="auto"/>
              </w:rPr>
            </w:pPr>
            <w:r>
              <w:rPr>
                <w:rFonts w:ascii="Arial" w:cs="Arial" w:eastAsia="Arial" w:hAnsi="Arial"/>
                <w:sz w:val="18"/>
                <w:szCs w:val="18"/>
                <w:color w:val="auto"/>
              </w:rPr>
              <w:t>1.</w:t>
            </w:r>
          </w:p>
        </w:tc>
        <w:tc>
          <w:tcPr>
            <w:tcW w:w="7660" w:type="dxa"/>
            <w:vAlign w:val="bottom"/>
            <w:gridSpan w:val="12"/>
          </w:tcPr>
          <w:p>
            <w:pPr>
              <w:ind w:left="140"/>
              <w:spacing w:after="0"/>
              <w:rPr>
                <w:sz w:val="20"/>
                <w:szCs w:val="20"/>
                <w:color w:val="auto"/>
              </w:rPr>
            </w:pPr>
            <w:r>
              <w:rPr>
                <w:rFonts w:ascii="Arial" w:cs="Arial" w:eastAsia="Arial" w:hAnsi="Arial"/>
                <w:sz w:val="18"/>
                <w:szCs w:val="18"/>
                <w:color w:val="auto"/>
                <w:w w:val="88"/>
              </w:rPr>
              <w:t>Tenant has accepted possession and entered into occupancy of the Premises described in the Lease as of</w:t>
            </w:r>
          </w:p>
        </w:tc>
        <w:tc>
          <w:tcPr>
            <w:tcW w:w="1240" w:type="dxa"/>
            <w:vAlign w:val="bottom"/>
            <w:gridSpan w:val="7"/>
          </w:tcPr>
          <w:p>
            <w:pPr>
              <w:jc w:val="right"/>
              <w:ind w:right="200"/>
              <w:spacing w:after="0"/>
              <w:rPr>
                <w:sz w:val="20"/>
                <w:szCs w:val="20"/>
                <w:color w:val="auto"/>
              </w:rPr>
            </w:pPr>
            <w:r>
              <w:rPr>
                <w:rFonts w:ascii="Arial" w:cs="Arial" w:eastAsia="Arial" w:hAnsi="Arial"/>
                <w:sz w:val="18"/>
                <w:szCs w:val="18"/>
                <w:color w:val="auto"/>
              </w:rPr>
              <w:t>, 20  .</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720" w:type="dxa"/>
            <w:vAlign w:val="bottom"/>
          </w:tcPr>
          <w:p>
            <w:pPr>
              <w:ind w:left="420"/>
              <w:spacing w:after="0"/>
              <w:rPr>
                <w:sz w:val="20"/>
                <w:szCs w:val="20"/>
                <w:color w:val="auto"/>
              </w:rPr>
            </w:pPr>
            <w:r>
              <w:rPr>
                <w:rFonts w:ascii="Arial" w:cs="Arial" w:eastAsia="Arial" w:hAnsi="Arial"/>
                <w:sz w:val="18"/>
                <w:szCs w:val="18"/>
                <w:color w:val="auto"/>
              </w:rPr>
              <w:t>2.</w:t>
            </w:r>
          </w:p>
        </w:tc>
        <w:tc>
          <w:tcPr>
            <w:tcW w:w="8900" w:type="dxa"/>
            <w:vAlign w:val="bottom"/>
            <w:gridSpan w:val="19"/>
          </w:tcPr>
          <w:p>
            <w:pPr>
              <w:ind w:left="140"/>
              <w:spacing w:after="0"/>
              <w:rPr>
                <w:sz w:val="20"/>
                <w:szCs w:val="20"/>
                <w:color w:val="auto"/>
              </w:rPr>
            </w:pPr>
            <w:r>
              <w:rPr>
                <w:rFonts w:ascii="Arial" w:cs="Arial" w:eastAsia="Arial" w:hAnsi="Arial"/>
                <w:sz w:val="18"/>
                <w:szCs w:val="18"/>
                <w:color w:val="auto"/>
                <w:w w:val="93"/>
              </w:rPr>
              <w:t>The Commencement Date of the Lease [or the commencement of the term for the expansion of the Premises] was/is: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318"/>
        </w:trPr>
        <w:tc>
          <w:tcPr>
            <w:tcW w:w="720" w:type="dxa"/>
            <w:vAlign w:val="bottom"/>
          </w:tcPr>
          <w:p>
            <w:pPr>
              <w:ind w:left="420"/>
              <w:spacing w:after="0"/>
              <w:rPr>
                <w:sz w:val="20"/>
                <w:szCs w:val="20"/>
                <w:color w:val="auto"/>
              </w:rPr>
            </w:pPr>
            <w:r>
              <w:rPr>
                <w:rFonts w:ascii="Arial" w:cs="Arial" w:eastAsia="Arial" w:hAnsi="Arial"/>
                <w:sz w:val="18"/>
                <w:szCs w:val="18"/>
                <w:color w:val="auto"/>
              </w:rPr>
              <w:t>3.</w:t>
            </w:r>
          </w:p>
        </w:tc>
        <w:tc>
          <w:tcPr>
            <w:tcW w:w="2920" w:type="dxa"/>
            <w:vAlign w:val="bottom"/>
            <w:gridSpan w:val="5"/>
          </w:tcPr>
          <w:p>
            <w:pPr>
              <w:ind w:left="140"/>
              <w:spacing w:after="0"/>
              <w:rPr>
                <w:sz w:val="20"/>
                <w:szCs w:val="20"/>
                <w:color w:val="auto"/>
              </w:rPr>
            </w:pPr>
            <w:r>
              <w:rPr>
                <w:rFonts w:ascii="Arial" w:cs="Arial" w:eastAsia="Arial" w:hAnsi="Arial"/>
                <w:sz w:val="18"/>
                <w:szCs w:val="18"/>
                <w:color w:val="auto"/>
                <w:w w:val="91"/>
              </w:rPr>
              <w:t>The Termination Date of the Lease is:</w:t>
            </w:r>
          </w:p>
        </w:tc>
        <w:tc>
          <w:tcPr>
            <w:tcW w:w="3520" w:type="dxa"/>
            <w:vAlign w:val="bottom"/>
            <w:gridSpan w:val="4"/>
          </w:tcPr>
          <w:p>
            <w:pPr>
              <w:jc w:val="right"/>
              <w:ind w:right="2500"/>
              <w:spacing w:after="0"/>
              <w:rPr>
                <w:sz w:val="20"/>
                <w:szCs w:val="20"/>
                <w:color w:val="auto"/>
              </w:rPr>
            </w:pPr>
            <w:r>
              <w:rPr>
                <w:rFonts w:ascii="Arial" w:cs="Arial" w:eastAsia="Arial" w:hAnsi="Arial"/>
                <w:sz w:val="18"/>
                <w:szCs w:val="18"/>
                <w:color w:val="auto"/>
              </w:rPr>
              <w:t>, 20  .</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860" w:hanging="432"/>
        <w:spacing w:after="0"/>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Lease is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263525</wp:posOffset>
            </wp:positionV>
            <wp:extent cx="222821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-10160</wp:posOffset>
            </wp:positionV>
            <wp:extent cx="5715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-19050</wp:posOffset>
            </wp:positionV>
            <wp:extent cx="219964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9964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117475</wp:posOffset>
            </wp:positionV>
            <wp:extent cx="54292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340"/>
          </w:cols>
          <w:pgMar w:left="440" w:top="270" w:right="1119" w:bottom="1440" w:gutter="0" w:footer="0" w:header="0"/>
        </w:sectPr>
      </w:pPr>
    </w:p>
    <w:bookmarkStart w:id="410" w:name="page411"/>
    <w:bookmarkEnd w:id="41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AMERICANS WITH DISABILITIES ACT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Tenant agrees to comply with all requirements of the Americans With Disabilities Act of 1990 (Public Law 101-336 {July 26, 1990}), and any other applicable or related law, code or ordinance applicable to the Premises and the Project, as the same are amended from time to time (collectively, the “</w:t>
      </w:r>
      <w:r>
        <w:rPr>
          <w:rFonts w:ascii="Arial" w:cs="Arial" w:eastAsia="Arial" w:hAnsi="Arial"/>
          <w:sz w:val="18"/>
          <w:szCs w:val="18"/>
          <w:u w:val="single" w:color="auto"/>
          <w:color w:val="auto"/>
        </w:rPr>
        <w:t>Disability Acts</w:t>
      </w:r>
      <w:r>
        <w:rPr>
          <w:rFonts w:ascii="Arial" w:cs="Arial" w:eastAsia="Arial" w:hAnsi="Arial"/>
          <w:sz w:val="18"/>
          <w:szCs w:val="18"/>
          <w:color w:val="auto"/>
        </w:rPr>
        <w:t>”), to accommodate its employees, invitees and customers. Tenant acknowledges that it shall be wholly responsible for any accommodations or alterations which need to be made to the Premises to cause the same to comply with the Disability Acts. No provision in this Lease should be construed in any manner as permitting, consenting to or authorizing Tenant to violate requirements under any of the Disability Acts and any provision to the Lease which could arguably be construed as authorizing a violation of any of the Disability Acts shall be interpreted in a manner which permits compliance with such Disability Acts.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0920"/>
          </w:cols>
          <w:pgMar w:left="440" w:top="270" w:right="539"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40" w:type="dxa"/>
            <w:vAlign w:val="bottom"/>
            <w:gridSpan w:val="4"/>
          </w:tcPr>
          <w:p>
            <w:pPr>
              <w:jc w:val="center"/>
              <w:ind w:right="4200"/>
              <w:spacing w:after="0"/>
              <w:rPr>
                <w:sz w:val="20"/>
                <w:szCs w:val="20"/>
                <w:color w:val="auto"/>
              </w:rPr>
            </w:pPr>
            <w:r>
              <w:rPr>
                <w:rFonts w:ascii="Arial" w:cs="Arial" w:eastAsia="Arial" w:hAnsi="Arial"/>
                <w:sz w:val="18"/>
                <w:szCs w:val="18"/>
                <w:b w:val="1"/>
                <w:bCs w:val="1"/>
                <w:color w:val="auto"/>
              </w:rPr>
              <w:t>EXHIBIT H</w:t>
            </w:r>
          </w:p>
        </w:tc>
      </w:tr>
      <w:tr>
        <w:trPr>
          <w:trHeight w:val="392"/>
        </w:trPr>
        <w:tc>
          <w:tcPr>
            <w:tcW w:w="3500" w:type="dxa"/>
            <w:vAlign w:val="bottom"/>
          </w:tcPr>
          <w:p>
            <w:pPr>
              <w:spacing w:after="0"/>
              <w:rPr>
                <w:sz w:val="24"/>
                <w:szCs w:val="24"/>
                <w:color w:val="auto"/>
              </w:rPr>
            </w:pPr>
          </w:p>
        </w:tc>
        <w:tc>
          <w:tcPr>
            <w:tcW w:w="7520" w:type="dxa"/>
            <w:vAlign w:val="bottom"/>
            <w:gridSpan w:val="5"/>
          </w:tcPr>
          <w:p>
            <w:pPr>
              <w:jc w:val="center"/>
              <w:ind w:right="3500"/>
              <w:spacing w:after="0"/>
              <w:rPr>
                <w:sz w:val="20"/>
                <w:szCs w:val="20"/>
                <w:color w:val="auto"/>
              </w:rPr>
            </w:pPr>
            <w:r>
              <w:rPr>
                <w:rFonts w:ascii="Arial" w:cs="Arial" w:eastAsia="Arial" w:hAnsi="Arial"/>
                <w:sz w:val="18"/>
                <w:szCs w:val="18"/>
                <w:b w:val="1"/>
                <w:bCs w:val="1"/>
                <w:color w:val="auto"/>
              </w:rPr>
              <w:t>FORM OF LETTER OF CREDIT</w:t>
            </w:r>
          </w:p>
        </w:tc>
      </w:tr>
      <w:tr>
        <w:trPr>
          <w:trHeight w:val="453"/>
        </w:trPr>
        <w:tc>
          <w:tcPr>
            <w:tcW w:w="3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center"/>
              <w:ind w:right="1020"/>
              <w:spacing w:after="0"/>
              <w:rPr>
                <w:sz w:val="20"/>
                <w:szCs w:val="20"/>
                <w:color w:val="auto"/>
              </w:rPr>
            </w:pPr>
            <w:r>
              <w:rPr>
                <w:rFonts w:ascii="Arial" w:cs="Arial" w:eastAsia="Arial" w:hAnsi="Arial"/>
                <w:sz w:val="18"/>
                <w:szCs w:val="18"/>
                <w:b w:val="1"/>
                <w:bCs w:val="1"/>
                <w:color w:val="auto"/>
                <w:w w:val="99"/>
              </w:rPr>
              <w:t>[BANK]</w:t>
            </w:r>
          </w:p>
        </w:tc>
        <w:tc>
          <w:tcPr>
            <w:tcW w:w="4180" w:type="dxa"/>
            <w:vAlign w:val="bottom"/>
          </w:tcPr>
          <w:p>
            <w:pPr>
              <w:spacing w:after="0"/>
              <w:rPr>
                <w:sz w:val="24"/>
                <w:szCs w:val="24"/>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BENEFICIARY:</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APPLICANT:</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KBSIII Almaden Financial Plaza, LLC</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Zoom Video Communications, Inc., a Delaware</w:t>
            </w:r>
          </w:p>
        </w:tc>
      </w:tr>
      <w:tr>
        <w:trPr>
          <w:trHeight w:val="216"/>
        </w:trPr>
        <w:tc>
          <w:tcPr>
            <w:tcW w:w="3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corporation</w:t>
            </w:r>
          </w:p>
        </w:tc>
      </w:tr>
      <w:tr>
        <w:trPr>
          <w:trHeight w:val="223"/>
        </w:trPr>
        <w:tc>
          <w:tcPr>
            <w:tcW w:w="3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r>
      <w:tr>
        <w:trPr>
          <w:trHeight w:val="223"/>
        </w:trPr>
        <w:tc>
          <w:tcPr>
            <w:tcW w:w="3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AMOUNT: USD $250,473.80 (TWO HUNDRED FIFTY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THOUSAND FOUR HUNDRED SEVENTY-THREE AND 80/100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594" w:lineRule="exact"/>
        <w:rPr>
          <w:sz w:val="20"/>
          <w:szCs w:val="20"/>
          <w:color w:val="auto"/>
        </w:rPr>
      </w:pPr>
    </w:p>
    <w:p>
      <w:pPr>
        <w:sectPr>
          <w:pgSz w:w="11900" w:h="16838" w:orient="portrait"/>
          <w:cols w:equalWidth="0" w:num="2">
            <w:col w:w="5120" w:space="720"/>
            <w:col w:w="5180"/>
          </w:cols>
          <w:pgMar w:left="440" w:top="270" w:right="439" w:bottom="1440" w:gutter="0" w:footer="0" w:header="0"/>
          <w:type w:val="continuous"/>
        </w:sectPr>
      </w:pPr>
    </w:p>
    <w:p>
      <w:pPr>
        <w:spacing w:after="0" w:line="48" w:lineRule="exact"/>
        <w:rPr>
          <w:sz w:val="20"/>
          <w:szCs w:val="20"/>
          <w:color w:val="auto"/>
        </w:rPr>
      </w:pPr>
    </w:p>
    <w:p>
      <w:pPr>
        <w:ind w:left="880"/>
        <w:spacing w:after="0"/>
        <w:tabs>
          <w:tab w:leader="none" w:pos="6300" w:val="left"/>
        </w:tabs>
        <w:rPr>
          <w:sz w:val="20"/>
          <w:szCs w:val="20"/>
          <w:color w:val="auto"/>
        </w:rPr>
      </w:pPr>
      <w:r>
        <w:rPr>
          <w:rFonts w:ascii="Arial" w:cs="Arial" w:eastAsia="Arial" w:hAnsi="Arial"/>
          <w:sz w:val="18"/>
          <w:szCs w:val="18"/>
          <w:color w:val="auto"/>
        </w:rPr>
        <w:t>We hereby issue this Irrevocable Standby Letter of Credit No.</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in your favor for the account of Zoom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-10160</wp:posOffset>
            </wp:positionV>
            <wp:extent cx="5715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Communications,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for a sum not to exceed an aggregate amount of $250,473.80 effective immediately and expiring at our office at on (“</w:t>
      </w:r>
      <w:r>
        <w:rPr>
          <w:rFonts w:ascii="Arial" w:cs="Arial" w:eastAsia="Arial" w:hAnsi="Arial"/>
          <w:sz w:val="18"/>
          <w:szCs w:val="18"/>
          <w:u w:val="single" w:color="auto"/>
          <w:color w:val="auto"/>
        </w:rPr>
        <w:t>Expiry Date</w:t>
      </w:r>
      <w:r>
        <w:rPr>
          <w:rFonts w:ascii="Arial" w:cs="Arial" w:eastAsia="Arial" w:hAnsi="Arial"/>
          <w:sz w:val="18"/>
          <w:szCs w:val="18"/>
          <w:color w:val="auto"/>
        </w:rPr>
        <w:t>”). Notwithstanding anything herein to the contrary, this Letter of Credit shall automatically renew on a year-to-year basis, the first such renewal commencing on the day immediately following the Expiry Date unless we notify you (Beneficiary) in writing at least thirty (30) days prior to the Expiry Date (or the applicable subsequent Expiry Date, following any such renewal) that we will not renew this Letter of Credit. Partial Drawings are permitted hereunder, and each drawing under this Letter of Credit shall permanently reduce the face amount of this Letter of Credit by the amount of such drawing.</w:t>
      </w:r>
    </w:p>
    <w:p>
      <w:pPr>
        <w:spacing w:after="0" w:line="194" w:lineRule="exact"/>
        <w:rPr>
          <w:sz w:val="20"/>
          <w:szCs w:val="20"/>
          <w:color w:val="auto"/>
        </w:rPr>
      </w:pPr>
    </w:p>
    <w:p>
      <w:pPr>
        <w:ind w:right="320" w:firstLine="881"/>
        <w:spacing w:after="0" w:line="274" w:lineRule="auto"/>
        <w:rPr>
          <w:sz w:val="20"/>
          <w:szCs w:val="20"/>
          <w:color w:val="auto"/>
        </w:rPr>
      </w:pPr>
      <w:r>
        <w:rPr>
          <w:rFonts w:ascii="Arial" w:cs="Arial" w:eastAsia="Arial" w:hAnsi="Arial"/>
          <w:sz w:val="17"/>
          <w:szCs w:val="17"/>
          <w:color w:val="auto"/>
        </w:rPr>
        <w:t>We undertake that drawings under this Letter of Credit will be duly honored upon presentation to us at our office indicated above on any Business Day (as defined below) on or before the Expiry Date of your sight draft(s) drawn on us, bearing the clause: “Drawn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-24765</wp:posOffset>
            </wp:positionV>
            <wp:extent cx="119951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ind w:right="40"/>
        <w:spacing w:after="0" w:line="270" w:lineRule="auto"/>
        <w:rPr>
          <w:sz w:val="20"/>
          <w:szCs w:val="20"/>
          <w:color w:val="auto"/>
        </w:rPr>
      </w:pPr>
      <w:r>
        <w:rPr>
          <w:rFonts w:ascii="Arial" w:cs="Arial" w:eastAsia="Arial" w:hAnsi="Arial"/>
          <w:sz w:val="17"/>
          <w:szCs w:val="17"/>
          <w:color w:val="auto"/>
        </w:rPr>
        <w:t>Irrevocable Standby Letter of Credit No. ”, together with a statement in the form of Annex A (as stated below) purportedly executed by your authorized officer and regardless of whether Tenant disputes the content of such statement. Payment will be made hereunder not later than 1:00 p.m. Pacific Standard time on the third Business Day (as defined below) following the date such demand for payment is presented as aforesaid. Payment of any amount drawn under this Letter of Credit will be made in immediately available funds by wire transfer to such account as you shall specify or in such other manner as you specify in the sight draft presented to us with respect to such payment. For purposes of this Letter of Credit,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upon which banks in San Francisco, California are open for commercial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-725805</wp:posOffset>
            </wp:positionV>
            <wp:extent cx="24587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58" w:lineRule="exact"/>
        <w:rPr>
          <w:sz w:val="20"/>
          <w:szCs w:val="20"/>
          <w:color w:val="auto"/>
        </w:rPr>
      </w:pPr>
    </w:p>
    <w:p>
      <w:pPr>
        <w:ind w:left="880"/>
        <w:spacing w:after="0"/>
        <w:tabs>
          <w:tab w:leader="none" w:pos="9280" w:val="left"/>
        </w:tabs>
        <w:rPr>
          <w:sz w:val="20"/>
          <w:szCs w:val="20"/>
          <w:color w:val="auto"/>
        </w:rPr>
      </w:pPr>
      <w:r>
        <w:rPr>
          <w:rFonts w:ascii="Arial" w:cs="Arial" w:eastAsia="Arial" w:hAnsi="Arial"/>
          <w:sz w:val="18"/>
          <w:szCs w:val="18"/>
          <w:color w:val="auto"/>
        </w:rPr>
        <w:t>This Letter of Credit is transferable or assignable, with notice to, but without permission or approval of</w:t>
      </w:r>
      <w:r>
        <w:rPr>
          <w:sz w:val="20"/>
          <w:szCs w:val="20"/>
          <w:color w:val="auto"/>
        </w:rPr>
        <w:tab/>
      </w:r>
      <w:r>
        <w:rPr>
          <w:rFonts w:ascii="Arial" w:cs="Arial" w:eastAsia="Arial" w:hAnsi="Arial"/>
          <w:sz w:val="16"/>
          <w:szCs w:val="16"/>
          <w:color w:val="auto"/>
        </w:rPr>
        <w:t>Bank, in full and not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-10160</wp:posOffset>
            </wp:positionV>
            <wp:extent cx="5715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211" w:lineRule="exact"/>
        <w:rPr>
          <w:sz w:val="20"/>
          <w:szCs w:val="20"/>
          <w:color w:val="auto"/>
        </w:rPr>
      </w:pPr>
    </w:p>
    <w:p>
      <w:pPr>
        <w:ind w:right="220" w:firstLine="881"/>
        <w:spacing w:after="0" w:line="286" w:lineRule="auto"/>
        <w:rPr>
          <w:sz w:val="20"/>
          <w:szCs w:val="20"/>
          <w:color w:val="auto"/>
        </w:rPr>
      </w:pPr>
      <w:r>
        <w:rPr>
          <w:rFonts w:ascii="Arial" w:cs="Arial" w:eastAsia="Arial" w:hAnsi="Arial"/>
          <w:sz w:val="17"/>
          <w:szCs w:val="17"/>
          <w:color w:val="auto"/>
        </w:rPr>
        <w:t>This Letter of Credit sets forth in full the terms of our undertaking and such undertaking shall not in any way be modified, amended or amplified by reference to any document or instrument referred to herein or in which this Letter of Credit is referred to or to which this Letter of Credit relates and any such reference shall not be deemed to incorporate herein by reference to any document or instrument.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Except as stated herein, this undertaking is not subject to any condition or qualification. Our obligations under this Letter of Credit shall be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auto"/>
                <w:w w:val="95"/>
              </w:rPr>
              <w:t>the individual obligation of</w:t>
            </w:r>
          </w:p>
        </w:tc>
        <w:tc>
          <w:tcPr>
            <w:tcW w:w="900" w:type="dxa"/>
            <w:vAlign w:val="bottom"/>
            <w:tcBorders>
              <w:bottom w:val="single" w:sz="8" w:color="auto"/>
            </w:tcBorders>
          </w:tcPr>
          <w:p>
            <w:pPr>
              <w:spacing w:after="0"/>
              <w:rPr>
                <w:sz w:val="18"/>
                <w:szCs w:val="18"/>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w w:val="90"/>
              </w:rPr>
              <w:t>Bank, in no way contingent upon reimbursement with respect thereto.</w:t>
            </w:r>
          </w:p>
        </w:tc>
      </w:tr>
      <w:tr>
        <w:trPr>
          <w:trHeight w:val="385"/>
        </w:trPr>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80" w:type="dxa"/>
            <w:vAlign w:val="bottom"/>
          </w:tcPr>
          <w:p>
            <w:pPr>
              <w:ind w:left="246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020"/>
          </w:cols>
          <w:pgMar w:left="440" w:top="270" w:right="439" w:bottom="1440" w:gutter="0" w:footer="0" w:header="0"/>
          <w:type w:val="continuous"/>
        </w:sectPr>
      </w:pPr>
    </w:p>
    <w:bookmarkStart w:id="412" w:name="page413"/>
    <w:bookmarkEnd w:id="412"/>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of Credit is subject to the Uniform Customs and Practice for Documentary Credits (1993 Revision) International Chamber of Commerce Publication No. 500 (“</w:t>
      </w:r>
      <w:r>
        <w:rPr>
          <w:rFonts w:ascii="Arial" w:cs="Arial" w:eastAsia="Arial" w:hAnsi="Arial"/>
          <w:sz w:val="17"/>
          <w:szCs w:val="17"/>
          <w:u w:val="single" w:color="auto"/>
          <w:color w:val="auto"/>
        </w:rPr>
        <w:t>ISP 98</w:t>
      </w:r>
      <w:r>
        <w:rPr>
          <w:rFonts w:ascii="Arial" w:cs="Arial" w:eastAsia="Arial" w:hAnsi="Arial"/>
          <w:sz w:val="17"/>
          <w:szCs w:val="17"/>
          <w:color w:val="auto"/>
        </w:rPr>
        <w:t>”) and, to the extent not inconsistent with the ISP 98, the laws of the State of California.</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0720"/>
          </w:cols>
          <w:pgMar w:left="440" w:top="274" w:right="739" w:bottom="1440" w:gutter="0" w:footer="0" w:header="0"/>
        </w:sectPr>
      </w:pPr>
    </w:p>
    <w:bookmarkStart w:id="413" w:name="page414"/>
    <w:bookmarkEnd w:id="413"/>
    <w:tbl>
      <w:tblPr>
        <w:tblLayout w:type="fixed"/>
        <w:tblInd w:w="3280" w:type="dxa"/>
        <w:tblCellMar>
          <w:top w:w="0" w:type="dxa"/>
          <w:left w:w="0" w:type="dxa"/>
          <w:bottom w:w="0" w:type="dxa"/>
          <w:right w:w="0" w:type="dxa"/>
        </w:tblCellMar>
      </w:tblPr>
      <w:tr>
        <w:trPr>
          <w:trHeight w:val="234"/>
        </w:trPr>
        <w:tc>
          <w:tcPr>
            <w:tcW w:w="3660" w:type="dxa"/>
            <w:vAlign w:val="bottom"/>
            <w:gridSpan w:val="3"/>
          </w:tcPr>
          <w:p>
            <w:pPr>
              <w:ind w:left="1820"/>
              <w:spacing w:after="0"/>
              <w:rPr>
                <w:sz w:val="20"/>
                <w:szCs w:val="20"/>
                <w:color w:val="auto"/>
              </w:rPr>
            </w:pPr>
            <w:r>
              <w:rPr>
                <w:rFonts w:ascii="Arial" w:cs="Arial" w:eastAsia="Arial" w:hAnsi="Arial"/>
                <w:sz w:val="18"/>
                <w:szCs w:val="18"/>
                <w:b w:val="1"/>
                <w:bCs w:val="1"/>
                <w:color w:val="auto"/>
              </w:rPr>
              <w:t>ANNEX A</w:t>
            </w:r>
          </w:p>
        </w:tc>
        <w:tc>
          <w:tcPr>
            <w:tcW w:w="800" w:type="dxa"/>
            <w:vAlign w:val="bottom"/>
          </w:tcPr>
          <w:p>
            <w:pPr>
              <w:spacing w:after="0"/>
              <w:rPr>
                <w:sz w:val="20"/>
                <w:szCs w:val="20"/>
                <w:color w:val="auto"/>
              </w:rPr>
            </w:pPr>
          </w:p>
        </w:tc>
      </w:tr>
      <w:tr>
        <w:trPr>
          <w:trHeight w:val="392"/>
        </w:trPr>
        <w:tc>
          <w:tcPr>
            <w:tcW w:w="2760" w:type="dxa"/>
            <w:vAlign w:val="bottom"/>
          </w:tcPr>
          <w:p>
            <w:pPr>
              <w:ind w:left="240"/>
              <w:spacing w:after="0"/>
              <w:rPr>
                <w:sz w:val="20"/>
                <w:szCs w:val="20"/>
                <w:color w:val="auto"/>
              </w:rPr>
            </w:pPr>
            <w:r>
              <w:rPr>
                <w:rFonts w:ascii="Arial" w:cs="Arial" w:eastAsia="Arial" w:hAnsi="Arial"/>
                <w:sz w:val="18"/>
                <w:szCs w:val="18"/>
                <w:b w:val="1"/>
                <w:bCs w:val="1"/>
                <w:color w:val="auto"/>
              </w:rPr>
              <w:t>CERTIFICATE RELATING TO</w:t>
            </w:r>
          </w:p>
        </w:tc>
        <w:tc>
          <w:tcPr>
            <w:tcW w:w="900" w:type="dxa"/>
            <w:vAlign w:val="bottom"/>
            <w:tcBorders>
              <w:bottom w:val="single" w:sz="8" w:color="auto"/>
            </w:tcBorders>
            <w:gridSpan w:val="2"/>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BANK</w:t>
            </w:r>
          </w:p>
        </w:tc>
      </w:tr>
      <w:tr>
        <w:trPr>
          <w:trHeight w:val="196"/>
        </w:trPr>
        <w:tc>
          <w:tcPr>
            <w:tcW w:w="35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IRREVOCABLE LETTER OF CREDIT NO.</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KBSIII ALMADEN FINANCIAL PLAZA,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hereby requests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6226175</wp:posOffset>
            </wp:positionH>
            <wp:positionV relativeFrom="paragraph">
              <wp:posOffset>-10160</wp:posOffset>
            </wp:positionV>
            <wp:extent cx="5715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spacing w:after="0"/>
        <w:tabs>
          <w:tab w:leader="none" w:pos="2440" w:val="left"/>
          <w:tab w:leader="none" w:pos="5800" w:val="left"/>
          <w:tab w:leader="none" w:pos="8580" w:val="left"/>
        </w:tabs>
        <w:rPr>
          <w:sz w:val="20"/>
          <w:szCs w:val="20"/>
          <w:color w:val="auto"/>
        </w:rPr>
      </w:pPr>
      <w:r>
        <w:rPr>
          <w:rFonts w:ascii="Arial" w:cs="Arial" w:eastAsia="Arial" w:hAnsi="Arial"/>
          <w:sz w:val="18"/>
          <w:szCs w:val="18"/>
          <w:color w:val="auto"/>
        </w:rPr>
        <w:t>United States Dollars (U.S. $</w:t>
      </w:r>
      <w:r>
        <w:rPr>
          <w:sz w:val="20"/>
          <w:szCs w:val="20"/>
          <w:color w:val="auto"/>
        </w:rPr>
        <w:tab/>
      </w:r>
      <w:r>
        <w:rPr>
          <w:rFonts w:ascii="Arial" w:cs="Arial" w:eastAsia="Arial" w:hAnsi="Arial"/>
          <w:sz w:val="18"/>
          <w:szCs w:val="18"/>
          <w:color w:val="auto"/>
        </w:rPr>
        <w:t>) pursuant to Letter of Credit No.</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-19050</wp:posOffset>
            </wp:positionV>
            <wp:extent cx="22860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-19050</wp:posOffset>
            </wp:positionV>
            <wp:extent cx="5715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-19050</wp:posOffset>
            </wp:positionV>
            <wp:extent cx="5715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such request, the Landlord hereby certifies that either (i) Tenant has not complied with the terms and conditions of that certain</w:t>
      </w:r>
    </w:p>
    <w:p>
      <w:pPr>
        <w:spacing w:after="0" w:line="46"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Lease dated , 2016, entered into by and between KBSIII ALMADEN FINANCIAL PLAZA, LLC, as landlord, and Zoom Video Communications, Inc., a Delaware corporation, as tenant, or (ii) Landlord has received written notice that the Letter of Credit will not be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-202565</wp:posOffset>
            </wp:positionV>
            <wp:extent cx="5715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KBSIII ALMADEN FINANCIAL PLAZA,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KBS Capital Advisors, LLC,</w:t>
            </w:r>
          </w:p>
        </w:tc>
      </w:tr>
      <w:tr>
        <w:trPr>
          <w:trHeight w:val="216"/>
        </w:trPr>
        <w:tc>
          <w:tcPr>
            <w:tcW w:w="4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a Delaware limited liability company,</w:t>
            </w:r>
          </w:p>
        </w:tc>
      </w:tr>
      <w:tr>
        <w:trPr>
          <w:trHeight w:val="234"/>
        </w:trPr>
        <w:tc>
          <w:tcPr>
            <w:tcW w:w="4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its authorized agent</w:t>
            </w:r>
          </w:p>
        </w:tc>
      </w:tr>
      <w:tr>
        <w:trPr>
          <w:trHeight w:val="432"/>
        </w:trPr>
        <w:tc>
          <w:tcPr>
            <w:tcW w:w="4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By:</w:t>
            </w:r>
          </w:p>
        </w:tc>
        <w:tc>
          <w:tcPr>
            <w:tcW w:w="298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Name:</w:t>
            </w:r>
          </w:p>
        </w:tc>
        <w:tc>
          <w:tcPr>
            <w:tcW w:w="2980" w:type="dxa"/>
            <w:vAlign w:val="bottom"/>
            <w:tcBorders>
              <w:bottom w:val="single" w:sz="8" w:color="auto"/>
            </w:tcBorders>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Title:</w:t>
            </w:r>
          </w:p>
        </w:tc>
        <w:tc>
          <w:tcPr>
            <w:tcW w:w="2980" w:type="dxa"/>
            <w:vAlign w:val="bottom"/>
            <w:tcBorders>
              <w:bottom w:val="single" w:sz="8" w:color="auto"/>
            </w:tcBorders>
          </w:tcPr>
          <w:p>
            <w:pPr>
              <w:spacing w:after="0"/>
              <w:rPr>
                <w:sz w:val="19"/>
                <w:szCs w:val="19"/>
                <w:color w:val="auto"/>
              </w:rPr>
            </w:pPr>
          </w:p>
        </w:tc>
      </w:tr>
    </w:tbl>
    <w:p>
      <w:pPr>
        <w:spacing w:after="0" w:line="23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-7620</wp:posOffset>
            </wp:positionV>
            <wp:extent cx="34290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-7620</wp:posOffset>
            </wp:positionV>
            <wp:extent cx="1143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900"/>
          </w:cols>
          <w:pgMar w:left="440" w:top="270" w:right="55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LOCATION OF ADDITIONAL SUITE 600 VAV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167640</wp:posOffset>
            </wp:positionV>
            <wp:extent cx="5503545" cy="246888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5035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9019"/>
          </w:cols>
          <w:pgMar w:left="1440" w:top="270" w:right="1440" w:bottom="1440" w:gutter="0" w:footer="0" w:header="0"/>
        </w:sectPr>
      </w:pPr>
    </w:p>
    <w:bookmarkStart w:id="415" w:name="page416"/>
    <w:bookmarkEnd w:id="4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J</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PRE-APPROVED LOCATION OF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167640</wp:posOffset>
            </wp:positionV>
            <wp:extent cx="5477510" cy="421767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47751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9019"/>
          </w:cols>
          <w:pgMar w:left="1440" w:top="270" w:right="1440" w:bottom="1440" w:gutter="0" w:footer="0" w:header="0"/>
        </w:sectPr>
      </w:pPr>
    </w:p>
    <w:bookmarkStart w:id="416" w:name="page417"/>
    <w:bookmarkEnd w:id="41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ONE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TWO RENEWAL OPTIONS AT MARKET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4" w:right="20" w:firstLine="436"/>
        <w:spacing w:after="0" w:line="291" w:lineRule="auto"/>
        <w:tabs>
          <w:tab w:leader="none" w:pos="82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First Extension Notice and the Commencement Date of the First Extension Term, (i) Tenant is the Tenant originally named herein, (ii) Tenant actually occupies all of the Premises initially demised under this Lease and any space added to the Premises (including the Suite 600 Space), and (iii) no event of default exists or would exist but for the passage of time or the giving of notice, or both; then Tenant shall have the right to extend the Lease Term for the entirety of the Premises for an additional term of five (5) years (such additional term is hereinafter called the “</w:t>
      </w:r>
      <w:r>
        <w:rPr>
          <w:rFonts w:ascii="Arial" w:cs="Arial" w:eastAsia="Arial" w:hAnsi="Arial"/>
          <w:sz w:val="16"/>
          <w:szCs w:val="16"/>
          <w:u w:val="single" w:color="auto"/>
          <w:color w:val="auto"/>
        </w:rPr>
        <w:t>First Extension Term</w:t>
      </w:r>
      <w:r>
        <w:rPr>
          <w:rFonts w:ascii="Arial" w:cs="Arial" w:eastAsia="Arial" w:hAnsi="Arial"/>
          <w:sz w:val="16"/>
          <w:szCs w:val="16"/>
          <w:color w:val="auto"/>
        </w:rPr>
        <w:t>”) commencing on the day following the expiration of the Lease Term (hereinafter referred to as the “</w:t>
      </w:r>
      <w:r>
        <w:rPr>
          <w:rFonts w:ascii="Arial" w:cs="Arial" w:eastAsia="Arial" w:hAnsi="Arial"/>
          <w:sz w:val="16"/>
          <w:szCs w:val="16"/>
          <w:u w:val="single" w:color="auto"/>
          <w:color w:val="auto"/>
        </w:rPr>
        <w:t>Commencement Date of the First Extension Term</w:t>
      </w:r>
      <w:r>
        <w:rPr>
          <w:rFonts w:ascii="Arial" w:cs="Arial" w:eastAsia="Arial" w:hAnsi="Arial"/>
          <w:sz w:val="16"/>
          <w:szCs w:val="16"/>
          <w:color w:val="auto"/>
        </w:rPr>
        <w:t>”). Tenant must give Landlord notice (hereinafter called the “</w:t>
      </w:r>
      <w:r>
        <w:rPr>
          <w:rFonts w:ascii="Arial" w:cs="Arial" w:eastAsia="Arial" w:hAnsi="Arial"/>
          <w:sz w:val="16"/>
          <w:szCs w:val="16"/>
          <w:u w:val="single" w:color="auto"/>
          <w:color w:val="auto"/>
        </w:rPr>
        <w:t>First Extension Notice</w:t>
      </w:r>
      <w:r>
        <w:rPr>
          <w:rFonts w:ascii="Arial" w:cs="Arial" w:eastAsia="Arial" w:hAnsi="Arial"/>
          <w:sz w:val="16"/>
          <w:szCs w:val="16"/>
          <w:color w:val="auto"/>
        </w:rPr>
        <w:t>”) of its election to extend the term of the Lease Term at least six (6) months, but not more than nine (9) months, prior to the scheduled expiration date of the Lease Term.</w:t>
      </w:r>
    </w:p>
    <w:p>
      <w:pPr>
        <w:spacing w:after="0" w:line="166" w:lineRule="exact"/>
        <w:rPr>
          <w:rFonts w:ascii="Arial" w:cs="Arial" w:eastAsia="Arial" w:hAnsi="Arial"/>
          <w:sz w:val="16"/>
          <w:szCs w:val="16"/>
          <w:color w:val="auto"/>
        </w:rPr>
      </w:pPr>
    </w:p>
    <w:p>
      <w:pPr>
        <w:ind w:left="824" w:hanging="384"/>
        <w:spacing w:after="0"/>
        <w:tabs>
          <w:tab w:leader="none" w:pos="824" w:val="left"/>
        </w:tabs>
        <w:numPr>
          <w:ilvl w:val="1"/>
          <w:numId w:val="402"/>
        </w:numPr>
        <w:rPr>
          <w:rFonts w:ascii="Arial" w:cs="Arial" w:eastAsia="Arial" w:hAnsi="Arial"/>
          <w:sz w:val="17"/>
          <w:szCs w:val="17"/>
          <w:color w:val="auto"/>
        </w:rPr>
      </w:pPr>
      <w:r>
        <w:rPr>
          <w:rFonts w:ascii="Arial" w:cs="Arial" w:eastAsia="Arial" w:hAnsi="Arial"/>
          <w:sz w:val="17"/>
          <w:szCs w:val="17"/>
          <w:color w:val="auto"/>
        </w:rPr>
        <w:t>Provided that as of the time of the giving of the Second Extension Notice and the Commencement Date of the Second Extension Term,</w:t>
      </w:r>
    </w:p>
    <w:p>
      <w:pPr>
        <w:spacing w:after="0" w:line="34" w:lineRule="exact"/>
        <w:rPr>
          <w:rFonts w:ascii="Arial" w:cs="Arial" w:eastAsia="Arial" w:hAnsi="Arial"/>
          <w:sz w:val="17"/>
          <w:szCs w:val="17"/>
          <w:color w:val="auto"/>
        </w:rPr>
      </w:pPr>
    </w:p>
    <w:p>
      <w:pPr>
        <w:ind w:left="4" w:right="40" w:hanging="4"/>
        <w:spacing w:after="0" w:line="269" w:lineRule="auto"/>
        <w:tabs>
          <w:tab w:leader="none" w:pos="21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Tenant is the Tenant originally named herein, (ii) Tenant actually occupies all of the Premises initially demised under this Lease and any space added to the Premises (including the Suite 600 Space), and (iii) no event of default exists or would exist but for the passage of time or the giving of notice, or both and provided Tenant has exercised its option for the First Extension Term; then Tenant shall have the right to extend the Lease Term for the entirety of the Premises for an additional term of five (5) years (such additional term is hereinafter called the “</w:t>
      </w:r>
      <w:r>
        <w:rPr>
          <w:rFonts w:ascii="Arial" w:cs="Arial" w:eastAsia="Arial" w:hAnsi="Arial"/>
          <w:sz w:val="17"/>
          <w:szCs w:val="17"/>
          <w:u w:val="single" w:color="auto"/>
          <w:color w:val="auto"/>
        </w:rPr>
        <w:t>Second Extension Term</w:t>
      </w:r>
      <w:r>
        <w:rPr>
          <w:rFonts w:ascii="Arial" w:cs="Arial" w:eastAsia="Arial" w:hAnsi="Arial"/>
          <w:sz w:val="17"/>
          <w:szCs w:val="17"/>
          <w:color w:val="auto"/>
        </w:rPr>
        <w:t>”) commencing on the day following the expiration of the First Extension Term (hereinafter referred to as the “</w:t>
      </w:r>
      <w:r>
        <w:rPr>
          <w:rFonts w:ascii="Arial" w:cs="Arial" w:eastAsia="Arial" w:hAnsi="Arial"/>
          <w:sz w:val="17"/>
          <w:szCs w:val="17"/>
          <w:u w:val="single" w:color="auto"/>
          <w:color w:val="auto"/>
        </w:rPr>
        <w:t>Commencement Date of the Second Extension Term</w:t>
      </w:r>
      <w:r>
        <w:rPr>
          <w:rFonts w:ascii="Arial" w:cs="Arial" w:eastAsia="Arial" w:hAnsi="Arial"/>
          <w:sz w:val="17"/>
          <w:szCs w:val="17"/>
          <w:color w:val="auto"/>
        </w:rPr>
        <w:t>”). Tenant must give Landlord notice (hereinafter called the “</w:t>
      </w:r>
      <w:r>
        <w:rPr>
          <w:rFonts w:ascii="Arial" w:cs="Arial" w:eastAsia="Arial" w:hAnsi="Arial"/>
          <w:sz w:val="17"/>
          <w:szCs w:val="17"/>
          <w:u w:val="single" w:color="auto"/>
          <w:color w:val="auto"/>
        </w:rPr>
        <w:t>Second Extension Notice</w:t>
      </w:r>
      <w:r>
        <w:rPr>
          <w:rFonts w:ascii="Arial" w:cs="Arial" w:eastAsia="Arial" w:hAnsi="Arial"/>
          <w:sz w:val="17"/>
          <w:szCs w:val="17"/>
          <w:color w:val="auto"/>
        </w:rPr>
        <w:t>”) of its election to extend the term of the Lease Term at least six (6) months, but not more than nine (9) months, prior to the scheduled expiration date of the First Extension Term.</w:t>
      </w:r>
    </w:p>
    <w:p>
      <w:pPr>
        <w:spacing w:after="0" w:line="180" w:lineRule="exact"/>
        <w:rPr>
          <w:rFonts w:ascii="Arial" w:cs="Arial" w:eastAsia="Arial" w:hAnsi="Arial"/>
          <w:sz w:val="17"/>
          <w:szCs w:val="17"/>
          <w:color w:val="auto"/>
        </w:rPr>
      </w:pPr>
    </w:p>
    <w:p>
      <w:pPr>
        <w:ind w:left="4" w:firstLine="436"/>
        <w:spacing w:after="0" w:line="272" w:lineRule="auto"/>
        <w:tabs>
          <w:tab w:leader="none" w:pos="821" w:val="left"/>
        </w:tabs>
        <w:numPr>
          <w:ilvl w:val="1"/>
          <w:numId w:val="403"/>
        </w:numPr>
        <w:rPr>
          <w:rFonts w:ascii="Arial" w:cs="Arial" w:eastAsia="Arial" w:hAnsi="Arial"/>
          <w:sz w:val="17"/>
          <w:szCs w:val="17"/>
          <w:color w:val="auto"/>
        </w:rPr>
      </w:pPr>
      <w:r>
        <w:rPr>
          <w:rFonts w:ascii="Arial" w:cs="Arial" w:eastAsia="Arial" w:hAnsi="Arial"/>
          <w:sz w:val="17"/>
          <w:szCs w:val="17"/>
          <w:color w:val="auto"/>
        </w:rPr>
        <w:t>The Basic Annual Rent payable by Tenant to Landlord during the First Extension Term shall be the then prevailing market rate for comparable space in the Project and comparable buildings in the Downtown San Jose area, taking into account the size of the Lease, the length of the renewal term, market escalations and the credit of Tenant. The Basic Annual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 agreement on such rental rate and execute the Amendment (defined below) at least five (5) months prior to the expiration of the Lease, then Tenant’s exercise of the renewal option shall be deemed withdrawn and the Lease shall terminate on its original expiration date.</w:t>
      </w:r>
    </w:p>
    <w:p>
      <w:pPr>
        <w:spacing w:after="0" w:line="177" w:lineRule="exact"/>
        <w:rPr>
          <w:rFonts w:ascii="Arial" w:cs="Arial" w:eastAsia="Arial" w:hAnsi="Arial"/>
          <w:sz w:val="17"/>
          <w:szCs w:val="17"/>
          <w:color w:val="auto"/>
        </w:rPr>
      </w:pPr>
    </w:p>
    <w:p>
      <w:pPr>
        <w:ind w:left="4" w:right="180" w:firstLine="436"/>
        <w:spacing w:after="0" w:line="291" w:lineRule="auto"/>
        <w:tabs>
          <w:tab w:leader="none" w:pos="831"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The Basic Annual Rent payable by Tenant to Landlord during the Second Extension Term shall be the then prevailing market rate for comparable space in the Project and comparable buildings in the Downtown San Jose area, taking into account the size of the Lease, the length of the renewal term, market escalations and the credit of Tenant. The Basic Annual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 agreement on such rental rate and execute the Amendment (defined below) at least five (5) months prior to the expiration date of the First Extension Term, then Tenant’s exercise of the renewal option shall be deemed withdrawn and the Lease shall terminate at the end of the First Extension Term.</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Addendum One-1</w:t>
      </w:r>
    </w:p>
    <w:p>
      <w:pPr>
        <w:sectPr>
          <w:pgSz w:w="11900" w:h="16838" w:orient="portrait"/>
          <w:cols w:equalWidth="0" w:num="1">
            <w:col w:w="11024"/>
          </w:cols>
          <w:pgMar w:left="436" w:top="274" w:right="439" w:bottom="1440" w:gutter="0" w:footer="0" w:header="0"/>
        </w:sectPr>
      </w:pPr>
    </w:p>
    <w:bookmarkStart w:id="417" w:name="page418"/>
    <w:bookmarkEnd w:id="417"/>
    <w:p>
      <w:pPr>
        <w:jc w:val="both"/>
        <w:ind w:left="-60" w:firstLine="436"/>
        <w:spacing w:after="0" w:line="259" w:lineRule="auto"/>
        <w:tabs>
          <w:tab w:leader="none" w:pos="757"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determination of Basic Annual Rent does not reduce the Tenant’s obligation to pay or reimburse Landlord for Operating Costs and other reimbursable items as set forth in the Lease, and Tenant shall reimburse and pay Landlord as set forth in the Lease with respect to such Operating Costs and other items with respect to the Premises during the First Extension Term and/or the Second Extension Term without regard to any cap on such costs and/or expenses set forth in the Lease.</w:t>
      </w:r>
    </w:p>
    <w:p>
      <w:pPr>
        <w:spacing w:after="0" w:line="186" w:lineRule="exact"/>
        <w:rPr>
          <w:rFonts w:ascii="Arial" w:cs="Arial" w:eastAsia="Arial" w:hAnsi="Arial"/>
          <w:sz w:val="18"/>
          <w:szCs w:val="18"/>
          <w:color w:val="auto"/>
        </w:rPr>
      </w:pPr>
    </w:p>
    <w:p>
      <w:pPr>
        <w:ind w:left="-60" w:right="40" w:firstLine="436"/>
        <w:spacing w:after="0" w:line="254" w:lineRule="auto"/>
        <w:tabs>
          <w:tab w:leader="none" w:pos="7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Except for the Basic Annual Rent during the First Extension Term as determined above, Tenant’s occupancy of the Premises during the First Extension Term shall be on the same terms and conditions as are in effect immediately prior to the expiration of the initial Lease Term; provided, however, Tenant shall have no further right to any allowances, credits or abatements or any options to expand, contract, terminate, renew or extend the Lease. Except for the Basic Annual Rent during the Second Extension Term as determined above, Tenant’s occupancy of the Premises during the Second Extension Term shall be on the same terms and conditions as are in effect immediately prior to the expiration of the First Extension Term; provided, however, Tenant shall have no further right to any allowances, credits or abatements or any options to expand, contract, terminate, renew or extend the Lease.</w:t>
      </w:r>
    </w:p>
    <w:p>
      <w:pPr>
        <w:spacing w:after="0" w:line="194" w:lineRule="exact"/>
        <w:rPr>
          <w:rFonts w:ascii="Arial" w:cs="Arial" w:eastAsia="Arial" w:hAnsi="Arial"/>
          <w:sz w:val="18"/>
          <w:szCs w:val="18"/>
          <w:color w:val="auto"/>
        </w:rPr>
      </w:pPr>
    </w:p>
    <w:p>
      <w:pPr>
        <w:ind w:left="-60" w:firstLine="436"/>
        <w:spacing w:after="0" w:line="279" w:lineRule="auto"/>
        <w:tabs>
          <w:tab w:leader="none" w:pos="77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xml:space="preserve">If Tenant does not give the First Extension Notice within the period set forth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Tenant’s right to extend the Lease Term for the First Extension Term and the Second Extension Term shall automatically terminate. If Tenant does not give the Second Extension Notice within the period set forth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Tenant’s right to extend the Lease Term for the Second Extension Term shall automatically terminate. Time is of the essence as to the giving of the First Extension Notice and the Second Extension Notice.</w:t>
      </w:r>
    </w:p>
    <w:p>
      <w:pPr>
        <w:spacing w:after="0" w:line="171" w:lineRule="exact"/>
        <w:rPr>
          <w:rFonts w:ascii="Arial" w:cs="Arial" w:eastAsia="Arial" w:hAnsi="Arial"/>
          <w:sz w:val="17"/>
          <w:szCs w:val="17"/>
          <w:color w:val="auto"/>
        </w:rPr>
      </w:pPr>
    </w:p>
    <w:p>
      <w:pPr>
        <w:ind w:left="-60" w:right="80" w:firstLine="436"/>
        <w:spacing w:after="0" w:line="263" w:lineRule="auto"/>
        <w:tabs>
          <w:tab w:leader="none" w:pos="77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First Extension Term and/or the Second Extension Term. The Premises shall be tendered on the Commencement Date of the First Extension Term and the Commencement Date of the Second Extension Term in “</w:t>
      </w:r>
      <w:r>
        <w:rPr>
          <w:rFonts w:ascii="Arial" w:cs="Arial" w:eastAsia="Arial" w:hAnsi="Arial"/>
          <w:sz w:val="18"/>
          <w:szCs w:val="18"/>
          <w:u w:val="single" w:color="auto"/>
          <w:color w:val="auto"/>
        </w:rPr>
        <w:t>as-is</w:t>
      </w:r>
      <w:r>
        <w:rPr>
          <w:rFonts w:ascii="Arial" w:cs="Arial" w:eastAsia="Arial" w:hAnsi="Arial"/>
          <w:sz w:val="18"/>
          <w:szCs w:val="18"/>
          <w:color w:val="auto"/>
        </w:rPr>
        <w:t>”, “</w:t>
      </w:r>
      <w:r>
        <w:rPr>
          <w:rFonts w:ascii="Arial" w:cs="Arial" w:eastAsia="Arial" w:hAnsi="Arial"/>
          <w:sz w:val="18"/>
          <w:szCs w:val="18"/>
          <w:u w:val="single" w:color="auto"/>
          <w:color w:val="auto"/>
        </w:rPr>
        <w:t>where-is</w:t>
      </w:r>
      <w:r>
        <w:rPr>
          <w:rFonts w:ascii="Arial" w:cs="Arial" w:eastAsia="Arial" w:hAnsi="Arial"/>
          <w:sz w:val="18"/>
          <w:szCs w:val="18"/>
          <w:color w:val="auto"/>
        </w:rPr>
        <w:t>”, and “</w:t>
      </w:r>
      <w:r>
        <w:rPr>
          <w:rFonts w:ascii="Arial" w:cs="Arial" w:eastAsia="Arial" w:hAnsi="Arial"/>
          <w:sz w:val="18"/>
          <w:szCs w:val="18"/>
          <w:u w:val="single" w:color="auto"/>
          <w:color w:val="auto"/>
        </w:rPr>
        <w:t>with all faults</w:t>
      </w:r>
      <w:r>
        <w:rPr>
          <w:rFonts w:ascii="Arial" w:cs="Arial" w:eastAsia="Arial" w:hAnsi="Arial"/>
          <w:sz w:val="18"/>
          <w:szCs w:val="18"/>
          <w:color w:val="auto"/>
        </w:rPr>
        <w:t>” condition.</w:t>
      </w:r>
    </w:p>
    <w:p>
      <w:pPr>
        <w:spacing w:after="0" w:line="183" w:lineRule="exact"/>
        <w:rPr>
          <w:rFonts w:ascii="Arial" w:cs="Arial" w:eastAsia="Arial" w:hAnsi="Arial"/>
          <w:sz w:val="18"/>
          <w:szCs w:val="18"/>
          <w:color w:val="auto"/>
        </w:rPr>
      </w:pPr>
    </w:p>
    <w:p>
      <w:pPr>
        <w:ind w:left="-60" w:right="400" w:firstLine="436"/>
        <w:spacing w:after="0" w:line="342" w:lineRule="auto"/>
        <w:tabs>
          <w:tab w:leader="none" w:pos="73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If the Lease is extended for either the First Extension Term or the Second Extension Term, then Landlord shall prepare and Tenant shall execute an amendment to the Lease confirming the extension of the Lease Term and the other provisions applicable thereto (the “</w:t>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0" w:right="220" w:firstLine="436"/>
        <w:spacing w:after="0" w:line="263" w:lineRule="auto"/>
        <w:tabs>
          <w:tab w:leader="none" w:pos="73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Tenant exercises its right to extend the term of the Lease for the First Extension Term or the Second Extension Term pursuant to this Addendum One, the term “</w:t>
      </w: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as used in the Lease, shall be construed to include, when practicable, the First Extension Term or the Second Extension Term, as applicable, except as provided in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above.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One-2</w:t>
      </w:r>
    </w:p>
    <w:p>
      <w:pPr>
        <w:sectPr>
          <w:pgSz w:w="11900" w:h="16838" w:orient="portrait"/>
          <w:cols w:equalWidth="0" w:num="1">
            <w:col w:w="10880"/>
          </w:cols>
          <w:pgMar w:left="500" w:top="274" w:right="519" w:bottom="1440" w:gutter="0" w:footer="0" w:header="0"/>
        </w:sectPr>
      </w:pPr>
    </w:p>
    <w:bookmarkStart w:id="418" w:name="page419"/>
    <w:bookmarkEnd w:id="418"/>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TWO</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ONE-TIME RIGHT OF FIRST OFFER</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4" w:right="40" w:firstLine="436"/>
        <w:spacing w:after="0" w:line="271" w:lineRule="auto"/>
        <w:tabs>
          <w:tab w:leader="none" w:pos="824" w:val="left"/>
        </w:tabs>
        <w:numPr>
          <w:ilvl w:val="1"/>
          <w:numId w:val="4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Offered Space</w:t>
      </w:r>
      <w:r>
        <w:rPr>
          <w:rFonts w:ascii="Arial" w:cs="Arial" w:eastAsia="Arial" w:hAnsi="Arial"/>
          <w:sz w:val="17"/>
          <w:szCs w:val="17"/>
          <w:color w:val="auto"/>
        </w:rPr>
        <w:t xml:space="preserve">” shall mean a minimum of one (1) full floor of leasable area in the Building, which is not already included in the Premises. For the avoidance of doubt, this one-time right of first offer shall not be triggered unless at least one (1) full floor in the Building is available (i.e., meaning if less than a full floor is available then Landlord shall be permitted to lease such partial floor without triggering Tenant’s right of first offer hereunder); provided, however, as set forth below in </w:t>
      </w:r>
      <w:r>
        <w:rPr>
          <w:rFonts w:ascii="Arial" w:cs="Arial" w:eastAsia="Arial" w:hAnsi="Arial"/>
          <w:sz w:val="17"/>
          <w:szCs w:val="17"/>
          <w:u w:val="single" w:color="auto"/>
          <w:color w:val="auto"/>
        </w:rPr>
        <w:t>Paragraph (d)</w:t>
      </w:r>
      <w:r>
        <w:rPr>
          <w:rFonts w:ascii="Arial" w:cs="Arial" w:eastAsia="Arial" w:hAnsi="Arial"/>
          <w:sz w:val="17"/>
          <w:szCs w:val="17"/>
          <w:color w:val="auto"/>
        </w:rPr>
        <w:t>,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 This is a one-time right and Landlord shall only be required to provide one (1) First Offer Notice to Tenant, irrespective if Tenant ultimately elects to exercise its right of first offer in response to such First Offer Notice or waive its rights under this Addendum Two in response to this First Offer Notice.</w:t>
      </w:r>
    </w:p>
    <w:p>
      <w:pPr>
        <w:spacing w:after="0" w:line="178" w:lineRule="exact"/>
        <w:rPr>
          <w:rFonts w:ascii="Arial" w:cs="Arial" w:eastAsia="Arial" w:hAnsi="Arial"/>
          <w:sz w:val="17"/>
          <w:szCs w:val="17"/>
          <w:color w:val="auto"/>
        </w:rPr>
      </w:pPr>
    </w:p>
    <w:p>
      <w:pPr>
        <w:ind w:left="4" w:right="20" w:firstLine="436"/>
        <w:spacing w:after="0" w:line="289" w:lineRule="auto"/>
        <w:tabs>
          <w:tab w:leader="none" w:pos="83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Provided that as of the date of the giving of the First Offer Notice, (i) Tenant is the Tenant originally named herein, (ii) Tenant actually occupies all of the Premises originally demised under this Lease and any premises added to the Premises, and (iii) no event of default or event which but for the passage of time or the giving of notice, or both, would constitute an event of default has occurred and is continuing, if at any time during the Lease Term any portion of the Offered Space is vacant and unencumbered by any rights of any third party, then Landlord, before offering such Offered Space to anyone, other than the tenant then occupying such space (or its affiliates), shall offer to Tenant the right to include the Offered Space within the Premises on the same terms and conditions upon which Landlord intends to offer the Offered Space for lease. Notwithstanding anything to the contrary in the Lease, the right of first offer granted to Tenant under this Addendum Two shall be subject and subordinate to (i) the rights of all tenants at the Project under existing leases, and (ii) the herein reserved right of Landlord to renew or extend the term of any lease with the tenant then occupying such space (or any of its affiliates), whether pursuant to a renewal or extension option in such lease or otherwise.</w:t>
      </w:r>
    </w:p>
    <w:p>
      <w:pPr>
        <w:spacing w:after="0" w:line="166" w:lineRule="exact"/>
        <w:rPr>
          <w:rFonts w:ascii="Arial" w:cs="Arial" w:eastAsia="Arial" w:hAnsi="Arial"/>
          <w:sz w:val="16"/>
          <w:szCs w:val="16"/>
          <w:color w:val="auto"/>
        </w:rPr>
      </w:pPr>
    </w:p>
    <w:p>
      <w:pPr>
        <w:ind w:left="4" w:right="80" w:firstLine="436"/>
        <w:spacing w:after="0" w:line="287" w:lineRule="auto"/>
        <w:tabs>
          <w:tab w:leader="none" w:pos="824" w:val="left"/>
        </w:tabs>
        <w:numPr>
          <w:ilvl w:val="1"/>
          <w:numId w:val="405"/>
        </w:numPr>
        <w:rPr>
          <w:rFonts w:ascii="Arial" w:cs="Arial" w:eastAsia="Arial" w:hAnsi="Arial"/>
          <w:sz w:val="16"/>
          <w:szCs w:val="16"/>
          <w:color w:val="auto"/>
        </w:rPr>
      </w:pPr>
      <w:r>
        <w:rPr>
          <w:rFonts w:ascii="Arial" w:cs="Arial" w:eastAsia="Arial" w:hAnsi="Arial"/>
          <w:sz w:val="16"/>
          <w:szCs w:val="16"/>
          <w:color w:val="auto"/>
        </w:rPr>
        <w:t>Such offer shall be made by Landlord to Tenant in a written notice (hereinafter called the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offer shall designate the space being offered and shall specify the terms which Landlord intends to offer with respect to any such Offered Space. Tenant may accept the offer set forth in the First Offer Notice by delivering to Landlord an unconditional acceptance (hereinafter called “</w:t>
      </w:r>
      <w:r>
        <w:rPr>
          <w:rFonts w:ascii="Arial" w:cs="Arial" w:eastAsia="Arial" w:hAnsi="Arial"/>
          <w:sz w:val="16"/>
          <w:szCs w:val="16"/>
          <w:u w:val="single" w:color="auto"/>
          <w:color w:val="auto"/>
        </w:rPr>
        <w:t>Tenant’s Notice</w:t>
      </w:r>
      <w:r>
        <w:rPr>
          <w:rFonts w:ascii="Arial" w:cs="Arial" w:eastAsia="Arial" w:hAnsi="Arial"/>
          <w:sz w:val="16"/>
          <w:szCs w:val="16"/>
          <w:color w:val="auto"/>
        </w:rPr>
        <w:t>”) of such offer within five</w:t>
      </w:r>
    </w:p>
    <w:p>
      <w:pPr>
        <w:spacing w:after="0" w:line="2" w:lineRule="exact"/>
        <w:rPr>
          <w:rFonts w:ascii="Arial" w:cs="Arial" w:eastAsia="Arial" w:hAnsi="Arial"/>
          <w:sz w:val="16"/>
          <w:szCs w:val="16"/>
          <w:color w:val="auto"/>
        </w:rPr>
      </w:pPr>
    </w:p>
    <w:p>
      <w:pPr>
        <w:ind w:left="4" w:hanging="4"/>
        <w:spacing w:after="0" w:line="270" w:lineRule="auto"/>
        <w:tabs>
          <w:tab w:leader="none" w:pos="25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business days after delivery by Landlord of the First Offer Notice to Tenant. Time shall be of the essence with respect to the giving of Tenant’s Notice. If Tenant does not accept (or fails to timely accept) an offer made by Landlord pursuant to the provisions of this Addendum Two with respect to the Offered Space designated in the First Offer Notice and execute the Amendment (defined below) within thirty (30) days after the delivery of the First Offer Notice, then Landlord shall be under no further obligation with respect to this Addendum Two. In addition, if Tenant does timely deliver a Tenant’s Notice in response to a First Offer Notice and thereafter timely executes an Amendment, this Addendum Two shall similarly be deemed deleted and of no further force or effect since this right of first offer is only a one-time right.</w:t>
      </w:r>
    </w:p>
    <w:p>
      <w:pPr>
        <w:spacing w:after="0" w:line="178" w:lineRule="exact"/>
        <w:rPr>
          <w:rFonts w:ascii="Arial" w:cs="Arial" w:eastAsia="Arial" w:hAnsi="Arial"/>
          <w:sz w:val="17"/>
          <w:szCs w:val="17"/>
          <w:color w:val="auto"/>
        </w:rPr>
      </w:pPr>
    </w:p>
    <w:p>
      <w:pPr>
        <w:ind w:left="4" w:right="100" w:firstLine="436"/>
        <w:spacing w:after="0" w:line="279" w:lineRule="auto"/>
        <w:tabs>
          <w:tab w:leader="none" w:pos="831" w:val="left"/>
        </w:tabs>
        <w:numPr>
          <w:ilvl w:val="1"/>
          <w:numId w:val="406"/>
        </w:numPr>
        <w:rPr>
          <w:rFonts w:ascii="Arial" w:cs="Arial" w:eastAsia="Arial" w:hAnsi="Arial"/>
          <w:sz w:val="17"/>
          <w:szCs w:val="17"/>
          <w:color w:val="auto"/>
        </w:rPr>
      </w:pPr>
      <w:r>
        <w:rPr>
          <w:rFonts w:ascii="Arial" w:cs="Arial" w:eastAsia="Arial" w:hAnsi="Arial"/>
          <w:sz w:val="17"/>
          <w:szCs w:val="17"/>
          <w:color w:val="auto"/>
        </w:rPr>
        <w:t>Tenant must accept all Offered Space offered by Landlord at any one time if it desires to accept any of such Offered Space and may not exercise its right with respect to only part of such space. In addition,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Addendum Two-1</w:t>
      </w:r>
    </w:p>
    <w:p>
      <w:pPr>
        <w:sectPr>
          <w:pgSz w:w="11900" w:h="16838" w:orient="portrait"/>
          <w:cols w:equalWidth="0" w:num="1">
            <w:col w:w="11004"/>
          </w:cols>
          <w:pgMar w:left="436" w:top="274" w:right="459" w:bottom="1440" w:gutter="0" w:footer="0" w:header="0"/>
        </w:sectPr>
      </w:pPr>
    </w:p>
    <w:bookmarkStart w:id="419" w:name="page420"/>
    <w:bookmarkEnd w:id="419"/>
    <w:p>
      <w:pPr>
        <w:ind w:left="-200" w:firstLine="436"/>
        <w:spacing w:after="0" w:line="263" w:lineRule="auto"/>
        <w:tabs>
          <w:tab w:leader="none" w:pos="6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Tenant at any time declines any Offered Space offered by Landlord, Tenant shall be deemed to have irrevocably waived all further rights under this Addendum Two, and Landlord shall be free to lease the Offered Space to third parties including on terms which may be less favorable to Landlord than those offered to Tenant.</w:t>
      </w:r>
    </w:p>
    <w:p>
      <w:pPr>
        <w:spacing w:after="0" w:line="183" w:lineRule="exact"/>
        <w:rPr>
          <w:rFonts w:ascii="Arial" w:cs="Arial" w:eastAsia="Arial" w:hAnsi="Arial"/>
          <w:sz w:val="18"/>
          <w:szCs w:val="18"/>
          <w:color w:val="auto"/>
        </w:rPr>
      </w:pPr>
    </w:p>
    <w:p>
      <w:pPr>
        <w:ind w:left="-200" w:right="80" w:firstLine="436"/>
        <w:spacing w:after="0" w:line="263" w:lineRule="auto"/>
        <w:tabs>
          <w:tab w:leader="none" w:pos="6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event that Tenant exercises its rights to any Offered Space pursuant to this Addendum Two, then Landlord shall prepare, and Tenant shall execute, an amendment to the Lease which confirms such expansion of the Premises and the other provisions applicable thereto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Two-2</w:t>
      </w:r>
    </w:p>
    <w:p>
      <w:pPr>
        <w:sectPr>
          <w:pgSz w:w="11900" w:h="16838" w:orient="portrait"/>
          <w:cols w:equalWidth="0" w:num="1">
            <w:col w:w="10620"/>
          </w:cols>
          <w:pgMar w:left="640" w:top="274" w:right="639" w:bottom="1440" w:gutter="0" w:footer="0" w:header="0"/>
        </w:sectPr>
      </w:pPr>
    </w:p>
    <w:bookmarkStart w:id="420" w:name="page421"/>
    <w:bookmarkEnd w:id="4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 THREE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CANCELLATION OPTION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Provided no event of default shall then exist under the Lease and no condition shall then exist which with the passage of time or giving of notice, or both, would constitute an event of default under the Lease, Tenant shall have the right at any time on or before the last day of the thirtieth (30</w:t>
      </w:r>
      <w:r>
        <w:rPr>
          <w:rFonts w:ascii="Arial" w:cs="Arial" w:eastAsia="Arial" w:hAnsi="Arial"/>
          <w:sz w:val="13"/>
          <w:szCs w:val="13"/>
          <w:color w:val="auto"/>
        </w:rPr>
        <w:t>th</w:t>
      </w:r>
      <w:r>
        <w:rPr>
          <w:rFonts w:ascii="Arial" w:cs="Arial" w:eastAsia="Arial" w:hAnsi="Arial"/>
          <w:sz w:val="16"/>
          <w:szCs w:val="16"/>
          <w:color w:val="auto"/>
        </w:rPr>
        <w:t>) full calendar month following the Commencement Date to send Landlord irrevocable written notice (the “</w:t>
      </w:r>
      <w:r>
        <w:rPr>
          <w:rFonts w:ascii="Arial" w:cs="Arial" w:eastAsia="Arial" w:hAnsi="Arial"/>
          <w:sz w:val="16"/>
          <w:szCs w:val="16"/>
          <w:u w:val="single" w:color="auto"/>
          <w:color w:val="auto"/>
        </w:rPr>
        <w:t>Termination Notice</w:t>
      </w:r>
      <w:r>
        <w:rPr>
          <w:rFonts w:ascii="Arial" w:cs="Arial" w:eastAsia="Arial" w:hAnsi="Arial"/>
          <w:sz w:val="16"/>
          <w:szCs w:val="16"/>
          <w:color w:val="auto"/>
        </w:rPr>
        <w:t>”) that Tenant has elected to terminate this Lease, effective on the last day of the thirty-sixth (36</w:t>
      </w:r>
      <w:r>
        <w:rPr>
          <w:rFonts w:ascii="Arial" w:cs="Arial" w:eastAsia="Arial" w:hAnsi="Arial"/>
          <w:sz w:val="13"/>
          <w:szCs w:val="13"/>
          <w:color w:val="auto"/>
        </w:rPr>
        <w:t>th</w:t>
      </w:r>
      <w:r>
        <w:rPr>
          <w:rFonts w:ascii="Arial" w:cs="Arial" w:eastAsia="Arial" w:hAnsi="Arial"/>
          <w:sz w:val="16"/>
          <w:szCs w:val="16"/>
          <w:color w:val="auto"/>
        </w:rPr>
        <w:t>) full calendar month following the Commencement Date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5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If Tenant elects to terminate this Lease pursuant to the immediately preceding sentence, the effectiveness of such termination shall be conditioned upon Tenant paying to Landlord, simultaneously with Tenant’s delivery of the Termination Notice to Landlord, a termination fee equal to the sum of $321,753.64 (collectively the “</w:t>
      </w:r>
      <w:r>
        <w:rPr>
          <w:rFonts w:ascii="Arial" w:cs="Arial" w:eastAsia="Arial" w:hAnsi="Arial"/>
          <w:sz w:val="17"/>
          <w:szCs w:val="17"/>
          <w:u w:val="single" w:color="auto"/>
          <w:color w:val="auto"/>
        </w:rPr>
        <w:t>Termination Fee</w:t>
      </w:r>
      <w:r>
        <w:rPr>
          <w:rFonts w:ascii="Arial" w:cs="Arial" w:eastAsia="Arial" w:hAnsi="Arial"/>
          <w:sz w:val="17"/>
          <w:szCs w:val="17"/>
          <w:color w:val="auto"/>
        </w:rPr>
        <w:t>”). Such Termination Fee is consideration for Tenant’s option to terminate and shall not be applied to Rent or any other obligation of Tenant. Except as otherwise expressly set forth in this Lease, Landlord and Tenant shall be relieved of all obligations accruing under this Lease after the Termination Date, but not any obligations accruing under the Lease prior to the effective date of such termination. Both Landlord and Tenant acknowledge and agree that it would be impracticable or extremely difficult to affix damages if Tenant terminates this Lease and that the Termination Fee set forth above represents a reasonable estimate of Landlord’s damages in the event Tenant terminates this Lease under this Addendum. If Tenant does not timely deliver the Termination Notice or Termination Fee to Landlord, then this termination option shall become null and void and the Lease shall continue in full force and effect.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Addendum Three-1</w:t>
      </w:r>
    </w:p>
    <w:p>
      <w:pPr>
        <w:sectPr>
          <w:pgSz w:w="11900" w:h="16838" w:orient="portrait"/>
          <w:cols w:equalWidth="0" w:num="1">
            <w:col w:w="10960"/>
          </w:cols>
          <w:pgMar w:left="440" w:top="274" w:right="49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LEASE OF PREMISES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BASIC LEASE PROVISIONS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STANDARD LEASE PROVISIONS</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300" w:type="dxa"/>
            <w:vAlign w:val="bottom"/>
          </w:tcPr>
          <w:p>
            <w:pPr>
              <w:ind w:left="40"/>
              <w:spacing w:after="0"/>
              <w:rPr>
                <w:sz w:val="20"/>
                <w:szCs w:val="20"/>
                <w:color w:val="auto"/>
              </w:rPr>
            </w:pPr>
            <w:r>
              <w:rPr>
                <w:rFonts w:ascii="Arial" w:cs="Arial" w:eastAsia="Arial" w:hAnsi="Arial"/>
                <w:sz w:val="18"/>
                <w:szCs w:val="18"/>
                <w:color w:val="auto"/>
              </w:rPr>
              <w:t>TERM</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tcPr>
          <w:p>
            <w:pPr>
              <w:ind w:left="40"/>
              <w:spacing w:after="0"/>
              <w:rPr>
                <w:sz w:val="20"/>
                <w:szCs w:val="20"/>
                <w:color w:val="auto"/>
              </w:rPr>
            </w:pPr>
            <w:r>
              <w:rPr>
                <w:rFonts w:ascii="Arial" w:cs="Arial" w:eastAsia="Arial" w:hAnsi="Arial"/>
                <w:sz w:val="18"/>
                <w:szCs w:val="18"/>
                <w:color w:val="auto"/>
              </w:rPr>
              <w:t>BASIC ANNUAL RENT AND SECURITY DEPOSIT</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300" w:type="dxa"/>
            <w:vAlign w:val="bottom"/>
          </w:tcPr>
          <w:p>
            <w:pPr>
              <w:ind w:left="40"/>
              <w:spacing w:after="0"/>
              <w:rPr>
                <w:sz w:val="20"/>
                <w:szCs w:val="20"/>
                <w:color w:val="auto"/>
              </w:rPr>
            </w:pPr>
            <w:r>
              <w:rPr>
                <w:rFonts w:ascii="Arial" w:cs="Arial" w:eastAsia="Arial" w:hAnsi="Arial"/>
                <w:sz w:val="18"/>
                <w:szCs w:val="18"/>
                <w:color w:val="auto"/>
              </w:rPr>
              <w:t>ADDITIONAL RENT</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tcPr>
          <w:p>
            <w:pPr>
              <w:ind w:left="40"/>
              <w:spacing w:after="0"/>
              <w:rPr>
                <w:sz w:val="20"/>
                <w:szCs w:val="20"/>
                <w:color w:val="auto"/>
              </w:rPr>
            </w:pPr>
            <w:r>
              <w:rPr>
                <w:rFonts w:ascii="Arial" w:cs="Arial" w:eastAsia="Arial" w:hAnsi="Arial"/>
                <w:sz w:val="18"/>
                <w:szCs w:val="18"/>
                <w:color w:val="auto"/>
              </w:rPr>
              <w:t>IMPROVEMENTS AND ALTERATIONS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tcPr>
          <w:p>
            <w:pPr>
              <w:ind w:left="40"/>
              <w:spacing w:after="0"/>
              <w:rPr>
                <w:sz w:val="20"/>
                <w:szCs w:val="20"/>
                <w:color w:val="auto"/>
              </w:rPr>
            </w:pPr>
            <w:r>
              <w:rPr>
                <w:rFonts w:ascii="Arial" w:cs="Arial" w:eastAsia="Arial" w:hAnsi="Arial"/>
                <w:sz w:val="18"/>
                <w:szCs w:val="18"/>
                <w:color w:val="auto"/>
              </w:rPr>
              <w:t>REPAIRS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tcPr>
          <w:p>
            <w:pPr>
              <w:ind w:left="40"/>
              <w:spacing w:after="0"/>
              <w:rPr>
                <w:sz w:val="20"/>
                <w:szCs w:val="20"/>
                <w:color w:val="auto"/>
              </w:rPr>
            </w:pPr>
            <w:r>
              <w:rPr>
                <w:rFonts w:ascii="Arial" w:cs="Arial" w:eastAsia="Arial" w:hAnsi="Arial"/>
                <w:sz w:val="18"/>
                <w:szCs w:val="18"/>
                <w:color w:val="auto"/>
              </w:rPr>
              <w:t>USE OF PREMISES</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tcPr>
          <w:p>
            <w:pPr>
              <w:ind w:left="40"/>
              <w:spacing w:after="0"/>
              <w:rPr>
                <w:sz w:val="20"/>
                <w:szCs w:val="20"/>
                <w:color w:val="auto"/>
              </w:rPr>
            </w:pPr>
            <w:r>
              <w:rPr>
                <w:rFonts w:ascii="Arial" w:cs="Arial" w:eastAsia="Arial" w:hAnsi="Arial"/>
                <w:sz w:val="18"/>
                <w:szCs w:val="18"/>
                <w:color w:val="auto"/>
              </w:rPr>
              <w:t>UTILITIES AND SERVICES</w:t>
            </w:r>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tcPr>
          <w:p>
            <w:pPr>
              <w:ind w:left="40"/>
              <w:spacing w:after="0"/>
              <w:rPr>
                <w:sz w:val="20"/>
                <w:szCs w:val="20"/>
                <w:color w:val="auto"/>
              </w:rPr>
            </w:pPr>
            <w:r>
              <w:rPr>
                <w:rFonts w:ascii="Arial" w:cs="Arial" w:eastAsia="Arial" w:hAnsi="Arial"/>
                <w:sz w:val="18"/>
                <w:szCs w:val="18"/>
                <w:color w:val="auto"/>
              </w:rPr>
              <w:t>NON-LIABILITY AND INDEMNIFICATION OF LANDLORD; INSURANCE</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300" w:type="dxa"/>
            <w:vAlign w:val="bottom"/>
          </w:tcPr>
          <w:p>
            <w:pPr>
              <w:ind w:left="40"/>
              <w:spacing w:after="0"/>
              <w:rPr>
                <w:sz w:val="20"/>
                <w:szCs w:val="20"/>
                <w:color w:val="auto"/>
              </w:rPr>
            </w:pPr>
            <w:r>
              <w:rPr>
                <w:rFonts w:ascii="Arial" w:cs="Arial" w:eastAsia="Arial" w:hAnsi="Arial"/>
                <w:sz w:val="18"/>
                <w:szCs w:val="18"/>
                <w:color w:val="auto"/>
              </w:rPr>
              <w:t>FIRE OR CASUALTY</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300" w:type="dxa"/>
            <w:vAlign w:val="bottom"/>
          </w:tcPr>
          <w:p>
            <w:pPr>
              <w:ind w:left="40"/>
              <w:spacing w:after="0"/>
              <w:rPr>
                <w:sz w:val="20"/>
                <w:szCs w:val="20"/>
                <w:color w:val="auto"/>
              </w:rPr>
            </w:pPr>
            <w:r>
              <w:rPr>
                <w:rFonts w:ascii="Arial" w:cs="Arial" w:eastAsia="Arial" w:hAnsi="Arial"/>
                <w:sz w:val="18"/>
                <w:szCs w:val="18"/>
                <w:color w:val="auto"/>
              </w:rPr>
              <w:t>EMINENT DOMAIN</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300" w:type="dxa"/>
            <w:vAlign w:val="bottom"/>
          </w:tcPr>
          <w:p>
            <w:pPr>
              <w:ind w:left="40"/>
              <w:spacing w:after="0"/>
              <w:rPr>
                <w:sz w:val="20"/>
                <w:szCs w:val="20"/>
                <w:color w:val="auto"/>
              </w:rPr>
            </w:pPr>
            <w:r>
              <w:rPr>
                <w:rFonts w:ascii="Arial" w:cs="Arial" w:eastAsia="Arial" w:hAnsi="Arial"/>
                <w:sz w:val="18"/>
                <w:szCs w:val="18"/>
                <w:color w:val="auto"/>
              </w:rPr>
              <w:t>ASSIGNMENT AND SUBLETTING</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300" w:type="dxa"/>
            <w:vAlign w:val="bottom"/>
          </w:tcPr>
          <w:p>
            <w:pPr>
              <w:ind w:left="40"/>
              <w:spacing w:after="0"/>
              <w:rPr>
                <w:sz w:val="20"/>
                <w:szCs w:val="20"/>
                <w:color w:val="auto"/>
              </w:rPr>
            </w:pPr>
            <w:r>
              <w:rPr>
                <w:rFonts w:ascii="Arial" w:cs="Arial" w:eastAsia="Arial" w:hAnsi="Arial"/>
                <w:sz w:val="18"/>
                <w:szCs w:val="18"/>
                <w:color w:val="auto"/>
              </w:rPr>
              <w:t>DEFAULT</w:t>
            </w:r>
          </w:p>
        </w:tc>
        <w:tc>
          <w:tcPr>
            <w:tcW w:w="2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300" w:type="dxa"/>
            <w:vAlign w:val="bottom"/>
          </w:tcPr>
          <w:p>
            <w:pPr>
              <w:ind w:left="40"/>
              <w:spacing w:after="0"/>
              <w:rPr>
                <w:sz w:val="20"/>
                <w:szCs w:val="20"/>
                <w:color w:val="auto"/>
              </w:rPr>
            </w:pPr>
            <w:r>
              <w:rPr>
                <w:rFonts w:ascii="Arial" w:cs="Arial" w:eastAsia="Arial" w:hAnsi="Arial"/>
                <w:sz w:val="18"/>
                <w:szCs w:val="18"/>
                <w:color w:val="auto"/>
              </w:rPr>
              <w:t>ACCESS; CONSTRUCTION</w:t>
            </w:r>
          </w:p>
        </w:tc>
        <w:tc>
          <w:tcPr>
            <w:tcW w:w="2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300" w:type="dxa"/>
            <w:vAlign w:val="bottom"/>
          </w:tcPr>
          <w:p>
            <w:pPr>
              <w:ind w:left="40"/>
              <w:spacing w:after="0"/>
              <w:rPr>
                <w:sz w:val="20"/>
                <w:szCs w:val="20"/>
                <w:color w:val="auto"/>
              </w:rPr>
            </w:pPr>
            <w:r>
              <w:rPr>
                <w:rFonts w:ascii="Arial" w:cs="Arial" w:eastAsia="Arial" w:hAnsi="Arial"/>
                <w:sz w:val="18"/>
                <w:szCs w:val="18"/>
                <w:color w:val="auto"/>
              </w:rPr>
              <w:t>BANKRUPTCY</w:t>
            </w: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300" w:type="dxa"/>
            <w:vAlign w:val="bottom"/>
          </w:tcPr>
          <w:p>
            <w:pPr>
              <w:ind w:left="40"/>
              <w:spacing w:after="0"/>
              <w:rPr>
                <w:sz w:val="20"/>
                <w:szCs w:val="20"/>
                <w:color w:val="auto"/>
              </w:rPr>
            </w:pPr>
            <w:r>
              <w:rPr>
                <w:rFonts w:ascii="Arial" w:cs="Arial" w:eastAsia="Arial" w:hAnsi="Arial"/>
                <w:sz w:val="18"/>
                <w:szCs w:val="18"/>
                <w:color w:val="auto"/>
              </w:rPr>
              <w:t>SUBSTITUTION OF PREMISES</w:t>
            </w: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300" w:type="dxa"/>
            <w:vAlign w:val="bottom"/>
          </w:tcPr>
          <w:p>
            <w:pPr>
              <w:ind w:left="40"/>
              <w:spacing w:after="0"/>
              <w:rPr>
                <w:sz w:val="20"/>
                <w:szCs w:val="20"/>
                <w:color w:val="auto"/>
              </w:rPr>
            </w:pPr>
            <w:r>
              <w:rPr>
                <w:rFonts w:ascii="Arial" w:cs="Arial" w:eastAsia="Arial" w:hAnsi="Arial"/>
                <w:sz w:val="18"/>
                <w:szCs w:val="18"/>
                <w:color w:val="auto"/>
              </w:rPr>
              <w:t>SUBORDINATION; ATTORNMENT; ESTOPPEL CERTIFICATES</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300" w:type="dxa"/>
            <w:vAlign w:val="bottom"/>
          </w:tcPr>
          <w:p>
            <w:pPr>
              <w:ind w:left="40"/>
              <w:spacing w:after="0"/>
              <w:rPr>
                <w:sz w:val="20"/>
                <w:szCs w:val="20"/>
                <w:color w:val="auto"/>
              </w:rPr>
            </w:pPr>
            <w:r>
              <w:rPr>
                <w:rFonts w:ascii="Arial" w:cs="Arial" w:eastAsia="Arial" w:hAnsi="Arial"/>
                <w:sz w:val="18"/>
                <w:szCs w:val="18"/>
                <w:color w:val="auto"/>
              </w:rPr>
              <w:t>SALE BY LANDLORD; TENANT’S REMEDIES; NONRECOURSE LIABILITY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300" w:type="dxa"/>
            <w:vAlign w:val="bottom"/>
          </w:tcPr>
          <w:p>
            <w:pPr>
              <w:ind w:left="40"/>
              <w:spacing w:after="0"/>
              <w:rPr>
                <w:sz w:val="20"/>
                <w:szCs w:val="20"/>
                <w:color w:val="auto"/>
              </w:rPr>
            </w:pPr>
            <w:r>
              <w:rPr>
                <w:rFonts w:ascii="Arial" w:cs="Arial" w:eastAsia="Arial" w:hAnsi="Arial"/>
                <w:sz w:val="18"/>
                <w:szCs w:val="18"/>
                <w:color w:val="auto"/>
              </w:rPr>
              <w:t>PARKING; COMMON AREAS</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30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EXHIBITS</w:t>
            </w:r>
          </w:p>
        </w:tc>
      </w:tr>
      <w:tr>
        <w:trPr>
          <w:trHeight w:val="465"/>
        </w:trPr>
        <w:tc>
          <w:tcPr>
            <w:tcW w:w="1360" w:type="dxa"/>
            <w:vAlign w:val="bottom"/>
          </w:tcPr>
          <w:p>
            <w:pPr>
              <w:spacing w:after="0"/>
              <w:rPr>
                <w:sz w:val="20"/>
                <w:szCs w:val="20"/>
                <w:color w:val="auto"/>
              </w:rPr>
            </w:pPr>
            <w:r>
              <w:rPr>
                <w:rFonts w:ascii="Arial" w:cs="Arial" w:eastAsia="Arial" w:hAnsi="Arial"/>
                <w:sz w:val="18"/>
                <w:szCs w:val="18"/>
                <w:color w:val="auto"/>
              </w:rPr>
              <w:t>Exhibit A-1</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Floor Plan(s)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A-2</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Legal Description of the Project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A-3</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Rentable Area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B</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Work Letter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B-1</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Description of Tenant Improvements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C</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Utilities and Services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D</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Building Rules and Regulations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E</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Form Estoppel Certificate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F</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Tenant Commencement Certificate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G</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ADA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H</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Form of Letter of Credit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I</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Location of Suite 600 VAV Boxes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Exhibit J</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Pre-Approved Location of Signage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Addendum One Two Renewal Options at 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Addendum Two One-Time Right of First Offer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Addendum Three Cancellation Option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422" w:name="page423"/>
    <w:bookmarkEnd w:id="422"/>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TO OFFICE LEASE</w:t>
      </w:r>
    </w:p>
    <w:p>
      <w:pPr>
        <w:spacing w:after="0" w:line="225"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This First Amendment to Office Lease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xml:space="preserve">”) is entered into by and between </w:t>
      </w:r>
      <w:r>
        <w:rPr>
          <w:rFonts w:ascii="Arial" w:cs="Arial" w:eastAsia="Arial" w:hAnsi="Arial"/>
          <w:sz w:val="18"/>
          <w:szCs w:val="18"/>
          <w:b w:val="1"/>
          <w:bCs w:val="1"/>
          <w:color w:val="auto"/>
        </w:rPr>
        <w:t>KBSIII ALMADEN FINANCIAL PLAZA,</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effective on the date that Landlord executes this First Amendment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9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WHEREAS, Landlord and Tenant entered into that certain Office Lease (the “</w:t>
      </w:r>
      <w:r>
        <w:rPr>
          <w:rFonts w:ascii="Arial" w:cs="Arial" w:eastAsia="Arial" w:hAnsi="Arial"/>
          <w:sz w:val="18"/>
          <w:szCs w:val="18"/>
          <w:u w:val="single" w:color="auto"/>
          <w:color w:val="auto"/>
        </w:rPr>
        <w:t>Lease</w:t>
      </w:r>
      <w:r>
        <w:rPr>
          <w:rFonts w:ascii="Arial" w:cs="Arial" w:eastAsia="Arial" w:hAnsi="Arial"/>
          <w:sz w:val="18"/>
          <w:szCs w:val="18"/>
          <w:color w:val="auto"/>
        </w:rPr>
        <w:t>”), pursuant to which Tenant leases from Landlord certain premises containing 35,153 square feet of Rentable Area, designated as Suites 500 and 600, in the building located at 55 Almaden Boulevard, San Jose, California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18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Tenant desires an increased allowance with respect to the Moving Reimbursement, and Landlord has agreed to permit the same in accordance with the terms of this First Amendment.</w:t>
      </w:r>
    </w:p>
    <w:p>
      <w:pPr>
        <w:spacing w:after="0" w:line="170"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NOW, THEREFORE, pursuant to the foregoing, and for valuable consideration and in consideration of the mutual agreements contained herein and in the Lease, the receipt and sufficiency of which are hereby acknowledged, the Lease is hereby amended as follows:</w:t>
      </w:r>
    </w:p>
    <w:p>
      <w:pPr>
        <w:spacing w:after="0" w:line="52" w:lineRule="exact"/>
        <w:rPr>
          <w:sz w:val="20"/>
          <w:szCs w:val="20"/>
          <w:color w:val="auto"/>
        </w:rPr>
      </w:pPr>
    </w:p>
    <w:p>
      <w:pPr>
        <w:ind w:left="884" w:right="140" w:hanging="884"/>
        <w:spacing w:after="0" w:line="277" w:lineRule="auto"/>
        <w:tabs>
          <w:tab w:leader="none" w:pos="88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Defined Terms: Lease</w:t>
      </w:r>
      <w:r>
        <w:rPr>
          <w:rFonts w:ascii="Arial" w:cs="Arial" w:eastAsia="Arial" w:hAnsi="Arial"/>
          <w:sz w:val="18"/>
          <w:szCs w:val="18"/>
          <w:color w:val="auto"/>
        </w:rPr>
        <w:t>. Capitalized terms used herein shall have the same meaning as defined in the Lease, unless otherwise defined in this First Amendment, and the recitals above are agreed to be true.</w:t>
      </w:r>
    </w:p>
    <w:p>
      <w:pPr>
        <w:spacing w:after="0" w:line="75" w:lineRule="exact"/>
        <w:rPr>
          <w:rFonts w:ascii="Arial" w:cs="Arial" w:eastAsia="Arial" w:hAnsi="Arial"/>
          <w:sz w:val="18"/>
          <w:szCs w:val="18"/>
          <w:color w:val="auto"/>
        </w:rPr>
      </w:pPr>
    </w:p>
    <w:p>
      <w:pPr>
        <w:ind w:left="884" w:right="20" w:hanging="884"/>
        <w:spacing w:after="0" w:line="296" w:lineRule="auto"/>
        <w:tabs>
          <w:tab w:leader="none" w:pos="884"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Moving Reimbursement</w:t>
      </w:r>
      <w:r>
        <w:rPr>
          <w:rFonts w:ascii="Arial" w:cs="Arial" w:eastAsia="Arial" w:hAnsi="Arial"/>
          <w:sz w:val="16"/>
          <w:szCs w:val="16"/>
          <w:color w:val="auto"/>
        </w:rPr>
        <w:t xml:space="preserve">. Landlord and Tenant agree that Tenant’s maximum reimbursement, as originally set forth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Lease, from the Under Budget Amount shall be increased from $88,195.00 to $132,292.50. For the avoidance of doubt,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Landlord Amount shall remain at $352,780.00. In addition, (i) the phrase “within sixty (60) days following the Commencement Date” as set forth in the last sentence of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the Lease shall be revised to be “by July 31, 2017” and (ii) the phrase “within said sixty (60) day period” as set forth in the last sentence of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the Lease shall be revised to be “by July 31, 2017.”</w:t>
      </w:r>
    </w:p>
    <w:p>
      <w:pPr>
        <w:spacing w:after="0" w:line="66" w:lineRule="exact"/>
        <w:rPr>
          <w:rFonts w:ascii="Arial" w:cs="Arial" w:eastAsia="Arial" w:hAnsi="Arial"/>
          <w:sz w:val="16"/>
          <w:szCs w:val="16"/>
          <w:color w:val="auto"/>
        </w:rPr>
      </w:pPr>
    </w:p>
    <w:p>
      <w:pPr>
        <w:ind w:left="884" w:right="80" w:hanging="884"/>
        <w:spacing w:after="0" w:line="254" w:lineRule="auto"/>
        <w:tabs>
          <w:tab w:leader="none" w:pos="88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Landlord Amount Allocation</w:t>
      </w:r>
      <w:r>
        <w:rPr>
          <w:rFonts w:ascii="Arial" w:cs="Arial" w:eastAsia="Arial" w:hAnsi="Arial"/>
          <w:sz w:val="18"/>
          <w:szCs w:val="18"/>
          <w:color w:val="auto"/>
        </w:rPr>
        <w:t xml:space="preserve">. Subject to Tenant, at Tenant’s sole cost and expense, obtaining written consent satisfactory to Landlord from Armanino LLP, which consent confirms that Landlord may construct a portion of the Tenant Improvements in the Suite 600 Space in accordance with the terms of </w:t>
      </w:r>
      <w:r>
        <w:rPr>
          <w:rFonts w:ascii="Arial" w:cs="Arial" w:eastAsia="Arial" w:hAnsi="Arial"/>
          <w:sz w:val="18"/>
          <w:szCs w:val="18"/>
          <w:i w:val="1"/>
          <w:iCs w:val="1"/>
          <w:u w:val="single" w:color="auto"/>
          <w:color w:val="auto"/>
        </w:rPr>
        <w:t>Exhibit B</w:t>
      </w:r>
      <w:r>
        <w:rPr>
          <w:rFonts w:ascii="Arial" w:cs="Arial" w:eastAsia="Arial" w:hAnsi="Arial"/>
          <w:sz w:val="18"/>
          <w:szCs w:val="18"/>
          <w:color w:val="auto"/>
        </w:rPr>
        <w:t xml:space="preserve">, Landlord shall allow up to $100,000.00 of the Landlord Amount to be used toward the Cost of the Work in connection with the Suite 600 Space. Landlord may require Armanino LLP to enter into a side-letter agreement with Landlord to confirm Armanino LLP’s consent prior to constructing any Tenant Improvements in the Suite 600 Space. In the event Tenant is unable to obtain satisfactory evidence of Armanino LLP’s consent to Landlord constructing a portion of the Tenant Improvements in the Suite 600 Space, then Landlord shall have no obligation to perform any work in the Suite 600 Space and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shall be rendered null and void.</w:t>
      </w:r>
    </w:p>
    <w:p>
      <w:pPr>
        <w:spacing w:after="0" w:line="97" w:lineRule="exact"/>
        <w:rPr>
          <w:rFonts w:ascii="Arial" w:cs="Arial" w:eastAsia="Arial" w:hAnsi="Arial"/>
          <w:sz w:val="18"/>
          <w:szCs w:val="18"/>
          <w:color w:val="auto"/>
        </w:rPr>
      </w:pPr>
    </w:p>
    <w:p>
      <w:pPr>
        <w:ind w:left="884" w:right="320" w:hanging="884"/>
        <w:spacing w:after="0" w:line="259" w:lineRule="auto"/>
        <w:tabs>
          <w:tab w:leader="none" w:pos="88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First Amendment and the terms and provisions of the Lease, the terms and provisions of this First Amendment shall supersede and control.</w:t>
      </w:r>
    </w:p>
    <w:p>
      <w:pPr>
        <w:spacing w:after="0" w:line="92" w:lineRule="exact"/>
        <w:rPr>
          <w:rFonts w:ascii="Arial" w:cs="Arial" w:eastAsia="Arial" w:hAnsi="Arial"/>
          <w:sz w:val="18"/>
          <w:szCs w:val="18"/>
          <w:color w:val="auto"/>
        </w:rPr>
      </w:pPr>
    </w:p>
    <w:p>
      <w:pPr>
        <w:ind w:left="884" w:hanging="884"/>
        <w:spacing w:after="0" w:line="286" w:lineRule="auto"/>
        <w:tabs>
          <w:tab w:leader="none" w:pos="884"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Counterparts/Facsimiles</w:t>
      </w:r>
      <w:r>
        <w:rPr>
          <w:rFonts w:ascii="Arial" w:cs="Arial" w:eastAsia="Arial" w:hAnsi="Arial"/>
          <w:sz w:val="17"/>
          <w:szCs w:val="17"/>
          <w:color w:val="auto"/>
        </w:rPr>
        <w:t>. This First Amendment may be executed in any number of counterparts, each of which shall be deemed an original, and all of such counterparts shall constitute one agreement. To facilitate execution of this First Amendment, the parties may execute and exchange telefaxed or e-mailed counterparts of the signature pages and such counterparts shall serve as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-2473960</wp:posOffset>
            </wp:positionV>
            <wp:extent cx="8851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145"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 Follows]</w:t>
      </w:r>
    </w:p>
    <w:p>
      <w:pPr>
        <w:spacing w:after="0" w:line="1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0984"/>
          </w:cols>
          <w:pgMar w:left="436" w:top="270" w:right="479"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207"/>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1100" w:type="dxa"/>
            <w:vAlign w:val="bottom"/>
          </w:tcPr>
          <w:p>
            <w:pPr>
              <w:spacing w:after="0"/>
              <w:rPr>
                <w:sz w:val="17"/>
                <w:szCs w:val="17"/>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b w:val="1"/>
                <w:bCs w:val="1"/>
                <w:color w:val="auto"/>
              </w:rPr>
              <w:t>TENANT:</w:t>
            </w:r>
          </w:p>
        </w:tc>
      </w:tr>
      <w:tr>
        <w:trPr>
          <w:trHeight w:val="20"/>
        </w:trPr>
        <w:tc>
          <w:tcPr>
            <w:tcW w:w="1080" w:type="dxa"/>
            <w:vAlign w:val="bottom"/>
            <w:gridSpan w:val="3"/>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2"/>
        </w:trPr>
        <w:tc>
          <w:tcPr>
            <w:tcW w:w="5400" w:type="dxa"/>
            <w:vAlign w:val="bottom"/>
            <w:gridSpan w:val="4"/>
          </w:tcPr>
          <w:p>
            <w:pPr>
              <w:spacing w:after="0"/>
              <w:rPr>
                <w:sz w:val="20"/>
                <w:szCs w:val="20"/>
                <w:color w:val="auto"/>
              </w:rPr>
            </w:pPr>
            <w:r>
              <w:rPr>
                <w:rFonts w:ascii="Arial" w:cs="Arial" w:eastAsia="Arial" w:hAnsi="Arial"/>
                <w:sz w:val="18"/>
                <w:szCs w:val="18"/>
                <w:color w:val="auto"/>
              </w:rPr>
              <w:t>KBSIII ALMADEN FINANCIAL PLAZA, LLC,</w:t>
            </w:r>
          </w:p>
        </w:tc>
        <w:tc>
          <w:tcPr>
            <w:tcW w:w="1100" w:type="dxa"/>
            <w:vAlign w:val="bottom"/>
          </w:tcPr>
          <w:p>
            <w:pPr>
              <w:spacing w:after="0"/>
              <w:rPr>
                <w:sz w:val="19"/>
                <w:szCs w:val="19"/>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color w:val="auto"/>
              </w:rPr>
              <w:t>ZOOM VIDEO COMMUNICATIONS, INC.,</w:t>
            </w: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a Delaware limited liability company</w:t>
            </w:r>
          </w:p>
        </w:tc>
        <w:tc>
          <w:tcPr>
            <w:tcW w:w="1100" w:type="dxa"/>
            <w:vAlign w:val="bottom"/>
          </w:tcPr>
          <w:p>
            <w:pPr>
              <w:spacing w:after="0"/>
              <w:rPr>
                <w:sz w:val="20"/>
                <w:szCs w:val="20"/>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color w:val="auto"/>
              </w:rPr>
              <w:t>a Delaware corporation</w:t>
            </w: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KBS Capital Advisors, LLC</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a Delaware limited liability company</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45"/>
        </w:trPr>
        <w:tc>
          <w:tcPr>
            <w:tcW w:w="460" w:type="dxa"/>
            <w:vAlign w:val="bottom"/>
          </w:tcPr>
          <w:p>
            <w:pPr>
              <w:spacing w:after="0"/>
              <w:rPr>
                <w:sz w:val="24"/>
                <w:szCs w:val="24"/>
                <w:color w:val="auto"/>
              </w:rPr>
            </w:pPr>
          </w:p>
        </w:tc>
        <w:tc>
          <w:tcPr>
            <w:tcW w:w="4940" w:type="dxa"/>
            <w:vAlign w:val="bottom"/>
            <w:gridSpan w:val="3"/>
          </w:tcPr>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Brent Carroll</w:t>
            </w:r>
          </w:p>
        </w:tc>
        <w:tc>
          <w:tcPr>
            <w:tcW w:w="1100" w:type="dxa"/>
            <w:vAlign w:val="bottom"/>
          </w:tcPr>
          <w:p>
            <w:pPr>
              <w:ind w:left="500"/>
              <w:spacing w:after="0"/>
              <w:rPr>
                <w:sz w:val="20"/>
                <w:szCs w:val="20"/>
                <w:color w:val="auto"/>
              </w:rPr>
            </w:pPr>
            <w:r>
              <w:rPr>
                <w:rFonts w:ascii="Arial" w:cs="Arial" w:eastAsia="Arial" w:hAnsi="Arial"/>
                <w:sz w:val="18"/>
                <w:szCs w:val="18"/>
                <w:color w:val="auto"/>
              </w:rPr>
              <w:t>By:</w:t>
            </w:r>
          </w:p>
        </w:tc>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/s/ Roy Benhorin</w:t>
            </w:r>
          </w:p>
        </w:tc>
      </w:tr>
      <w:tr>
        <w:trPr>
          <w:trHeight w:val="209"/>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Brent Carroll, Senior Vice President</w:t>
            </w:r>
          </w:p>
        </w:tc>
        <w:tc>
          <w:tcPr>
            <w:tcW w:w="1100" w:type="dxa"/>
            <w:vAlign w:val="bottom"/>
          </w:tcPr>
          <w:p>
            <w:pPr>
              <w:ind w:left="50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Roy Benhorin</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auto"/>
              </w:rPr>
              <w:t>Title:</w:t>
            </w:r>
          </w:p>
        </w:tc>
        <w:tc>
          <w:tcPr>
            <w:tcW w:w="4520" w:type="dxa"/>
            <w:vAlign w:val="bottom"/>
            <w:gridSpan w:val="3"/>
          </w:tcPr>
          <w:p>
            <w:pPr>
              <w:spacing w:after="0"/>
              <w:rPr>
                <w:sz w:val="20"/>
                <w:szCs w:val="20"/>
                <w:color w:val="auto"/>
              </w:rPr>
            </w:pPr>
            <w:r>
              <w:rPr>
                <w:rFonts w:ascii="Arial" w:cs="Arial" w:eastAsia="Arial" w:hAnsi="Arial"/>
                <w:sz w:val="18"/>
                <w:szCs w:val="18"/>
                <w:color w:val="auto"/>
              </w:rPr>
              <w:t>Head of Finance</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10/31/16</w:t>
            </w:r>
          </w:p>
        </w:tc>
        <w:tc>
          <w:tcPr>
            <w:tcW w:w="1100" w:type="dxa"/>
            <w:vAlign w:val="bottom"/>
          </w:tcPr>
          <w:p>
            <w:pPr>
              <w:ind w:left="500"/>
              <w:spacing w:after="0"/>
              <w:rPr>
                <w:sz w:val="20"/>
                <w:szCs w:val="20"/>
                <w:color w:val="auto"/>
              </w:rPr>
            </w:pPr>
            <w:r>
              <w:rPr>
                <w:rFonts w:ascii="Arial" w:cs="Arial" w:eastAsia="Arial" w:hAnsi="Arial"/>
                <w:sz w:val="18"/>
                <w:szCs w:val="18"/>
                <w:color w:val="auto"/>
              </w:rPr>
              <w:t>Date:</w:t>
            </w:r>
          </w:p>
        </w:tc>
        <w:tc>
          <w:tcPr>
            <w:tcW w:w="1220" w:type="dxa"/>
            <w:vAlign w:val="bottom"/>
            <w:gridSpan w:val="2"/>
          </w:tcPr>
          <w:p>
            <w:pPr>
              <w:spacing w:after="0"/>
              <w:rPr>
                <w:sz w:val="20"/>
                <w:szCs w:val="20"/>
                <w:color w:val="auto"/>
              </w:rPr>
            </w:pPr>
            <w:r>
              <w:rPr>
                <w:rFonts w:ascii="Arial" w:cs="Arial" w:eastAsia="Arial" w:hAnsi="Arial"/>
                <w:sz w:val="18"/>
                <w:szCs w:val="18"/>
                <w:color w:val="auto"/>
              </w:rPr>
              <w:t>10/26/16</w:t>
            </w:r>
          </w:p>
        </w:tc>
        <w:tc>
          <w:tcPr>
            <w:tcW w:w="330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24" w:name="page425"/>
    <w:bookmarkEnd w:id="424"/>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AMENDMENT TO OFFICE 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Second Amendment to Office Lease (this “</w:t>
      </w:r>
      <w:r>
        <w:rPr>
          <w:rFonts w:ascii="Arial" w:cs="Arial" w:eastAsia="Arial" w:hAnsi="Arial"/>
          <w:sz w:val="17"/>
          <w:szCs w:val="17"/>
          <w:u w:val="single" w:color="auto"/>
          <w:color w:val="auto"/>
        </w:rPr>
        <w:t>Second Amendment</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KBSIII ALMADEN FINANCIAL</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PLAZA,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w:t>
      </w:r>
      <w:r>
        <w:rPr>
          <w:rFonts w:ascii="Arial" w:cs="Arial" w:eastAsia="Arial" w:hAnsi="Arial"/>
          <w:sz w:val="16"/>
          <w:szCs w:val="16"/>
          <w:color w:val="auto"/>
        </w:rPr>
        <w:t>”), and shall be effective for all purposes as of the date that Landlord executes this Second Amendment as reflected in the signature page below</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WHEREAS, Landlord and Tenant are parties to that certain Office Lease dated August 1, 2016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amended by that certain First Amendment to Office Lease dated October 31, 2016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the Original Lease, as so amended, being the “</w:t>
      </w:r>
      <w:r>
        <w:rPr>
          <w:rFonts w:ascii="Arial" w:cs="Arial" w:eastAsia="Arial" w:hAnsi="Arial"/>
          <w:sz w:val="17"/>
          <w:szCs w:val="17"/>
          <w:u w:val="single" w:color="auto"/>
          <w:color w:val="auto"/>
        </w:rPr>
        <w:t>Lease</w:t>
      </w:r>
      <w:r>
        <w:rPr>
          <w:rFonts w:ascii="Arial" w:cs="Arial" w:eastAsia="Arial" w:hAnsi="Arial"/>
          <w:sz w:val="17"/>
          <w:szCs w:val="17"/>
          <w:color w:val="auto"/>
        </w:rPr>
        <w:t>”), pursuant to which Tenant is currently leasing from Landlord certain premises containing a total of 17,639 square feet of Rentable Area designated as Suite 500 (the “</w:t>
      </w:r>
      <w:r>
        <w:rPr>
          <w:rFonts w:ascii="Arial" w:cs="Arial" w:eastAsia="Arial" w:hAnsi="Arial"/>
          <w:sz w:val="17"/>
          <w:szCs w:val="17"/>
          <w:u w:val="single" w:color="auto"/>
          <w:color w:val="auto"/>
        </w:rPr>
        <w:t>Suite 500 Space</w:t>
      </w:r>
      <w:r>
        <w:rPr>
          <w:rFonts w:ascii="Arial" w:cs="Arial" w:eastAsia="Arial" w:hAnsi="Arial"/>
          <w:sz w:val="17"/>
          <w:szCs w:val="17"/>
          <w:color w:val="auto"/>
        </w:rPr>
        <w:t>”) in the building known as 55 Almaden Boulevard San Jose, California (the “</w:t>
      </w:r>
      <w:r>
        <w:rPr>
          <w:rFonts w:ascii="Arial" w:cs="Arial" w:eastAsia="Arial" w:hAnsi="Arial"/>
          <w:sz w:val="17"/>
          <w:szCs w:val="17"/>
          <w:u w:val="single" w:color="auto"/>
          <w:color w:val="auto"/>
        </w:rPr>
        <w:t>Building</w:t>
      </w:r>
      <w:r>
        <w:rPr>
          <w:rFonts w:ascii="Arial" w:cs="Arial" w:eastAsia="Arial" w:hAnsi="Arial"/>
          <w:sz w:val="17"/>
          <w:szCs w:val="17"/>
          <w:color w:val="auto"/>
        </w:rPr>
        <w:t>”);</w:t>
      </w:r>
    </w:p>
    <w:p>
      <w:pPr>
        <w:spacing w:after="0" w:line="171"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WHEREAS, pursuant to the terms of the Lease, on November 1, 2018 (the “</w:t>
      </w:r>
      <w:r>
        <w:rPr>
          <w:rFonts w:ascii="Arial" w:cs="Arial" w:eastAsia="Arial" w:hAnsi="Arial"/>
          <w:sz w:val="16"/>
          <w:szCs w:val="16"/>
          <w:u w:val="single" w:color="auto"/>
          <w:color w:val="auto"/>
        </w:rPr>
        <w:t>Suite 600 Commencement Date</w:t>
      </w:r>
      <w:r>
        <w:rPr>
          <w:rFonts w:ascii="Arial" w:cs="Arial" w:eastAsia="Arial" w:hAnsi="Arial"/>
          <w:sz w:val="16"/>
          <w:szCs w:val="16"/>
          <w:color w:val="auto"/>
        </w:rPr>
        <w:t>”), Tenant will commence to lease from Landlord on a direct basis that certain 17,514 square feet of Rentable Area designated as Suite 600 (the “</w:t>
      </w:r>
      <w:r>
        <w:rPr>
          <w:rFonts w:ascii="Arial" w:cs="Arial" w:eastAsia="Arial" w:hAnsi="Arial"/>
          <w:sz w:val="16"/>
          <w:szCs w:val="16"/>
          <w:u w:val="single" w:color="auto"/>
          <w:color w:val="auto"/>
        </w:rPr>
        <w:t>Suite 600 Space</w:t>
      </w:r>
      <w:r>
        <w:rPr>
          <w:rFonts w:ascii="Arial" w:cs="Arial" w:eastAsia="Arial" w:hAnsi="Arial"/>
          <w:sz w:val="16"/>
          <w:szCs w:val="16"/>
          <w:color w:val="auto"/>
        </w:rPr>
        <w:t>”) in the Building;</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Tenant desires to further expand the “</w:t>
      </w:r>
      <w:r>
        <w:rPr>
          <w:rFonts w:ascii="Arial" w:cs="Arial" w:eastAsia="Arial" w:hAnsi="Arial"/>
          <w:sz w:val="18"/>
          <w:szCs w:val="18"/>
          <w:u w:val="single" w:color="auto"/>
          <w:color w:val="auto"/>
        </w:rPr>
        <w:t>Premises</w:t>
      </w:r>
      <w:r>
        <w:rPr>
          <w:rFonts w:ascii="Arial" w:cs="Arial" w:eastAsia="Arial" w:hAnsi="Arial"/>
          <w:sz w:val="18"/>
          <w:szCs w:val="18"/>
          <w:color w:val="auto"/>
        </w:rPr>
        <w:t>” under the Lease;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Landlord and Tenant desire to expand the Premises and further amend the Lease as more particularly described hereinbelow;</w:t>
      </w:r>
    </w:p>
    <w:p>
      <w:pPr>
        <w:spacing w:after="0" w:line="23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NOW, THEREFORE, pursuant to the foregoing, and in consideration of the mutual covenants and agreements contained herein and in the Lease, the receipt and sufficiency of which are hereby acknowledged, the Lease is hereby amended as follows:</w:t>
      </w:r>
    </w:p>
    <w:p>
      <w:pPr>
        <w:spacing w:after="0" w:line="76" w:lineRule="exact"/>
        <w:rPr>
          <w:sz w:val="20"/>
          <w:szCs w:val="20"/>
          <w:color w:val="auto"/>
        </w:rPr>
      </w:pPr>
    </w:p>
    <w:p>
      <w:pPr>
        <w:ind w:left="424" w:right="240" w:hanging="424"/>
        <w:spacing w:after="0" w:line="277" w:lineRule="auto"/>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herein shall have the same meaning as defined in the Lease, unless otherwise defined in this Second Amendment.</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4" w:right="20" w:hanging="432"/>
        <w:spacing w:after="0" w:line="254" w:lineRule="auto"/>
        <w:tabs>
          <w:tab w:leader="none" w:pos="8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Suite 400 Space. Landlord is currently leasing certain space containing approximately 17,576 square feet of Rentable Area designated as Suite 400 (the “</w:t>
      </w:r>
      <w:r>
        <w:rPr>
          <w:rFonts w:ascii="Arial" w:cs="Arial" w:eastAsia="Arial" w:hAnsi="Arial"/>
          <w:sz w:val="18"/>
          <w:szCs w:val="18"/>
          <w:u w:val="single" w:color="auto"/>
          <w:color w:val="auto"/>
        </w:rPr>
        <w:t>Suite 400 Space</w:t>
      </w:r>
      <w:r>
        <w:rPr>
          <w:rFonts w:ascii="Arial" w:cs="Arial" w:eastAsia="Arial" w:hAnsi="Arial"/>
          <w:sz w:val="18"/>
          <w:szCs w:val="18"/>
          <w:color w:val="auto"/>
        </w:rPr>
        <w:t>”) to Western Alliance Bank (“</w:t>
      </w:r>
      <w:r>
        <w:rPr>
          <w:rFonts w:ascii="Arial" w:cs="Arial" w:eastAsia="Arial" w:hAnsi="Arial"/>
          <w:sz w:val="18"/>
          <w:szCs w:val="18"/>
          <w:u w:val="single" w:color="auto"/>
          <w:color w:val="auto"/>
        </w:rPr>
        <w:t>Western Bank</w:t>
      </w:r>
      <w:r>
        <w:rPr>
          <w:rFonts w:ascii="Arial" w:cs="Arial" w:eastAsia="Arial" w:hAnsi="Arial"/>
          <w:sz w:val="18"/>
          <w:szCs w:val="18"/>
          <w:color w:val="auto"/>
        </w:rPr>
        <w:t>”) pursuant to a lease agreement (the “</w:t>
      </w:r>
      <w:r>
        <w:rPr>
          <w:rFonts w:ascii="Arial" w:cs="Arial" w:eastAsia="Arial" w:hAnsi="Arial"/>
          <w:sz w:val="18"/>
          <w:szCs w:val="18"/>
          <w:u w:val="single" w:color="auto"/>
          <w:color w:val="auto"/>
        </w:rPr>
        <w:t>Western Bank Lease</w:t>
      </w:r>
      <w:r>
        <w:rPr>
          <w:rFonts w:ascii="Arial" w:cs="Arial" w:eastAsia="Arial" w:hAnsi="Arial"/>
          <w:sz w:val="18"/>
          <w:szCs w:val="18"/>
          <w:color w:val="auto"/>
        </w:rPr>
        <w:t>”) scheduled to expire at a future date. Tenant is leasing the Suite 400 Space from Western Bank pursuant to a sublease agreement (the “</w:t>
      </w:r>
      <w:r>
        <w:rPr>
          <w:rFonts w:ascii="Arial" w:cs="Arial" w:eastAsia="Arial" w:hAnsi="Arial"/>
          <w:sz w:val="18"/>
          <w:szCs w:val="18"/>
          <w:u w:val="single" w:color="auto"/>
          <w:color w:val="auto"/>
        </w:rPr>
        <w:t>Tenant’s Sublease</w:t>
      </w:r>
      <w:r>
        <w:rPr>
          <w:rFonts w:ascii="Arial" w:cs="Arial" w:eastAsia="Arial" w:hAnsi="Arial"/>
          <w:sz w:val="18"/>
          <w:szCs w:val="18"/>
          <w:color w:val="auto"/>
        </w:rPr>
        <w:t>”), which is scheduled to expire on August 31, 2019. Concurrently herewith, Landlord is amending the Western Bank Lease in order to reduce the premises leased by Western Bank under the Western Bank Lease by the Suite 400 Space and as of the Effective Date hereof the Premises under the Lease is hereby deemed expanded by the Suite 400 Space (such date shall be known as the “</w:t>
      </w:r>
      <w:r>
        <w:rPr>
          <w:rFonts w:ascii="Arial" w:cs="Arial" w:eastAsia="Arial" w:hAnsi="Arial"/>
          <w:sz w:val="18"/>
          <w:szCs w:val="18"/>
          <w:u w:val="single" w:color="auto"/>
          <w:color w:val="auto"/>
        </w:rPr>
        <w:t>Suite 400</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Suite 400 Space is more particularly shown in Exhibit A attached hereto and incorporated herein for all purposes.</w:t>
      </w:r>
    </w:p>
    <w:p>
      <w:pPr>
        <w:spacing w:after="0" w:line="97" w:lineRule="exact"/>
        <w:rPr>
          <w:rFonts w:ascii="Arial" w:cs="Arial" w:eastAsia="Arial" w:hAnsi="Arial"/>
          <w:sz w:val="18"/>
          <w:szCs w:val="18"/>
          <w:color w:val="auto"/>
        </w:rPr>
      </w:pPr>
    </w:p>
    <w:p>
      <w:pPr>
        <w:ind w:left="864" w:right="80" w:hanging="432"/>
        <w:spacing w:after="0" w:line="259" w:lineRule="auto"/>
        <w:tabs>
          <w:tab w:leader="none" w:pos="864"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Suite 900 Space in One Almaden Boulevard</w:t>
      </w:r>
      <w:r>
        <w:rPr>
          <w:rFonts w:ascii="Arial" w:cs="Arial" w:eastAsia="Arial" w:hAnsi="Arial"/>
          <w:sz w:val="18"/>
          <w:szCs w:val="18"/>
          <w:color w:val="auto"/>
        </w:rPr>
        <w:t>. Effective as of January 1, 2019 (the “</w:t>
      </w:r>
      <w:r>
        <w:rPr>
          <w:rFonts w:ascii="Arial" w:cs="Arial" w:eastAsia="Arial" w:hAnsi="Arial"/>
          <w:sz w:val="18"/>
          <w:szCs w:val="18"/>
          <w:u w:val="single" w:color="auto"/>
          <w:color w:val="auto"/>
        </w:rPr>
        <w:t>Suite 900 Commencement Date</w:t>
      </w:r>
      <w:r>
        <w:rPr>
          <w:rFonts w:ascii="Arial" w:cs="Arial" w:eastAsia="Arial" w:hAnsi="Arial"/>
          <w:sz w:val="18"/>
          <w:szCs w:val="18"/>
          <w:color w:val="auto"/>
        </w:rPr>
        <w:t>”), the Premises shall be expanded to include that certain 13,291 square foot of Rentable Area (the “</w:t>
      </w:r>
      <w:r>
        <w:rPr>
          <w:rFonts w:ascii="Arial" w:cs="Arial" w:eastAsia="Arial" w:hAnsi="Arial"/>
          <w:sz w:val="18"/>
          <w:szCs w:val="18"/>
          <w:u w:val="single" w:color="auto"/>
          <w:color w:val="auto"/>
        </w:rPr>
        <w:t>Suite 900 Space</w:t>
      </w:r>
      <w:r>
        <w:rPr>
          <w:rFonts w:ascii="Arial" w:cs="Arial" w:eastAsia="Arial" w:hAnsi="Arial"/>
          <w:sz w:val="18"/>
          <w:szCs w:val="18"/>
          <w:color w:val="auto"/>
        </w:rPr>
        <w:t>”) in that certain office building located in the Project having an address of One Almaden, San Jose, California (the “</w:t>
      </w:r>
      <w:r>
        <w:rPr>
          <w:rFonts w:ascii="Arial" w:cs="Arial" w:eastAsia="Arial" w:hAnsi="Arial"/>
          <w:sz w:val="18"/>
          <w:szCs w:val="18"/>
          <w:u w:val="single" w:color="auto"/>
          <w:color w:val="auto"/>
        </w:rPr>
        <w:t>One Almaden Building</w:t>
      </w:r>
      <w:r>
        <w:rPr>
          <w:rFonts w:ascii="Arial" w:cs="Arial" w:eastAsia="Arial" w:hAnsi="Arial"/>
          <w:sz w:val="18"/>
          <w:szCs w:val="18"/>
          <w:color w:val="auto"/>
        </w:rPr>
        <w:t>”), for a term that is coterminous with the Lease Term, as extended pursuant to</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4"/>
          </w:cols>
          <w:pgMar w:left="436" w:top="270" w:right="519" w:bottom="1440" w:gutter="0" w:footer="0" w:header="0"/>
        </w:sectPr>
      </w:pPr>
    </w:p>
    <w:bookmarkStart w:id="425" w:name="page426"/>
    <w:bookmarkEnd w:id="425"/>
    <w:p>
      <w:pPr>
        <w:ind w:left="884" w:right="20"/>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3</w:t>
      </w:r>
      <w:r>
        <w:rPr>
          <w:rFonts w:ascii="Arial" w:cs="Arial" w:eastAsia="Arial" w:hAnsi="Arial"/>
          <w:sz w:val="16"/>
          <w:szCs w:val="16"/>
          <w:color w:val="auto"/>
        </w:rPr>
        <w:t xml:space="preserve"> below. The Suite 900 Space is more particularly shown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and incorporated herein for all purposes. Landlord shall relocate an existing tenant that is currently occupying a portion of the Suite 900 Space. Upon completing such relocation, then Landlord shall deliver possession of the Suite 900 Space to Tenant in order for Tenant to construct the Tenant Improvements pursuant to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In no event shall Landlord be liable to Tenant, nor shall Landlord be in default under this Lease in the event there is any delay in delivery of the Suite 900 Space to Tenant as a result of any holding over by any tenant currently occupying the Suite 900 Space. Notwithstanding the foregoing, if Landlord has not delivered possession of the Suite 900 Space to Tenant in the condition required herein on or before the date that is sixty (60) days following full execution of this Second Amendment, then, as Tenant’s sole and exclusive remedy, for each day thereafter that Landlord has failed to deliver possession of the Suite 900 Space to Tenant, the Suite 900 Commencement Date shall be extended for one (1) day. With respect to the references to “</w:t>
      </w:r>
      <w:r>
        <w:rPr>
          <w:rFonts w:ascii="Arial" w:cs="Arial" w:eastAsia="Arial" w:hAnsi="Arial"/>
          <w:sz w:val="16"/>
          <w:szCs w:val="16"/>
          <w:u w:val="single" w:color="auto"/>
          <w:color w:val="auto"/>
        </w:rPr>
        <w:t>Building</w:t>
      </w:r>
      <w:r>
        <w:rPr>
          <w:rFonts w:ascii="Arial" w:cs="Arial" w:eastAsia="Arial" w:hAnsi="Arial"/>
          <w:sz w:val="16"/>
          <w:szCs w:val="16"/>
          <w:color w:val="auto"/>
        </w:rPr>
        <w:t>” in the Lease, such references shall mean and refer to the One Almaden Building as the context requires with respect to the Suite 900 Space.</w:t>
      </w:r>
    </w:p>
    <w:p>
      <w:pPr>
        <w:spacing w:after="0" w:line="74" w:lineRule="exact"/>
        <w:rPr>
          <w:sz w:val="20"/>
          <w:szCs w:val="20"/>
          <w:color w:val="auto"/>
        </w:rPr>
      </w:pPr>
    </w:p>
    <w:p>
      <w:pPr>
        <w:ind w:left="424" w:right="80" w:hanging="424"/>
        <w:spacing w:after="0" w:line="263" w:lineRule="auto"/>
        <w:tabs>
          <w:tab w:leader="none" w:pos="424"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The Lease Term, which is currently scheduled to expire on August 31, 2021 (the “</w:t>
      </w:r>
      <w:r>
        <w:rPr>
          <w:rFonts w:ascii="Arial" w:cs="Arial" w:eastAsia="Arial" w:hAnsi="Arial"/>
          <w:sz w:val="18"/>
          <w:szCs w:val="18"/>
          <w:u w:val="single" w:color="auto"/>
          <w:color w:val="auto"/>
        </w:rPr>
        <w:t>Existing Expiration Date</w:t>
      </w:r>
      <w:r>
        <w:rPr>
          <w:rFonts w:ascii="Arial" w:cs="Arial" w:eastAsia="Arial" w:hAnsi="Arial"/>
          <w:sz w:val="18"/>
          <w:szCs w:val="18"/>
          <w:color w:val="auto"/>
        </w:rPr>
        <w:t>”), is hereby extended for an additional period of time, commencing on September 1, 2021 (the “</w:t>
      </w:r>
      <w:r>
        <w:rPr>
          <w:rFonts w:ascii="Arial" w:cs="Arial" w:eastAsia="Arial" w:hAnsi="Arial"/>
          <w:sz w:val="18"/>
          <w:szCs w:val="18"/>
          <w:u w:val="single" w:color="auto"/>
          <w:color w:val="auto"/>
        </w:rPr>
        <w:t>Extension Term Commencement Date</w:t>
      </w:r>
      <w:r>
        <w:rPr>
          <w:rFonts w:ascii="Arial" w:cs="Arial" w:eastAsia="Arial" w:hAnsi="Arial"/>
          <w:sz w:val="18"/>
          <w:szCs w:val="18"/>
          <w:color w:val="auto"/>
        </w:rPr>
        <w:t>”) and continuing through and expiring on February 28, 2027 (the “</w:t>
      </w:r>
      <w:r>
        <w:rPr>
          <w:rFonts w:ascii="Arial" w:cs="Arial" w:eastAsia="Arial" w:hAnsi="Arial"/>
          <w:sz w:val="18"/>
          <w:szCs w:val="18"/>
          <w:u w:val="single" w:color="auto"/>
          <w:color w:val="auto"/>
        </w:rPr>
        <w:t>Extension Term</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24" w:right="60" w:hanging="424"/>
        <w:spacing w:after="0" w:line="272" w:lineRule="auto"/>
        <w:tabs>
          <w:tab w:leader="none" w:pos="424"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Confirmation of the Premises</w:t>
      </w:r>
      <w:r>
        <w:rPr>
          <w:rFonts w:ascii="Arial" w:cs="Arial" w:eastAsia="Arial" w:hAnsi="Arial"/>
          <w:sz w:val="17"/>
          <w:szCs w:val="17"/>
          <w:color w:val="auto"/>
        </w:rPr>
        <w:t>. For the time period from the Effective Date through the day immediately preceding the Suite 600 Commencement Date, the “</w:t>
      </w:r>
      <w:r>
        <w:rPr>
          <w:rFonts w:ascii="Arial" w:cs="Arial" w:eastAsia="Arial" w:hAnsi="Arial"/>
          <w:sz w:val="17"/>
          <w:szCs w:val="17"/>
          <w:u w:val="single" w:color="auto"/>
          <w:color w:val="auto"/>
        </w:rPr>
        <w:t>Premises</w:t>
      </w:r>
      <w:r>
        <w:rPr>
          <w:rFonts w:ascii="Arial" w:cs="Arial" w:eastAsia="Arial" w:hAnsi="Arial"/>
          <w:sz w:val="17"/>
          <w:szCs w:val="17"/>
          <w:color w:val="auto"/>
        </w:rPr>
        <w:t>” under the Lease shall be deemed to contain a total of 35,215 square feet of Rentable Area consisting of the Suite 400 Space and the Suite 500 Space. Thereafter, commencing on the Suite 600 Space Commencement Date and continuing thereafter through the day immediately preceding the Suite 900 Commencement Date, the “Premises” shall contain a total of 52,729 square feet of Rentable Area consisting of the Suite 400 Space, Suite 500 Space and Suite 600 Space. Thereafter, commencing on the Suite 900 Space Commencement Date and continuing thereafter through the remainder of the Extension Term, the “Premises” shall contain a total of 66,020 square feet of Rentable Area, consisting of the Suite 400 Space, Suite 500 Space, Suite 600 Space and Suite 900 Space.</w:t>
      </w:r>
    </w:p>
    <w:p>
      <w:pPr>
        <w:spacing w:after="0" w:line="325" w:lineRule="exact"/>
        <w:rPr>
          <w:rFonts w:ascii="Arial" w:cs="Arial" w:eastAsia="Arial" w:hAnsi="Arial"/>
          <w:sz w:val="17"/>
          <w:szCs w:val="17"/>
          <w:color w:val="auto"/>
        </w:rPr>
      </w:pPr>
    </w:p>
    <w:p>
      <w:pPr>
        <w:ind w:left="424" w:hanging="424"/>
        <w:spacing w:after="0"/>
        <w:tabs>
          <w:tab w:leader="none" w:pos="424"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Basic Annual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4" w:hanging="432"/>
        <w:spacing w:after="0" w:line="287" w:lineRule="auto"/>
        <w:tabs>
          <w:tab w:leader="none" w:pos="864" w:val="left"/>
        </w:tabs>
        <w:numPr>
          <w:ilvl w:val="1"/>
          <w:numId w:val="410"/>
        </w:numPr>
        <w:rPr>
          <w:rFonts w:ascii="Arial" w:cs="Arial" w:eastAsia="Arial" w:hAnsi="Arial"/>
          <w:sz w:val="16"/>
          <w:szCs w:val="16"/>
          <w:color w:val="auto"/>
        </w:rPr>
      </w:pPr>
      <w:r>
        <w:rPr>
          <w:rFonts w:ascii="Arial" w:cs="Arial" w:eastAsia="Arial" w:hAnsi="Arial"/>
          <w:sz w:val="16"/>
          <w:szCs w:val="16"/>
          <w:u w:val="single" w:color="auto"/>
          <w:color w:val="auto"/>
        </w:rPr>
        <w:t>Suite 500 Space</w:t>
      </w:r>
      <w:r>
        <w:rPr>
          <w:rFonts w:ascii="Arial" w:cs="Arial" w:eastAsia="Arial" w:hAnsi="Arial"/>
          <w:sz w:val="16"/>
          <w:szCs w:val="16"/>
          <w:color w:val="auto"/>
        </w:rPr>
        <w:t xml:space="preserve">. Tenant shall continue to pay Basic Annual Rent with respect to the Suite 500 Space in accordance with the terms and conditions of the Lease through the Existing Expiration Date. Notwithstanding the foregoing to the contrary, in the event that Tenant elects the disbursement of the Landlord’s Construction Allowance (as defined in </w:t>
      </w:r>
      <w:r>
        <w:rPr>
          <w:rFonts w:ascii="Arial" w:cs="Arial" w:eastAsia="Arial" w:hAnsi="Arial"/>
          <w:sz w:val="16"/>
          <w:szCs w:val="16"/>
          <w:u w:val="single" w:color="auto"/>
          <w:color w:val="auto"/>
        </w:rPr>
        <w:t>Paragraph 6</w:t>
      </w:r>
      <w:r>
        <w:rPr>
          <w:rFonts w:ascii="Arial" w:cs="Arial" w:eastAsia="Arial" w:hAnsi="Arial"/>
          <w:sz w:val="16"/>
          <w:szCs w:val="16"/>
          <w:color w:val="auto"/>
        </w:rPr>
        <w:t xml:space="preserve"> below) allocable to the Suite 500 Space prior to the Existing Expiration Date, then, effective as of the date that Landlord disburses any portion of the Landlord’s Construction Allowance attributable to the Suite 500 Space through the Existing Expiration Date, the Basic Annual Rent payable by Tenant with respect to the Suite 500 Space shall be equal to the following: (i) if such disbursement occurs prior to September 30, 2019, then from the date of the disbursement through September 30, 2019, Tenant shall pay Basic Annual Rent for the Suite 500 Space in an amount equal to $73,201.85 (which is equal to $4.15 per square foot of Rentable Area per month), (ii) if the disbursement has occurred, then, for the time period from October 1, 2019 through September 30, 2020, Tenant shall pay Basic Annual Rent for the Suite 500 Space in an amount equal to $75,397.91 per month (which is equal to approximately $4.27 per square foot of Rentable Area per month), and (iii) if the disbursement has occurred, then, for the time period from October 1, 2020 through the Existing Expiration Date, Tenant shall pay Basic Annual Rent for the Suite 500 Space in an amount equal to $77,659.84 per month (which is equal to approximately $4.40 per</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26" w:name="page427"/>
    <w:bookmarkEnd w:id="426"/>
    <w:p>
      <w:pPr>
        <w:ind w:left="452"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square foot of Rentable Area per month). Any partial month shall be prorated on a per diem basis. In the event Landlord disburses any portion of the Landlord’s Construction Allowance attributable to the Suite 500 Space prior to the Existing Expiration Date resulting in an adjustment of the Basic Annual Rent payable prior to the Existing Expiration Date as more particularly set forth above, then Landlord and Tenant shall execute a mutually agreeable rent confirmation letter agreement to document the date of such disbursement and the Basic Annual Rent payable for the Suite 500 Space prior to the Existing Expiration Date. Thereafter, commencing on the Extension Term Commencement Date and continuing thereafter through the Extension Term, the Basic Annual Rent payable with respect to the Suite 500 Space shall be as follows</w:t>
      </w:r>
    </w:p>
    <w:p>
      <w:pPr>
        <w:spacing w:after="0" w:line="217" w:lineRule="exact"/>
        <w:rPr>
          <w:sz w:val="20"/>
          <w:szCs w:val="20"/>
          <w:color w:val="auto"/>
        </w:rPr>
      </w:pPr>
    </w:p>
    <w:tbl>
      <w:tblPr>
        <w:tblLayout w:type="fixed"/>
        <w:tblInd w:w="892"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4"/>
                <w:szCs w:val="14"/>
                <w:color w:val="auto"/>
                <w:w w:val="93"/>
              </w:rPr>
              <w:t>Rate/rsf/month</w:t>
            </w: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9"/>
              </w:rPr>
              <w:t>Monthly Installment</w:t>
            </w: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09/01/2021 – 12/31/2022</w:t>
            </w:r>
          </w:p>
        </w:tc>
        <w:tc>
          <w:tcPr>
            <w:tcW w:w="17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Approx. $ 4.40</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77,659.84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01/01/2023 – 12/31/2023</w:t>
            </w:r>
          </w:p>
        </w:tc>
        <w:tc>
          <w:tcPr>
            <w:tcW w:w="360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Approx. $ 4.53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79,989.64</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01/01/2024 – 12/31/2024</w:t>
            </w:r>
          </w:p>
        </w:tc>
        <w:tc>
          <w:tcPr>
            <w:tcW w:w="3600" w:type="dxa"/>
            <w:vAlign w:val="bottom"/>
            <w:gridSpan w:val="3"/>
            <w:shd w:val="clear" w:color="auto" w:fill="CCEEFF"/>
          </w:tcPr>
          <w:p>
            <w:pPr>
              <w:jc w:val="center"/>
              <w:ind w:left="790"/>
              <w:spacing w:after="0"/>
              <w:rPr>
                <w:sz w:val="20"/>
                <w:szCs w:val="20"/>
                <w:color w:val="auto"/>
              </w:rPr>
            </w:pPr>
            <w:r>
              <w:rPr>
                <w:rFonts w:ascii="Arial" w:cs="Arial" w:eastAsia="Arial" w:hAnsi="Arial"/>
                <w:sz w:val="18"/>
                <w:szCs w:val="18"/>
                <w:color w:val="auto"/>
                <w:w w:val="92"/>
              </w:rPr>
              <w:t>Approx. $ 4.67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82,389.33</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01/01/2025 – 12/31/2025</w:t>
            </w:r>
          </w:p>
        </w:tc>
        <w:tc>
          <w:tcPr>
            <w:tcW w:w="360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Approx. $ 4.81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84,861.01</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01/01/2026 – 12/31/2026</w:t>
            </w:r>
          </w:p>
        </w:tc>
        <w:tc>
          <w:tcPr>
            <w:tcW w:w="3600" w:type="dxa"/>
            <w:vAlign w:val="bottom"/>
            <w:gridSpan w:val="3"/>
            <w:shd w:val="clear" w:color="auto" w:fill="CCEEFF"/>
          </w:tcPr>
          <w:p>
            <w:pPr>
              <w:jc w:val="center"/>
              <w:ind w:left="790"/>
              <w:spacing w:after="0"/>
              <w:rPr>
                <w:sz w:val="20"/>
                <w:szCs w:val="20"/>
                <w:color w:val="auto"/>
              </w:rPr>
            </w:pPr>
            <w:r>
              <w:rPr>
                <w:rFonts w:ascii="Arial" w:cs="Arial" w:eastAsia="Arial" w:hAnsi="Arial"/>
                <w:sz w:val="18"/>
                <w:szCs w:val="18"/>
                <w:color w:val="auto"/>
                <w:w w:val="92"/>
              </w:rPr>
              <w:t>Approx. $ 4.96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87,406.84</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01/01/2027 – 02/28/2027</w:t>
            </w:r>
          </w:p>
        </w:tc>
        <w:tc>
          <w:tcPr>
            <w:tcW w:w="360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Approx. $ 5.10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90,029.04</w:t>
            </w:r>
          </w:p>
        </w:tc>
      </w:tr>
    </w:tbl>
    <w:p>
      <w:pPr>
        <w:spacing w:after="0" w:line="93" w:lineRule="exact"/>
        <w:rPr>
          <w:sz w:val="20"/>
          <w:szCs w:val="20"/>
          <w:color w:val="auto"/>
        </w:rPr>
      </w:pPr>
    </w:p>
    <w:p>
      <w:pPr>
        <w:ind w:left="432" w:hanging="432"/>
        <w:spacing w:after="0" w:line="285" w:lineRule="auto"/>
        <w:tabs>
          <w:tab w:leader="none" w:pos="432"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Suite 400 Space</w:t>
      </w:r>
      <w:r>
        <w:rPr>
          <w:rFonts w:ascii="Arial" w:cs="Arial" w:eastAsia="Arial" w:hAnsi="Arial"/>
          <w:sz w:val="16"/>
          <w:szCs w:val="16"/>
          <w:color w:val="auto"/>
        </w:rPr>
        <w:t>. The parties hereby agree that the intent is for the Tenant to continue to pay for the Suite 400 Space at the same rate that Tenant would have been obligated to pay under the Tenant’s Sublease for the Suite 400 Space through August 31, 2019 (i.e., being the date that the Tenant’s Sublease would have naturally expired upon its terms), which the parties stipulate and agree is equal to: (i) for the time period from the Effective Date through December 31, 2018, Tenant shall pay Basic Annual Rent for the Suite 400 Space in an amount equal to $67,843.36 per month (which is equal to $3.86 per square foot of Rentable Area per month), and (ii) for the time period from January 1, 2019 through August 31, 2019, Tenant shall pay Basic Annual Rent for the Suite 400 Space in an amount equal to $69,952.48 per month (which is equal to $3.98 per square foot of Rentable Area per month). Notwithstanding the foregoing to the contrary, in the event that Tenant elects the disbursement of the Landlord’s Construction Allowance (as defined in Paragraph 7 below) allocable to the Suite 400 Space prior to September 1, 2019, then, effective as of the date that Landlord disburses any portion of the Landlord’s Construction Allowance attributable to the Suite 400 Space through August 31, 2019, the Basic Annual Rent payable by Tenant with respect to the Suite 400 Space shall be equal to $72,940.40 per month (which is equal to $4.15 per square foot of Rentable Area per month). In the event Landlord disburses any portion of the Landlord’s Construction Allowance attributable to the Suite 400 Space prior September 1, 2019 resulting in an adjustment of the Basic Annual Rent payable prior to such date as more particularly set forth above, then Landlord and Tenant shall execute a mutually agreeable rent confirmation letter agreement to document the date of such disbursement and the Basic Annual Rent payable for the Suite 400 Space prior to September 1, 2019. Thereafter, commencing on September 1, 2019 and continuing thereafter through the Extension Term, the Basic Annual Rent payable with respect to the Suite 400 Space shall be as follows:</w:t>
      </w:r>
    </w:p>
    <w:p>
      <w:pPr>
        <w:spacing w:after="0" w:line="199" w:lineRule="exact"/>
        <w:rPr>
          <w:sz w:val="20"/>
          <w:szCs w:val="20"/>
          <w:color w:val="auto"/>
        </w:rPr>
      </w:pPr>
    </w:p>
    <w:tbl>
      <w:tblPr>
        <w:tblLayout w:type="fixed"/>
        <w:tblInd w:w="892"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2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Rate/rsf/month</w:t>
            </w: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9"/>
              </w:rPr>
              <w:t>Monthly Installment</w:t>
            </w:r>
          </w:p>
        </w:tc>
      </w:tr>
      <w:tr>
        <w:trPr>
          <w:trHeight w:val="203"/>
        </w:trPr>
        <w:tc>
          <w:tcPr>
            <w:tcW w:w="2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09/01/2019 – 12/31/2020</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72,940.40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01/01/2021 – 12/31/2021</w:t>
            </w:r>
          </w:p>
        </w:tc>
        <w:tc>
          <w:tcPr>
            <w:tcW w:w="4140" w:type="dxa"/>
            <w:vAlign w:val="bottom"/>
            <w:gridSpan w:val="4"/>
          </w:tcPr>
          <w:p>
            <w:pPr>
              <w:ind w:left="2240"/>
              <w:spacing w:after="0"/>
              <w:rPr>
                <w:sz w:val="20"/>
                <w:szCs w:val="20"/>
                <w:color w:val="auto"/>
              </w:rPr>
            </w:pPr>
            <w:r>
              <w:rPr>
                <w:rFonts w:ascii="Arial" w:cs="Arial" w:eastAsia="Arial" w:hAnsi="Arial"/>
                <w:sz w:val="18"/>
                <w:szCs w:val="18"/>
                <w:color w:val="auto"/>
              </w:rPr>
              <w:t>Approx. $ 4.27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75,128.61</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01/01/2022 – 12/31/2022</w:t>
            </w:r>
          </w:p>
        </w:tc>
        <w:tc>
          <w:tcPr>
            <w:tcW w:w="4140" w:type="dxa"/>
            <w:vAlign w:val="bottom"/>
            <w:gridSpan w:val="4"/>
            <w:shd w:val="clear" w:color="auto" w:fill="CCEEFF"/>
          </w:tcPr>
          <w:p>
            <w:pPr>
              <w:ind w:left="2240"/>
              <w:spacing w:after="0"/>
              <w:rPr>
                <w:sz w:val="20"/>
                <w:szCs w:val="20"/>
                <w:color w:val="auto"/>
              </w:rPr>
            </w:pPr>
            <w:r>
              <w:rPr>
                <w:rFonts w:ascii="Arial" w:cs="Arial" w:eastAsia="Arial" w:hAnsi="Arial"/>
                <w:sz w:val="18"/>
                <w:szCs w:val="18"/>
                <w:color w:val="auto"/>
              </w:rPr>
              <w:t>Approx. $ 4.40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77,382.47</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01/01/2023 – 12/31/2023</w:t>
            </w:r>
          </w:p>
        </w:tc>
        <w:tc>
          <w:tcPr>
            <w:tcW w:w="4140" w:type="dxa"/>
            <w:vAlign w:val="bottom"/>
            <w:gridSpan w:val="4"/>
          </w:tcPr>
          <w:p>
            <w:pPr>
              <w:ind w:left="2240"/>
              <w:spacing w:after="0"/>
              <w:rPr>
                <w:sz w:val="20"/>
                <w:szCs w:val="20"/>
                <w:color w:val="auto"/>
              </w:rPr>
            </w:pPr>
            <w:r>
              <w:rPr>
                <w:rFonts w:ascii="Arial" w:cs="Arial" w:eastAsia="Arial" w:hAnsi="Arial"/>
                <w:sz w:val="18"/>
                <w:szCs w:val="18"/>
                <w:color w:val="auto"/>
              </w:rPr>
              <w:t>Approx. $ 4.53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79,703.94</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01/01/2024 – 12/31/2024</w:t>
            </w:r>
          </w:p>
        </w:tc>
        <w:tc>
          <w:tcPr>
            <w:tcW w:w="4140" w:type="dxa"/>
            <w:vAlign w:val="bottom"/>
            <w:gridSpan w:val="4"/>
            <w:shd w:val="clear" w:color="auto" w:fill="CCEEFF"/>
          </w:tcPr>
          <w:p>
            <w:pPr>
              <w:ind w:left="2240"/>
              <w:spacing w:after="0"/>
              <w:rPr>
                <w:sz w:val="20"/>
                <w:szCs w:val="20"/>
                <w:color w:val="auto"/>
              </w:rPr>
            </w:pPr>
            <w:r>
              <w:rPr>
                <w:rFonts w:ascii="Arial" w:cs="Arial" w:eastAsia="Arial" w:hAnsi="Arial"/>
                <w:sz w:val="18"/>
                <w:szCs w:val="18"/>
                <w:color w:val="auto"/>
              </w:rPr>
              <w:t>Approx. $ 4.67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82,095.06</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01/01/2025 – 12/31/2025</w:t>
            </w:r>
          </w:p>
        </w:tc>
        <w:tc>
          <w:tcPr>
            <w:tcW w:w="4140" w:type="dxa"/>
            <w:vAlign w:val="bottom"/>
            <w:gridSpan w:val="4"/>
          </w:tcPr>
          <w:p>
            <w:pPr>
              <w:ind w:left="2240"/>
              <w:spacing w:after="0"/>
              <w:rPr>
                <w:sz w:val="20"/>
                <w:szCs w:val="20"/>
                <w:color w:val="auto"/>
              </w:rPr>
            </w:pPr>
            <w:r>
              <w:rPr>
                <w:rFonts w:ascii="Arial" w:cs="Arial" w:eastAsia="Arial" w:hAnsi="Arial"/>
                <w:sz w:val="18"/>
                <w:szCs w:val="18"/>
                <w:color w:val="auto"/>
              </w:rPr>
              <w:t>Approx. $ 4.81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84,557.91</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01/01/2026 – 12/31/2026</w:t>
            </w:r>
          </w:p>
        </w:tc>
        <w:tc>
          <w:tcPr>
            <w:tcW w:w="4140" w:type="dxa"/>
            <w:vAlign w:val="bottom"/>
            <w:gridSpan w:val="4"/>
            <w:shd w:val="clear" w:color="auto" w:fill="CCEEFF"/>
          </w:tcPr>
          <w:p>
            <w:pPr>
              <w:ind w:left="2240"/>
              <w:spacing w:after="0"/>
              <w:rPr>
                <w:sz w:val="20"/>
                <w:szCs w:val="20"/>
                <w:color w:val="auto"/>
              </w:rPr>
            </w:pPr>
            <w:r>
              <w:rPr>
                <w:rFonts w:ascii="Arial" w:cs="Arial" w:eastAsia="Arial" w:hAnsi="Arial"/>
                <w:sz w:val="18"/>
                <w:szCs w:val="18"/>
                <w:color w:val="auto"/>
              </w:rPr>
              <w:t>Approx. $ 4.96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87,094.65</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01/01/2027 – 02/28/2027</w:t>
            </w:r>
          </w:p>
        </w:tc>
        <w:tc>
          <w:tcPr>
            <w:tcW w:w="4140" w:type="dxa"/>
            <w:vAlign w:val="bottom"/>
            <w:gridSpan w:val="4"/>
          </w:tcPr>
          <w:p>
            <w:pPr>
              <w:ind w:left="2240"/>
              <w:spacing w:after="0"/>
              <w:rPr>
                <w:sz w:val="20"/>
                <w:szCs w:val="20"/>
                <w:color w:val="auto"/>
              </w:rPr>
            </w:pPr>
            <w:r>
              <w:rPr>
                <w:rFonts w:ascii="Arial" w:cs="Arial" w:eastAsia="Arial" w:hAnsi="Arial"/>
                <w:sz w:val="18"/>
                <w:szCs w:val="18"/>
                <w:color w:val="auto"/>
              </w:rPr>
              <w:t>Approx. $ 5.10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89,707.49</w:t>
            </w:r>
          </w:p>
        </w:tc>
      </w:tr>
      <w:tr>
        <w:trPr>
          <w:trHeight w:val="350"/>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40" w:type="dxa"/>
            <w:vAlign w:val="bottom"/>
          </w:tcPr>
          <w:p>
            <w:pPr>
              <w:jc w:val="right"/>
              <w:ind w:right="9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52"/>
          </w:cols>
          <w:pgMar w:left="868" w:top="274" w:right="479" w:bottom="1440" w:gutter="0" w:footer="0" w:header="0"/>
        </w:sectPr>
      </w:pPr>
    </w:p>
    <w:bookmarkStart w:id="427" w:name="page428"/>
    <w:bookmarkEnd w:id="427"/>
    <w:p>
      <w:pPr>
        <w:ind w:left="864" w:right="60" w:hanging="432"/>
        <w:spacing w:after="0" w:line="257" w:lineRule="auto"/>
        <w:tabs>
          <w:tab w:leader="none" w:pos="864"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Suite 600 Space</w:t>
      </w:r>
      <w:r>
        <w:rPr>
          <w:rFonts w:ascii="Arial" w:cs="Arial" w:eastAsia="Arial" w:hAnsi="Arial"/>
          <w:sz w:val="18"/>
          <w:szCs w:val="18"/>
          <w:color w:val="auto"/>
        </w:rPr>
        <w:t>. Effective as of the Suite 600 Commencement Date and continuing thereafter through December 31, 2018, Tenant shall pay Basic Annual Rent for the Suite 600 Commencement Date in accordance with the terms and conditions of the Lease. Thereafter, commencing on January 1, 2019 (the “</w:t>
      </w:r>
      <w:r>
        <w:rPr>
          <w:rFonts w:ascii="Arial" w:cs="Arial" w:eastAsia="Arial" w:hAnsi="Arial"/>
          <w:sz w:val="18"/>
          <w:szCs w:val="18"/>
          <w:u w:val="single" w:color="auto"/>
          <w:color w:val="auto"/>
        </w:rPr>
        <w:t>Rent Change Date</w:t>
      </w:r>
      <w:r>
        <w:rPr>
          <w:rFonts w:ascii="Arial" w:cs="Arial" w:eastAsia="Arial" w:hAnsi="Arial"/>
          <w:sz w:val="18"/>
          <w:szCs w:val="18"/>
          <w:color w:val="auto"/>
        </w:rPr>
        <w:t>”) and continuing thereafter through the Extension Term, the Basic Annual Rent payable with respect to the Suite 600 Space shall be amended so that Tenant shall also pay Basic Annual Rent with respect to the Suite 600 Space as follows:</w:t>
      </w:r>
    </w:p>
    <w:p>
      <w:pPr>
        <w:spacing w:after="0" w:line="210"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40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Monthly Installment</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3"/>
        </w:trPr>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01/01/2019 – 12/31/2019</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98,423.10*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01/01/2020 – 12/31/2020</w:t>
            </w:r>
          </w:p>
        </w:tc>
        <w:tc>
          <w:tcPr>
            <w:tcW w:w="24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100,603.59</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01/01/2021 – 12/31/2021</w:t>
            </w:r>
          </w:p>
        </w:tc>
        <w:tc>
          <w:tcPr>
            <w:tcW w:w="24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102,849.50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01/01/2022 – 12/31/2022</w:t>
            </w:r>
          </w:p>
        </w:tc>
        <w:tc>
          <w:tcPr>
            <w:tcW w:w="24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105,162.79</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01/01/2023 – 12/31/2023</w:t>
            </w:r>
          </w:p>
        </w:tc>
        <w:tc>
          <w:tcPr>
            <w:tcW w:w="24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107,545.47</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01/01/2024 – 12/31/2024</w:t>
            </w:r>
          </w:p>
        </w:tc>
        <w:tc>
          <w:tcPr>
            <w:tcW w:w="24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109,999.63</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01/01/2025 – 12/31/2025</w:t>
            </w:r>
          </w:p>
        </w:tc>
        <w:tc>
          <w:tcPr>
            <w:tcW w:w="24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112,527.42</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01/01/2026 – 12/31/2026</w:t>
            </w:r>
          </w:p>
        </w:tc>
        <w:tc>
          <w:tcPr>
            <w:tcW w:w="24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115,131.05</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01/01/2027 – 02/28/2027</w:t>
            </w:r>
          </w:p>
        </w:tc>
        <w:tc>
          <w:tcPr>
            <w:tcW w:w="24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117,812.78</w:t>
            </w:r>
          </w:p>
        </w:tc>
      </w:tr>
    </w:tbl>
    <w:p>
      <w:pPr>
        <w:spacing w:after="0" w:line="107" w:lineRule="exact"/>
        <w:rPr>
          <w:sz w:val="20"/>
          <w:szCs w:val="20"/>
          <w:color w:val="auto"/>
        </w:rPr>
      </w:pPr>
    </w:p>
    <w:p>
      <w:pPr>
        <w:ind w:left="224" w:hanging="224"/>
        <w:spacing w:after="0" w:line="255" w:lineRule="auto"/>
        <w:tabs>
          <w:tab w:leader="none" w:pos="22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Provided that Tenant is not in default under the Lease past applicable notice and cure periods, then Landlord hereby agrees to partially abate the Basic Annual Rent with respect to the Suite 600 Space for the full three (3) month period from January 1, 2019 through March 31, 2019 so that during this partial abatement period the Basic Annual Rent payable by Tenant for the Suite 600 Space shall equal $25,740.00 per month. Notwithstanding anything herein to the contrary, prior to the occurrence of the scheduled abatement of the Basic Annual Rent, Landlord may pay to Tenant the sum scheduled to be abated, in which case the abatement of Basic Annual Rent shall not occur and Tenant shall pay Basic Annual Rent in the amount required in the Basic Annual Rent schedule above.</w:t>
      </w:r>
    </w:p>
    <w:p>
      <w:pPr>
        <w:spacing w:after="0" w:line="97" w:lineRule="exact"/>
        <w:rPr>
          <w:rFonts w:ascii="Arial" w:cs="Arial" w:eastAsia="Arial" w:hAnsi="Arial"/>
          <w:sz w:val="18"/>
          <w:szCs w:val="18"/>
          <w:color w:val="auto"/>
        </w:rPr>
      </w:pPr>
    </w:p>
    <w:p>
      <w:pPr>
        <w:ind w:left="864" w:right="40" w:hanging="432"/>
        <w:spacing w:after="0" w:line="277" w:lineRule="auto"/>
        <w:tabs>
          <w:tab w:leader="none" w:pos="864"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Suite 900 Space</w:t>
      </w:r>
      <w:r>
        <w:rPr>
          <w:rFonts w:ascii="Arial" w:cs="Arial" w:eastAsia="Arial" w:hAnsi="Arial"/>
          <w:sz w:val="18"/>
          <w:szCs w:val="18"/>
          <w:color w:val="auto"/>
        </w:rPr>
        <w:t>. Effective as of the Suite 900 Commencement Date and continuing thereafter through the Extension Term, Tenant shall also pay Basic Annual Rent with respect to the Suite 900 Space as follows:</w:t>
      </w:r>
    </w:p>
    <w:p>
      <w:pPr>
        <w:spacing w:after="0" w:line="193"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40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Monthly Installment</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3"/>
        </w:trPr>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01/01/2019 – 12/31/2019</w:t>
            </w:r>
          </w:p>
        </w:tc>
        <w:tc>
          <w:tcPr>
            <w:tcW w:w="2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96"/>
              </w:rPr>
              <w:t>63,737.65*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01/01/2020 – 12/31/2020</w:t>
            </w:r>
          </w:p>
        </w:tc>
        <w:tc>
          <w:tcPr>
            <w:tcW w:w="24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65,392.38</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01/01/2021 – 12/31/2021</w:t>
            </w:r>
          </w:p>
        </w:tc>
        <w:tc>
          <w:tcPr>
            <w:tcW w:w="24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67,096.75</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01/01/2022 – 12/31/2022</w:t>
            </w:r>
          </w:p>
        </w:tc>
        <w:tc>
          <w:tcPr>
            <w:tcW w:w="24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68,852.25</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01/01/2023 – 12/31/2023</w:t>
            </w:r>
          </w:p>
        </w:tc>
        <w:tc>
          <w:tcPr>
            <w:tcW w:w="24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70,660.42</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01/01/2024 – 12/31/2024</w:t>
            </w:r>
          </w:p>
        </w:tc>
        <w:tc>
          <w:tcPr>
            <w:tcW w:w="24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72,522.83</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01/01/2025 – 12/31/2025</w:t>
            </w:r>
          </w:p>
        </w:tc>
        <w:tc>
          <w:tcPr>
            <w:tcW w:w="24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74,441.12</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01/01/2026 –12/31/2026</w:t>
            </w:r>
          </w:p>
        </w:tc>
        <w:tc>
          <w:tcPr>
            <w:tcW w:w="24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76,416.95</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01/01/2027 – 02/28/2027</w:t>
            </w:r>
          </w:p>
        </w:tc>
        <w:tc>
          <w:tcPr>
            <w:tcW w:w="24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78,452.06</w:t>
            </w:r>
          </w:p>
        </w:tc>
      </w:tr>
    </w:tbl>
    <w:p>
      <w:pPr>
        <w:spacing w:after="0" w:line="107" w:lineRule="exact"/>
        <w:rPr>
          <w:sz w:val="20"/>
          <w:szCs w:val="20"/>
          <w:color w:val="auto"/>
        </w:rPr>
      </w:pPr>
    </w:p>
    <w:p>
      <w:pPr>
        <w:ind w:left="224" w:right="400" w:hanging="224"/>
        <w:spacing w:after="0" w:line="308" w:lineRule="auto"/>
        <w:tabs>
          <w:tab w:leader="none" w:pos="224" w:val="left"/>
        </w:tabs>
        <w:numPr>
          <w:ilvl w:val="0"/>
          <w:numId w:val="414"/>
        </w:numPr>
        <w:rPr>
          <w:rFonts w:ascii="Arial" w:cs="Arial" w:eastAsia="Arial" w:hAnsi="Arial"/>
          <w:sz w:val="17"/>
          <w:szCs w:val="17"/>
          <w:color w:val="auto"/>
        </w:rPr>
      </w:pPr>
      <w:r>
        <w:rPr>
          <w:rFonts w:ascii="Arial" w:cs="Arial" w:eastAsia="Arial" w:hAnsi="Arial"/>
          <w:sz w:val="17"/>
          <w:szCs w:val="17"/>
          <w:color w:val="auto"/>
        </w:rPr>
        <w:t>Provided that Tenant is not in default under this Lease past applicable notice and cure periods, then Landlord hereby agrees to partially abate the Basic Annual Rent with respect to the Suite 900 Space for full four (4) month period commencing on the first day of the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28" w:name="page429"/>
    <w:bookmarkEnd w:id="428"/>
    <w:p>
      <w:pPr>
        <w:ind w:left="44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(2</w:t>
      </w:r>
      <w:r>
        <w:rPr>
          <w:rFonts w:ascii="Arial" w:cs="Arial" w:eastAsia="Arial" w:hAnsi="Arial"/>
          <w:sz w:val="13"/>
          <w:szCs w:val="13"/>
          <w:color w:val="auto"/>
        </w:rPr>
        <w:t>nd</w:t>
      </w:r>
      <w:r>
        <w:rPr>
          <w:rFonts w:ascii="Arial" w:cs="Arial" w:eastAsia="Arial" w:hAnsi="Arial"/>
          <w:sz w:val="16"/>
          <w:szCs w:val="16"/>
          <w:color w:val="auto"/>
        </w:rPr>
        <w:t>) full calendar month following the Suite 900 Commencement Date and continuing through the last day of the fifth (5</w:t>
      </w:r>
      <w:r>
        <w:rPr>
          <w:rFonts w:ascii="Arial" w:cs="Arial" w:eastAsia="Arial" w:hAnsi="Arial"/>
          <w:sz w:val="13"/>
          <w:szCs w:val="13"/>
          <w:color w:val="auto"/>
        </w:rPr>
        <w:t>th</w:t>
      </w:r>
      <w:r>
        <w:rPr>
          <w:rFonts w:ascii="Arial" w:cs="Arial" w:eastAsia="Arial" w:hAnsi="Arial"/>
          <w:sz w:val="16"/>
          <w:szCs w:val="16"/>
          <w:color w:val="auto"/>
        </w:rPr>
        <w:t>) full calendar month following the Suite 900 Commencement Date so that during this partial abatement period, the Basic Annual Rent payable by Tenant for the Suite 900 Space shall equal $8,580.00 per month. Notwithstanding anything herein to the contrary, prior to the occurrence of the scheduled abatement of the Basic Annual Rent, Landlord may pay to Tenant the sum scheduled to be abated, in which case the abatement of Basic Annual Rent shall not occur and Tenant shall pay Basic Annual Rent in the amount required in the Basic Annual Rent schedule above.</w:t>
      </w:r>
    </w:p>
    <w:p>
      <w:pPr>
        <w:spacing w:after="0" w:line="310" w:lineRule="exact"/>
        <w:rPr>
          <w:sz w:val="20"/>
          <w:szCs w:val="20"/>
          <w:color w:val="auto"/>
        </w:rPr>
      </w:pPr>
    </w:p>
    <w:p>
      <w:pPr>
        <w:ind w:left="424" w:hanging="424"/>
        <w:spacing w:after="0"/>
        <w:tabs>
          <w:tab w:leader="none" w:pos="42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4" w:right="100" w:hanging="432"/>
        <w:spacing w:after="0" w:line="288" w:lineRule="auto"/>
        <w:tabs>
          <w:tab w:leader="none" w:pos="864"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Suite 600 Space</w:t>
      </w:r>
      <w:r>
        <w:rPr>
          <w:rFonts w:ascii="Arial" w:cs="Arial" w:eastAsia="Arial" w:hAnsi="Arial"/>
          <w:sz w:val="16"/>
          <w:szCs w:val="16"/>
          <w:color w:val="auto"/>
        </w:rPr>
        <w:t xml:space="preserve">. For the time period commencing the Suite 600 Commencement Date through the day immediately preceding the Rent Change Date, Tenant shall pay Additional Rent with respect to the Suite 600 Space in accordance with the terms of the Lease. Thereafter, commencing on the Rent Change Date and continuing thereafter through the Extension Term, Tenant shall pay, as Additional Rent, the Tenant’s Proportionate Share of Operating Costs attributable to the Suite 600 Space in excess of those Operating Costs incurred in the Base Year and for purposes of performing such calculations: (i) the Tenant’s Proportionate Share of the Building with respect to the Suite 600 Space shall be deemed to equal 12.4904% (17,514 rsf / 140,220 rsf), (ii) the Tenant’s Proportionate Share of the Project with respect to the Suite 600 Space shall be deemed to equal 4.2088% (17,514 rsf / 416,126 rsf), and (iii) the Base Year with respect to the Suite 600 Space shall be deemed to be the calendar year 2019. The cap on Controllable Operating Costs set forth in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of the Lease shall apply with respect to the Suite 600 Space, however, for purposes of calculating such cap, the phrase “first calendar year”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“2019 calendar year”.</w:t>
      </w:r>
    </w:p>
    <w:p>
      <w:pPr>
        <w:spacing w:after="0" w:line="73" w:lineRule="exact"/>
        <w:rPr>
          <w:rFonts w:ascii="Arial" w:cs="Arial" w:eastAsia="Arial" w:hAnsi="Arial"/>
          <w:sz w:val="16"/>
          <w:szCs w:val="16"/>
          <w:color w:val="auto"/>
        </w:rPr>
      </w:pPr>
    </w:p>
    <w:p>
      <w:pPr>
        <w:ind w:left="864" w:hanging="432"/>
        <w:spacing w:after="0" w:line="286" w:lineRule="auto"/>
        <w:tabs>
          <w:tab w:leader="none" w:pos="864"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Suite 500 Space</w:t>
      </w:r>
      <w:r>
        <w:rPr>
          <w:rFonts w:ascii="Arial" w:cs="Arial" w:eastAsia="Arial" w:hAnsi="Arial"/>
          <w:sz w:val="16"/>
          <w:szCs w:val="16"/>
          <w:color w:val="auto"/>
        </w:rPr>
        <w:t>. Tenant shall continue to pay Additional Rent with respect to the Suite 500 Space in accordance with the terms and provisions of the Lease through the Existing Expiration Date. Commencing on the Extension Term Commencement Date and continuing thereafter through the remainder of the Extension Term, for the purposes of calculating the Additional Rent payable with respect to the Suite 500 Space, the Base Year shall be amended to be the calendar year 2022. Notwithstanding the foregoing to the contrary, in the event that the Tenant requests the disbursement of the Landlord’s Construction Allowance allocable to the Suite 500 Space prior to the Existing Expiration Date, then, effective as of the date that Landlord disburses any portion of the Landlord’s Construction Allowance with respect to the Suite 500 Space, the Base Year shall be amended to be the calendar year in which Landlord disburses such portion of Landlord’s Construction Allowance with respect to the Suite 500 Space; provided, however, if such disbursement occurs after September 30</w:t>
      </w:r>
      <w:r>
        <w:rPr>
          <w:rFonts w:ascii="Arial" w:cs="Arial" w:eastAsia="Arial" w:hAnsi="Arial"/>
          <w:sz w:val="13"/>
          <w:szCs w:val="13"/>
          <w:color w:val="auto"/>
        </w:rPr>
        <w:t>th</w:t>
      </w:r>
      <w:r>
        <w:rPr>
          <w:rFonts w:ascii="Arial" w:cs="Arial" w:eastAsia="Arial" w:hAnsi="Arial"/>
          <w:sz w:val="16"/>
          <w:szCs w:val="16"/>
          <w:color w:val="auto"/>
        </w:rPr>
        <w:t>, the Base Year shall be amended to be the calendar year subsequent the year Landlord disburses the Landlord’s Construction Allowance for purposes of calculating the Additional Rent for the Suite 500 Space. The cap on Controllable Operating Costs set forth in Paragraph 3(l) of the Lease shall continue to apply with respect to the calculation of the Additional Rent payable for the Suite 500 Space; provided, however, effective as of the date that the Base Year is reset for the Suite 500 Space, the phrase “</w:t>
      </w:r>
      <w:r>
        <w:rPr>
          <w:rFonts w:ascii="Arial" w:cs="Arial" w:eastAsia="Arial" w:hAnsi="Arial"/>
          <w:sz w:val="16"/>
          <w:szCs w:val="16"/>
          <w:u w:val="single" w:color="auto"/>
          <w:color w:val="auto"/>
        </w:rPr>
        <w:t>first calendar year</w:t>
      </w:r>
      <w:r>
        <w:rPr>
          <w:rFonts w:ascii="Arial" w:cs="Arial" w:eastAsia="Arial" w:hAnsi="Arial"/>
          <w:sz w:val="16"/>
          <w:szCs w:val="16"/>
          <w:color w:val="auto"/>
        </w:rPr>
        <w:t>” as set forth in the third line of Paragraph 3(l) shall be amended to be the applicable calendar year as calculated above.</w:t>
      </w:r>
    </w:p>
    <w:p>
      <w:pPr>
        <w:spacing w:after="0" w:line="79" w:lineRule="exact"/>
        <w:rPr>
          <w:rFonts w:ascii="Arial" w:cs="Arial" w:eastAsia="Arial" w:hAnsi="Arial"/>
          <w:sz w:val="16"/>
          <w:szCs w:val="16"/>
          <w:color w:val="auto"/>
        </w:rPr>
      </w:pPr>
    </w:p>
    <w:p>
      <w:pPr>
        <w:ind w:left="864" w:right="280" w:hanging="432"/>
        <w:spacing w:after="0" w:line="263" w:lineRule="auto"/>
        <w:tabs>
          <w:tab w:leader="none" w:pos="864"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Suite 400 Space</w:t>
      </w:r>
      <w:r>
        <w:rPr>
          <w:rFonts w:ascii="Arial" w:cs="Arial" w:eastAsia="Arial" w:hAnsi="Arial"/>
          <w:sz w:val="18"/>
          <w:szCs w:val="18"/>
          <w:color w:val="auto"/>
        </w:rPr>
        <w:t>. With respect to the Suite 400 Space, commencing on the Suite 400 Commencement Date and continuing through the Extension Term, Tenant shall be obligated to pay, as Additional Rent, Tenant’s Proportionate Share of Operating Costs in excess of those Operating Costs allocable to Base Year. For purposes of making such</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429" w:name="page430"/>
    <w:bookmarkEnd w:id="429"/>
    <w:p>
      <w:pPr>
        <w:ind w:left="88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calculations: (i) the Tenant’s Proportionate Share of the Building with respect to the Suite 400 Space shall be deemed to equal 12.5346% (17,576 rsf / 140,220 rsf) and (ii) the Tenant’s Proportionate Share of the Project with respect to the Suite 400 Space shall be deemed to equal 4.2237% (17,576 rsf / 416,126 rsf). Unless earlier triggered as set forth below, the Base Year for the Suite 400 Space for the time period from the Suite 400 Commencement Date through August 31, 2019 shall be deemed to be the calendar year 2014. Effective as of September 1, 2019 and continuing thereafter for the remainder of the Extension Term, for the purposes of calculating the Additional Rent allocable to the Suite 400 Space, the Base Year shall be amended to be the calendar year 2020 and the cap on Controllable Operating Costs set forth in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of the Lease shall apply with respect to the Suite 400 Space, however, for purposes of calculating such cap, the phrase “</w:t>
      </w:r>
      <w:r>
        <w:rPr>
          <w:rFonts w:ascii="Arial" w:cs="Arial" w:eastAsia="Arial" w:hAnsi="Arial"/>
          <w:sz w:val="16"/>
          <w:szCs w:val="16"/>
          <w:u w:val="single" w:color="auto"/>
          <w:color w:val="auto"/>
        </w:rPr>
        <w:t>first calendar year</w:t>
      </w:r>
      <w:r>
        <w:rPr>
          <w:rFonts w:ascii="Arial" w:cs="Arial" w:eastAsia="Arial" w:hAnsi="Arial"/>
          <w:sz w:val="16"/>
          <w:szCs w:val="16"/>
          <w:color w:val="auto"/>
        </w:rPr>
        <w:t xml:space="preserve">”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“2020 calendar year”. Notwithstanding the foregoing to the contrary, in the event that the Tenant requests the disbursement of the Landlord’s Construction Allowance allocable to the Suite 400 Space prior to September 1, 2019, then, effective as of the date that Landlord disburses any portion of the Landlord’s Construction Allowance with respect to the Suite 400 Space, the Base Year shall be amended to be the calendar year in which Landlord disburses such portion of Landlord’s Construction Allowance with respect to the Suite 400 Space; provided, however, if such disbursement occurs after September 30</w:t>
      </w:r>
      <w:r>
        <w:rPr>
          <w:rFonts w:ascii="Arial" w:cs="Arial" w:eastAsia="Arial" w:hAnsi="Arial"/>
          <w:sz w:val="13"/>
          <w:szCs w:val="13"/>
          <w:color w:val="auto"/>
        </w:rPr>
        <w:t>th</w:t>
      </w:r>
      <w:r>
        <w:rPr>
          <w:rFonts w:ascii="Arial" w:cs="Arial" w:eastAsia="Arial" w:hAnsi="Arial"/>
          <w:sz w:val="16"/>
          <w:szCs w:val="16"/>
          <w:color w:val="auto"/>
        </w:rPr>
        <w:t>, the Base Year shall be amended to be the calendar year subsequent the year Landlord disburses the Landlord’s Construction Allowance for purposes of calculating the Additional Rent for the Suite 400 Space.</w:t>
      </w:r>
    </w:p>
    <w:p>
      <w:pPr>
        <w:spacing w:after="0" w:line="76" w:lineRule="exact"/>
        <w:rPr>
          <w:sz w:val="20"/>
          <w:szCs w:val="20"/>
          <w:color w:val="auto"/>
        </w:rPr>
      </w:pPr>
    </w:p>
    <w:p>
      <w:pPr>
        <w:ind w:left="864" w:hanging="432"/>
        <w:spacing w:after="0" w:line="289" w:lineRule="auto"/>
        <w:tabs>
          <w:tab w:leader="none" w:pos="864"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Suite 900 Space</w:t>
      </w:r>
      <w:r>
        <w:rPr>
          <w:rFonts w:ascii="Arial" w:cs="Arial" w:eastAsia="Arial" w:hAnsi="Arial"/>
          <w:sz w:val="16"/>
          <w:szCs w:val="16"/>
          <w:color w:val="auto"/>
        </w:rPr>
        <w:t>. With respect to the Suite 900 Space, commencing on the Suite 900 Commencement Date and continuing thereafter through the Extension Term, Tenant shall pay, as Additional Rent, the Tenant’s Proportionate Share of Operating Costs attributable to the Suite 900 Space in excess of those Operating Costs incurred in the Base Year and for purposes of performing such calculations: (i) the Tenant’s Proportionate Share of the One Almaden Building with respect to the Suite 900 Space shall be deemed to equal 8.4985% (13,291 rsf / 156,392 rsf), (ii) the Tenant’s Proportionate Share of the Project with respect to the Suite 900 Space shall be deemed to equal 3.1940% (13,291 rsf / 416,126 rsf), (iii) the Base Year with respect to the Suite 900 Space shall be deemed to be the calendar year 2019, and (iv) any references to the “</w:t>
      </w:r>
      <w:r>
        <w:rPr>
          <w:rFonts w:ascii="Arial" w:cs="Arial" w:eastAsia="Arial" w:hAnsi="Arial"/>
          <w:sz w:val="16"/>
          <w:szCs w:val="16"/>
          <w:u w:val="single" w:color="auto"/>
          <w:color w:val="auto"/>
        </w:rPr>
        <w:t>Building</w:t>
      </w:r>
      <w:r>
        <w:rPr>
          <w:rFonts w:ascii="Arial" w:cs="Arial" w:eastAsia="Arial" w:hAnsi="Arial"/>
          <w:sz w:val="16"/>
          <w:szCs w:val="16"/>
          <w:color w:val="auto"/>
        </w:rPr>
        <w:t xml:space="preserve">” in the Lease shall mean and refer to the One Almaden Building. The cap on Controllable Operating Costs set forth in Paragraph 3(l) of the Lease shall apply with respect to the Suite 900 Space, however, for purposes of calculating such cap, the phrase “first calendar year”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“2019 calendar year”.</w:t>
      </w:r>
    </w:p>
    <w:p>
      <w:pPr>
        <w:spacing w:after="0" w:line="71" w:lineRule="exact"/>
        <w:rPr>
          <w:rFonts w:ascii="Arial" w:cs="Arial" w:eastAsia="Arial" w:hAnsi="Arial"/>
          <w:sz w:val="16"/>
          <w:szCs w:val="16"/>
          <w:color w:val="auto"/>
        </w:rPr>
      </w:pPr>
    </w:p>
    <w:p>
      <w:pPr>
        <w:ind w:left="864" w:right="280" w:hanging="432"/>
        <w:spacing w:after="0" w:line="286" w:lineRule="auto"/>
        <w:tabs>
          <w:tab w:leader="none" w:pos="864"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Earthquake Insurance Deductibles</w:t>
      </w:r>
      <w:r>
        <w:rPr>
          <w:rFonts w:ascii="Arial" w:cs="Arial" w:eastAsia="Arial" w:hAnsi="Arial"/>
          <w:sz w:val="17"/>
          <w:szCs w:val="17"/>
          <w:color w:val="auto"/>
        </w:rPr>
        <w:t>. In the event there is any earthquake insurance deductible payable by Landlord during the Lease Term, such earthquake insurance deductible shall be included in Operating Costs, however, it shall be amortized over a ten (10) year period for purposes of calculating the Additional Rent payable by Tenant under the Lease (as herein amended).</w:t>
      </w:r>
    </w:p>
    <w:p>
      <w:pPr>
        <w:spacing w:after="0" w:line="70" w:lineRule="exact"/>
        <w:rPr>
          <w:rFonts w:ascii="Arial" w:cs="Arial" w:eastAsia="Arial" w:hAnsi="Arial"/>
          <w:sz w:val="17"/>
          <w:szCs w:val="17"/>
          <w:color w:val="auto"/>
        </w:rPr>
      </w:pPr>
    </w:p>
    <w:p>
      <w:pPr>
        <w:ind w:left="424" w:right="220" w:hanging="424"/>
        <w:spacing w:after="0" w:line="254" w:lineRule="auto"/>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Notwithstanding anything in the Lease to the contrary, Tenant is currently in possession of the entirety of the Suite 400 Space (other than the portion of the Suite 400 Space currently occupied by Western Bank, which Landlord shall deliver to Tenant following Western Bank’s surrender of the same), Suite 500 Space and Suite 600 Space and agrees to accept the entirety of the Premises (inclusive of the Suite 900 Space) from Landlord, in their existing “AS-IS”, “WHERE-IS” and “WITH ALL FAULTS” condition, and, except as provided in the Lease, Landlord shall have no obligation whatsoever to refurbish or otherwise improve any portion of the Premises at any time during the Lease Term; provided, however, Landlord hereby agrees to provide to Tenant an allowance equal to $5,147,765.00 (which is equal to (i) $125.00 per square foot of</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30" w:name="page431"/>
    <w:bookmarkEnd w:id="430"/>
    <w:p>
      <w:pPr>
        <w:ind w:left="42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Rentable Area for the Suite 600 Space, plus (ii) $75.00 per square foot of Rentable Area for the Suite 500 Space, plus (iii) $25.00 per square foot of Rentable Area for the Suite 400 Space, plus (iv) $90.00 per square foot of Rentable Area for the Suite 900 Space) (collectively, the “</w:t>
      </w:r>
      <w:r>
        <w:rPr>
          <w:rFonts w:ascii="Arial" w:cs="Arial" w:eastAsia="Arial" w:hAnsi="Arial"/>
          <w:sz w:val="16"/>
          <w:szCs w:val="16"/>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Construction Allowance</w:t>
      </w:r>
      <w:r>
        <w:rPr>
          <w:rFonts w:ascii="Arial" w:cs="Arial" w:eastAsia="Arial" w:hAnsi="Arial"/>
          <w:sz w:val="16"/>
          <w:szCs w:val="16"/>
          <w:color w:val="auto"/>
        </w:rPr>
        <w:t xml:space="preserve">”), which shall be utilized for the construction of certain improvements to the Premises in accordance with the terms and conditions of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no event shall the Landlord’s Construction Allowance allocable to the Suite 500 Space be available prior to the Existing Expiration Date unless Tenant requests disbursement of the same prior to such date, in which case, effective as of the date Landlord disburses any portion of the Landlord’s Construction Allowance allocable to the Suite 500 Space, the Basic Annual Rent and Base Year with respect to the Suite 500 Space shall be adjusted as set forth in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above. In addition, in no event shall the Landlord’s Construction Allowance allocable to the Suite 400 Space be available prior to September 1, 2019 unless Tenant requests disbursement of the same prior to such date, in which case, effective as of the date that Landlord disburses any portion of the Landlord’s Construction Allowance allocable to the Suite 400 Space, the Basic Annual Rent and Base Year with respect to the Suite 400 Space shall be adjusted as set forth in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above. Tenant acknowledges and agrees that any obligations of Landlord originally existing in the Lease to complete leasehold improvements and/or furnish allowance with respect to the Suite 500 Space, if any, have been completed and/or satisfied in their entirety, and any provisions in the Lease providing for such obligations are hereby null and void and of no further force or effect. With respect to the Suite 900 Space, Landlord agrees that upon delivery of the same to Tenant, such space shall be clean and the base Building systems serving the Suite 900 Space shall be in good working order based on the then existing condition and configuration of the Suite 900 Space.</w:t>
      </w:r>
    </w:p>
    <w:p>
      <w:pPr>
        <w:spacing w:after="0" w:line="73" w:lineRule="exact"/>
        <w:rPr>
          <w:sz w:val="20"/>
          <w:szCs w:val="20"/>
          <w:color w:val="auto"/>
        </w:rPr>
      </w:pPr>
    </w:p>
    <w:p>
      <w:pPr>
        <w:ind w:left="424" w:hanging="424"/>
        <w:spacing w:after="0" w:line="286" w:lineRule="auto"/>
        <w:tabs>
          <w:tab w:leader="none" w:pos="424"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Permitted Transfers</w:t>
      </w:r>
      <w:r>
        <w:rPr>
          <w:rFonts w:ascii="Arial" w:cs="Arial" w:eastAsia="Arial" w:hAnsi="Arial"/>
          <w:sz w:val="16"/>
          <w:szCs w:val="16"/>
          <w:color w:val="auto"/>
        </w:rPr>
        <w:t>. Provided no event of default has occurred and is continuing under this Lease, upon ten (10) days prior written notice to Landlord (provided however, if Tenant is prohibited by applicable law or a confidentiality agreement to give such prior notice, then Tenant shall give such notice within ten (10) days following such transfer), Tenant may, without Landlord’s prior written consent, assign the Lease to an entity into which Tenant is merged or consolidated or assign this Lease or sublease the Premises to an entity to which substantially all of Tenant’s assets are transferred or to an entity controlled by or is commonly controlled with Tenant (such sublease or assignment being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provided (i) such merger, consolidation, or transfer of assets is for a good faith business purpose and not principally for the purpose of transferring Tenant’s leasehold estate, and (ii) the assignee or successor entity has a tangible net worth, calculated in accordance with generally accepted accounting principles (and evidenced by financial statements in accordance with generally accepted accounting principles) at least equal to the tangible net worth of Tenant immediately prior to such merger, consolidation, or transfer. The term “controlled by” or “commonly controlled with” shall mean the possession, direct or indirect, of the power to direct or cause the direction of the management and policies of such controlled person or entity; the ownership, directly or indirectly, of at least fifty-one percent (51%) of the voting securities of, or possession of the right to vote, in the ordinary direction of its affairs, at least fifty-one percent (51 %) of the voting interest in, any person or entity shall be presumed to constitute such control. Landlord’s recapture rights or rights to participate in any sublease proceeds shall not apply with respect to Permitted Transfers.</w:t>
      </w:r>
    </w:p>
    <w:p>
      <w:pPr>
        <w:spacing w:after="0" w:line="79" w:lineRule="exact"/>
        <w:rPr>
          <w:rFonts w:ascii="Arial" w:cs="Arial" w:eastAsia="Arial" w:hAnsi="Arial"/>
          <w:sz w:val="16"/>
          <w:szCs w:val="16"/>
          <w:color w:val="auto"/>
        </w:rPr>
      </w:pPr>
    </w:p>
    <w:p>
      <w:pPr>
        <w:ind w:left="424" w:right="60" w:hanging="424"/>
        <w:spacing w:after="0" w:line="259" w:lineRule="auto"/>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Notwithstanding anything to the contrary in the Lease, Tenant’s parking rights shall be governed by the terms of the Lease, except that in lieu of the ratio set forth in the Lease, Tenant shall receive a parking ratio of four (4) unreserved parking spaces per 1,000 square feet of Rentable Area in the Premises then being leased by Tenant. Thereafter, commencing on January 1, 2019 and continuing for the remainder of the Lease Term, Tenant’s parking rights shall be as set forth below:</w:t>
      </w:r>
    </w:p>
    <w:p>
      <w:pPr>
        <w:spacing w:after="0" w:line="92" w:lineRule="exact"/>
        <w:rPr>
          <w:rFonts w:ascii="Arial" w:cs="Arial" w:eastAsia="Arial" w:hAnsi="Arial"/>
          <w:sz w:val="18"/>
          <w:szCs w:val="18"/>
          <w:color w:val="auto"/>
        </w:rPr>
      </w:pPr>
    </w:p>
    <w:p>
      <w:pPr>
        <w:ind w:left="864" w:right="80" w:hanging="432"/>
        <w:spacing w:after="0" w:line="277" w:lineRule="auto"/>
        <w:tabs>
          <w:tab w:leader="none" w:pos="864"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Standard Parking Allocation</w:t>
      </w:r>
      <w:r>
        <w:rPr>
          <w:rFonts w:ascii="Arial" w:cs="Arial" w:eastAsia="Arial" w:hAnsi="Arial"/>
          <w:sz w:val="18"/>
          <w:szCs w:val="18"/>
          <w:color w:val="auto"/>
        </w:rPr>
        <w:t>. Tenant shall receive a total of four (4) unreserved parking spaces per 1,000 rentable square feet (the “</w:t>
      </w: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Parking Allocation</w:t>
      </w:r>
      <w:r>
        <w:rPr>
          <w:rFonts w:ascii="Arial" w:cs="Arial" w:eastAsia="Arial" w:hAnsi="Arial"/>
          <w:sz w:val="18"/>
          <w:szCs w:val="18"/>
          <w:color w:val="auto"/>
        </w:rPr>
        <w:t>”) at no charge for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31" w:name="page432"/>
    <w:bookmarkEnd w:id="431"/>
    <w:p>
      <w:pPr>
        <w:jc w:val="both"/>
        <w:ind w:left="88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of the Lease; provided, however, if Landlord’s prevailing rate for parking increases above the rate in effect as of the Effective Date hereof, Tenant shall be responsible for any increase above such rate (plus any applicable taxes on such amounts) for all of the parking spaces in the Standard Parking Allocation, and Tenant shall be invoiced accordingly.</w:t>
      </w:r>
    </w:p>
    <w:p>
      <w:pPr>
        <w:spacing w:after="0" w:line="89" w:lineRule="exact"/>
        <w:rPr>
          <w:sz w:val="20"/>
          <w:szCs w:val="20"/>
          <w:color w:val="auto"/>
        </w:rPr>
      </w:pPr>
    </w:p>
    <w:p>
      <w:pPr>
        <w:ind w:left="864" w:right="40" w:hanging="432"/>
        <w:spacing w:after="0" w:line="293" w:lineRule="auto"/>
        <w:tabs>
          <w:tab w:leader="none" w:pos="864" w:val="left"/>
        </w:tabs>
        <w:numPr>
          <w:ilvl w:val="1"/>
          <w:numId w:val="419"/>
        </w:numPr>
        <w:rPr>
          <w:rFonts w:ascii="Arial" w:cs="Arial" w:eastAsia="Arial" w:hAnsi="Arial"/>
          <w:sz w:val="16"/>
          <w:szCs w:val="16"/>
          <w:color w:val="auto"/>
        </w:rPr>
      </w:pPr>
      <w:r>
        <w:rPr>
          <w:rFonts w:ascii="Arial" w:cs="Arial" w:eastAsia="Arial" w:hAnsi="Arial"/>
          <w:sz w:val="16"/>
          <w:szCs w:val="16"/>
          <w:u w:val="single" w:color="auto"/>
          <w:color w:val="auto"/>
        </w:rPr>
        <w:t>Month to Month Parking Spaces</w:t>
      </w:r>
      <w:r>
        <w:rPr>
          <w:rFonts w:ascii="Arial" w:cs="Arial" w:eastAsia="Arial" w:hAnsi="Arial"/>
          <w:sz w:val="16"/>
          <w:szCs w:val="16"/>
          <w:color w:val="auto"/>
        </w:rPr>
        <w:t>. Subject to availability as reasonably determined by Landlord (provided Tenant shall have the priority to any available spaces over any third parties who are not tenants or occupants of the Project, other than Adobe or employees or invitees of the SAP Center) Tenant shall be permitted to lease Month to Month Parking Spaces (i.e. over Tenant’s Standard Parking Allocation) on a month to month basis at the then prevailing rate charged for such unreserved parking spaces plus any applicable taxes. The current rate for said Month to Month Parking Spaces is $130.00 per space per month (plus any applicable taxes). Parking rates are subject to increase (not more than once annually) at the prevailing market rate. Tenant shall be invoiced for any increase in the parking rate.</w:t>
      </w:r>
    </w:p>
    <w:p>
      <w:pPr>
        <w:spacing w:after="0" w:line="69" w:lineRule="exact"/>
        <w:rPr>
          <w:rFonts w:ascii="Arial" w:cs="Arial" w:eastAsia="Arial" w:hAnsi="Arial"/>
          <w:sz w:val="16"/>
          <w:szCs w:val="16"/>
          <w:color w:val="auto"/>
        </w:rPr>
      </w:pPr>
    </w:p>
    <w:p>
      <w:pPr>
        <w:ind w:left="424" w:right="20" w:hanging="424"/>
        <w:spacing w:after="0" w:line="289" w:lineRule="auto"/>
        <w:tabs>
          <w:tab w:leader="none" w:pos="424"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Additional Security Deposit</w:t>
      </w:r>
      <w:r>
        <w:rPr>
          <w:rFonts w:ascii="Arial" w:cs="Arial" w:eastAsia="Arial" w:hAnsi="Arial"/>
          <w:sz w:val="16"/>
          <w:szCs w:val="16"/>
          <w:color w:val="auto"/>
        </w:rPr>
        <w:t xml:space="preserve">. Landlord and Tenant hereby agree that the Security Deposit (as set forth in </w:t>
      </w:r>
      <w:r>
        <w:rPr>
          <w:rFonts w:ascii="Arial" w:cs="Arial" w:eastAsia="Arial" w:hAnsi="Arial"/>
          <w:sz w:val="16"/>
          <w:szCs w:val="16"/>
          <w:i w:val="1"/>
          <w:iCs w:val="1"/>
          <w:color w:val="auto"/>
        </w:rPr>
        <w:t>Item 7</w:t>
      </w:r>
      <w:r>
        <w:rPr>
          <w:rFonts w:ascii="Arial" w:cs="Arial" w:eastAsia="Arial" w:hAnsi="Arial"/>
          <w:sz w:val="16"/>
          <w:szCs w:val="16"/>
          <w:color w:val="auto"/>
        </w:rPr>
        <w:t xml:space="preserve"> of the Basic Lease Provisions) is hereby amended and increased to be $1,144,180.41 (the “</w:t>
      </w:r>
      <w:r>
        <w:rPr>
          <w:rFonts w:ascii="Arial" w:cs="Arial" w:eastAsia="Arial" w:hAnsi="Arial"/>
          <w:sz w:val="16"/>
          <w:szCs w:val="16"/>
          <w:u w:val="single" w:color="auto"/>
          <w:color w:val="auto"/>
        </w:rPr>
        <w:t>New Security Deposit Amount</w:t>
      </w:r>
      <w:r>
        <w:rPr>
          <w:rFonts w:ascii="Arial" w:cs="Arial" w:eastAsia="Arial" w:hAnsi="Arial"/>
          <w:sz w:val="16"/>
          <w:szCs w:val="16"/>
          <w:color w:val="auto"/>
        </w:rPr>
        <w:t>”). Tenant has heretofore delivered to Landlord a Letter of Credit in the sum of $175,000.00 (the “</w:t>
      </w:r>
      <w:r>
        <w:rPr>
          <w:rFonts w:ascii="Arial" w:cs="Arial" w:eastAsia="Arial" w:hAnsi="Arial"/>
          <w:sz w:val="16"/>
          <w:szCs w:val="16"/>
          <w:u w:val="single" w:color="auto"/>
          <w:color w:val="auto"/>
        </w:rPr>
        <w:t>Existing Letter of Credit</w:t>
      </w:r>
      <w:r>
        <w:rPr>
          <w:rFonts w:ascii="Arial" w:cs="Arial" w:eastAsia="Arial" w:hAnsi="Arial"/>
          <w:sz w:val="16"/>
          <w:szCs w:val="16"/>
          <w:color w:val="auto"/>
        </w:rPr>
        <w:t xml:space="preserve">”), and Tenant shall, concurrently with the execution of this Second Amendment, deliver to Landlord either (i) an amendment to the Existing Letter of Credit (such amendment being in a form acceptable to Landlord and otherwise consistent with the terms of </w:t>
      </w:r>
      <w:r>
        <w:rPr>
          <w:rFonts w:ascii="Arial" w:cs="Arial" w:eastAsia="Arial" w:hAnsi="Arial"/>
          <w:sz w:val="16"/>
          <w:szCs w:val="16"/>
          <w:u w:val="single" w:color="auto"/>
          <w:color w:val="auto"/>
        </w:rPr>
        <w:t>Paragraph 2(c)</w:t>
      </w:r>
      <w:r>
        <w:rPr>
          <w:rFonts w:ascii="Arial" w:cs="Arial" w:eastAsia="Arial" w:hAnsi="Arial"/>
          <w:sz w:val="16"/>
          <w:szCs w:val="16"/>
          <w:color w:val="auto"/>
        </w:rPr>
        <w:t xml:space="preserve"> of the Lease) increasing the amount of such Existing Letter of Credit to equal the New Security Deposit Amount or (ii) deliver to Landlord a new Letter of Credit in the total amount of the New Security Deposit Amount (such new Letter of Credit being in a form acceptable to Landlord and otherwise consistent with the terms of </w:t>
      </w:r>
      <w:r>
        <w:rPr>
          <w:rFonts w:ascii="Arial" w:cs="Arial" w:eastAsia="Arial" w:hAnsi="Arial"/>
          <w:sz w:val="16"/>
          <w:szCs w:val="16"/>
          <w:u w:val="single" w:color="auto"/>
          <w:color w:val="auto"/>
        </w:rPr>
        <w:t>Paragraph 2(c)</w:t>
      </w:r>
      <w:r>
        <w:rPr>
          <w:rFonts w:ascii="Arial" w:cs="Arial" w:eastAsia="Arial" w:hAnsi="Arial"/>
          <w:sz w:val="16"/>
          <w:szCs w:val="16"/>
          <w:color w:val="auto"/>
        </w:rPr>
        <w:t xml:space="preserve"> of the Lease). In the event Tenant delivers a replacement Letter of Credit in accordance with clause (ii) of the preceding sentence, then Landlord agrees to surrender the Existing Letter of Credit to Tenant within five (5) business days after receipt of such replacement Letter of Credit.</w:t>
      </w:r>
    </w:p>
    <w:p>
      <w:pPr>
        <w:spacing w:after="0" w:line="71" w:lineRule="exact"/>
        <w:rPr>
          <w:rFonts w:ascii="Arial" w:cs="Arial" w:eastAsia="Arial" w:hAnsi="Arial"/>
          <w:sz w:val="16"/>
          <w:szCs w:val="16"/>
          <w:color w:val="auto"/>
        </w:rPr>
      </w:pPr>
    </w:p>
    <w:p>
      <w:pPr>
        <w:ind w:left="424" w:hanging="424"/>
        <w:spacing w:after="0"/>
        <w:tabs>
          <w:tab w:leader="none" w:pos="424"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Density</w:t>
      </w:r>
      <w:r>
        <w:rPr>
          <w:rFonts w:ascii="Arial" w:cs="Arial" w:eastAsia="Arial" w:hAnsi="Arial"/>
          <w:sz w:val="18"/>
          <w:szCs w:val="18"/>
          <w:color w:val="auto"/>
        </w:rPr>
        <w:t>. The fourth (4</w:t>
      </w:r>
      <w:r>
        <w:rPr>
          <w:rFonts w:ascii="Arial" w:cs="Arial" w:eastAsia="Arial" w:hAnsi="Arial"/>
          <w:sz w:val="15"/>
          <w:szCs w:val="15"/>
          <w:color w:val="auto"/>
        </w:rPr>
        <w:t>th</w:t>
      </w:r>
      <w:r>
        <w:rPr>
          <w:rFonts w:ascii="Arial" w:cs="Arial" w:eastAsia="Arial" w:hAnsi="Arial"/>
          <w:sz w:val="18"/>
          <w:szCs w:val="18"/>
          <w:color w:val="auto"/>
        </w:rPr>
        <w:t xml:space="preserve">) sentence of </w:t>
      </w:r>
      <w:r>
        <w:rPr>
          <w:rFonts w:ascii="Arial" w:cs="Arial" w:eastAsia="Arial" w:hAnsi="Arial"/>
          <w:sz w:val="18"/>
          <w:szCs w:val="18"/>
          <w:u w:val="single" w:color="auto"/>
          <w:color w:val="auto"/>
        </w:rPr>
        <w:t>Paragraph 6(e)</w:t>
      </w:r>
      <w:r>
        <w:rPr>
          <w:rFonts w:ascii="Arial" w:cs="Arial" w:eastAsia="Arial" w:hAnsi="Arial"/>
          <w:sz w:val="18"/>
          <w:szCs w:val="18"/>
          <w:color w:val="auto"/>
        </w:rPr>
        <w:t xml:space="preserve"> of the Original Lease is hereby amended and restated in its entirety as follows:</w:t>
      </w:r>
    </w:p>
    <w:p>
      <w:pPr>
        <w:spacing w:after="0" w:line="117" w:lineRule="exact"/>
        <w:rPr>
          <w:sz w:val="20"/>
          <w:szCs w:val="20"/>
          <w:color w:val="auto"/>
        </w:rPr>
      </w:pPr>
    </w:p>
    <w:p>
      <w:pPr>
        <w:ind w:left="884" w:right="380"/>
        <w:spacing w:after="0" w:line="287" w:lineRule="auto"/>
        <w:rPr>
          <w:sz w:val="20"/>
          <w:szCs w:val="20"/>
          <w:color w:val="auto"/>
        </w:rPr>
      </w:pPr>
      <w:r>
        <w:rPr>
          <w:rFonts w:ascii="Arial" w:cs="Arial" w:eastAsia="Arial" w:hAnsi="Arial"/>
          <w:sz w:val="16"/>
          <w:szCs w:val="16"/>
          <w:color w:val="auto"/>
        </w:rPr>
        <w:t>“Tenant shall not create within the Premises a working environment with a density of greater than the lesser of (i) seven (7) persons per 1,000 square feet of Rentable Area, or (ii) the maximum permitted by applicable laws, codes and ordinances; however, Tenant acknowledges that the Building HVAC system is not designed to properly cool working environments that exceed a density of five</w:t>
      </w:r>
    </w:p>
    <w:p>
      <w:pPr>
        <w:spacing w:after="0" w:line="2" w:lineRule="exact"/>
        <w:rPr>
          <w:sz w:val="20"/>
          <w:szCs w:val="20"/>
          <w:color w:val="auto"/>
        </w:rPr>
      </w:pPr>
    </w:p>
    <w:p>
      <w:pPr>
        <w:ind w:left="884" w:hanging="3"/>
        <w:spacing w:after="0" w:line="268" w:lineRule="auto"/>
        <w:tabs>
          <w:tab w:leader="none" w:pos="113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persons per 1,000 square feet of Rentable Area and, to the extent the working environment within the Premises exceeds such density, except as noted below with respect to the FANWALL system, Landlord shall be responsible for the installation and cost of any modifications to the base Building HVAC that is required in order to be able to furnish the Premises with HVAC service consistent with the HVAC service provided at other Class A office buildings in the downtown San Jose area. Notwithstanding the foregoing to the contrary, to the extent that Tenant’s density in the Premises exceeds five (5) persons per 1,000 square feet of Rentable Area and either (i) the use of the third floor of the Building changes from its current usage as of the Effective Date or (ii) Landlord is required to modify the base Building HVAC system pursuant to the preceding sentence, then Tenant shall be responsible for the cost to install a FANWALL system, which Landlord shall design and install and invoice Tenant for the cost thereof. It is hereby agreed that Landlord may design (and Tenant shall pay) for such FANWALL system to be a supply plug fan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32" w:name="page433"/>
    <w:bookmarkEnd w:id="432"/>
    <w:p>
      <w:pPr>
        <w:ind w:left="88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array, capable of delivering 150,000 CFM at 7.0” W.G&gt; (Static pressure) complete with a new filter bank with 12-inch cartridge filters (min. Merv 14) and 2 inch pleaded pre-filters (min Merv 7), in v-shape form if needed to limit air velocity at below 500 FPM (feet per minute). In no event shall Landlord be responsible for any costs required to install supplemental HVAC units or capacity with respect to any server room of Tenant in the Premises. In addition, Tenant shall be responsible for all reasonable costs associated with such above-standard density, including, without limitation, any additional services required to be provided by Landlord (e.g., extra janitorial services), any modifications or alterations to the Premises or Common Areas to the extent required by applicable law, and any additional electricity or other utilities that may be used by Tenant. Landlord, at its option, may elect to cause the Premises to be separately metered for electricity and, in such case, Tenant shall pay for all electricity utilized by Tenant in the Premises as invoiced by Landlord from time to time. The costs to install, repair, maintain and replace any such separate meters or submeters shall be Tenants’ responsibility.”</w:t>
      </w:r>
    </w:p>
    <w:p>
      <w:pPr>
        <w:spacing w:after="0" w:line="315" w:lineRule="exact"/>
        <w:rPr>
          <w:sz w:val="20"/>
          <w:szCs w:val="20"/>
          <w:color w:val="auto"/>
        </w:rPr>
      </w:pPr>
    </w:p>
    <w:p>
      <w:pPr>
        <w:ind w:left="424" w:hanging="424"/>
        <w:spacing w:after="0"/>
        <w:tabs>
          <w:tab w:leader="none" w:pos="424"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4" w:right="160" w:hanging="432"/>
        <w:spacing w:after="0" w:line="277" w:lineRule="auto"/>
        <w:tabs>
          <w:tab w:leader="none" w:pos="864"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Monument Signage</w:t>
      </w:r>
      <w:r>
        <w:rPr>
          <w:rFonts w:ascii="Arial" w:cs="Arial" w:eastAsia="Arial" w:hAnsi="Arial"/>
          <w:sz w:val="18"/>
          <w:szCs w:val="18"/>
          <w:color w:val="auto"/>
        </w:rPr>
        <w:t xml:space="preserve">. The parties hereby agree that </w:t>
      </w:r>
      <w:r>
        <w:rPr>
          <w:rFonts w:ascii="Arial" w:cs="Arial" w:eastAsia="Arial" w:hAnsi="Arial"/>
          <w:sz w:val="18"/>
          <w:szCs w:val="18"/>
          <w:u w:val="single" w:color="auto"/>
          <w:color w:val="auto"/>
        </w:rPr>
        <w:t>Paragraph 19(gg)</w:t>
      </w:r>
      <w:r>
        <w:rPr>
          <w:rFonts w:ascii="Arial" w:cs="Arial" w:eastAsia="Arial" w:hAnsi="Arial"/>
          <w:sz w:val="18"/>
          <w:szCs w:val="18"/>
          <w:color w:val="auto"/>
        </w:rPr>
        <w:t xml:space="preserve"> of the Original Lease is hereby deleted in its entirety and of no further force and effect and Tenant shall no longer have any rights to install the New Monument Sign.</w:t>
      </w:r>
    </w:p>
    <w:p>
      <w:pPr>
        <w:spacing w:after="0" w:line="75" w:lineRule="exact"/>
        <w:rPr>
          <w:rFonts w:ascii="Arial" w:cs="Arial" w:eastAsia="Arial" w:hAnsi="Arial"/>
          <w:sz w:val="18"/>
          <w:szCs w:val="18"/>
          <w:color w:val="auto"/>
        </w:rPr>
      </w:pPr>
    </w:p>
    <w:p>
      <w:pPr>
        <w:ind w:left="864" w:hanging="432"/>
        <w:spacing w:after="0" w:line="284" w:lineRule="auto"/>
        <w:tabs>
          <w:tab w:leader="none" w:pos="864"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Existing Fascia Sign/55 Almaden Building</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Tenant has installed a fascia sign on the Building (the “</w:t>
      </w:r>
      <w:r>
        <w:rPr>
          <w:rFonts w:ascii="Arial" w:cs="Arial" w:eastAsia="Arial" w:hAnsi="Arial"/>
          <w:sz w:val="16"/>
          <w:szCs w:val="16"/>
          <w:u w:val="single" w:color="auto"/>
          <w:color w:val="auto"/>
        </w:rPr>
        <w:t>Existing Fascia Sign</w:t>
      </w:r>
      <w:r>
        <w:rPr>
          <w:rFonts w:ascii="Arial" w:cs="Arial" w:eastAsia="Arial" w:hAnsi="Arial"/>
          <w:sz w:val="16"/>
          <w:szCs w:val="16"/>
          <w:color w:val="auto"/>
        </w:rPr>
        <w:t xml:space="preserve">”). Subject to (i) prior written approval of Landlord as to the exact location, specifications, size, color, design and method of attachment, which approval shall not be unreasonably withheld, delayed or conditioned, (ii) Tenant obtaining all approvals from the applicable governmental and quasi-governmental authorities and otherwise complying with all Applicable Rules and Restrictions (as defined below), and (iii) otherwise subject to the terms and conditions of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because the parties anticipate that the adjacent property owner will be constructing a building in the future that may affect the visibility of Tenant’s Existing Fascia Sign, Tenant, at its sole cost and expense, shall be permitted to relocate the Existing Fascia Sign to another location on the fascia of the Building. Tenant shall pay for all costs associated with the relocation of the Existing Fascia Sign as well as the restoration of the Building to the condition existing prior to the installation of the Existing Fascia Sign, reasonable wear and tear excepted, upon the removal of the Existing Fascia Sign at its current location following such relocation. Tenant shall continue to be obligated to pay the Fascia Sign Rent in accordance with the terms of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provided, however, following any such relocation, in the event Tenant believes that the market rental rate for the Existing Fascia Sign has diminished as a result of its decreased visibility, then Tenant may provide written notice to Landlord (a “</w:t>
      </w:r>
      <w:r>
        <w:rPr>
          <w:rFonts w:ascii="Arial" w:cs="Arial" w:eastAsia="Arial" w:hAnsi="Arial"/>
          <w:sz w:val="16"/>
          <w:szCs w:val="16"/>
          <w:u w:val="single" w:color="auto"/>
          <w:color w:val="auto"/>
        </w:rPr>
        <w:t>Sign Rent Adjustment Notice</w:t>
      </w:r>
      <w:r>
        <w:rPr>
          <w:rFonts w:ascii="Arial" w:cs="Arial" w:eastAsia="Arial" w:hAnsi="Arial"/>
          <w:sz w:val="16"/>
          <w:szCs w:val="16"/>
          <w:color w:val="auto"/>
        </w:rPr>
        <w:t>”). Within thirty (30) days after receipt of the Sign Rent Adjustment Notice, Landlord may either (i) elect to negotiate a different Fascia Sign Rent rate with Tenant if Landlord agrees that the market rate for the Existing Fascia Sign has decreased and if the parties are unable to reach agreement within such thirty (30) day period, then submit the determination to the arbitration process noted below or (ii) elect to market to third parties (including any tenant or occupant of the Project) the right to install a fascia sign in the then current location of the Existing Fascia Sign. If Landlord selects the option described in clause (ii) of the preceding sentence, then Landlord shall have a six (6) month period to market the right to install a fascia sign to third parties (including any existing tenants of the Project). If Landlord and a third party come to terms for the right for such third party to install a fascia sign in the then existing space of the Existing Fascia Sign, then Landlord shall provide written notice (the “</w:t>
      </w:r>
      <w:r>
        <w:rPr>
          <w:rFonts w:ascii="Arial" w:cs="Arial" w:eastAsia="Arial" w:hAnsi="Arial"/>
          <w:sz w:val="16"/>
          <w:szCs w:val="16"/>
          <w:u w:val="single" w:color="auto"/>
          <w:color w:val="auto"/>
        </w:rPr>
        <w:t>Sign Offer Notice</w:t>
      </w:r>
      <w:r>
        <w:rPr>
          <w:rFonts w:ascii="Arial" w:cs="Arial" w:eastAsia="Arial" w:hAnsi="Arial"/>
          <w:sz w:val="16"/>
          <w:szCs w:val="16"/>
          <w:color w:val="auto"/>
        </w:rPr>
        <w:t>”) to Tenant outlining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33" w:name="page434"/>
    <w:bookmarkEnd w:id="433"/>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rental rate proposed to be paid by such third party. Tenant shall have a period of ten (10) business days following receipt of such Sign Offer Notice in which to elect in writing to either match the terms set forth in the Sign Offer Notice or terminate its rights to such Existing Fascia Sign. If Tenant fails to respond within such ten (10) business day period, then Tenant shall be deemed to have terminated its rights to such Existing Fascia Sign. If Tenant terminates (or is deemed to have terminated) the rights to such Existing Fascia Sign, then Tenant shall be required to remove the Existing Fascia Sign within thirty (30) days after deliver of its written notice terminating its Existing Fascia Sign rights (or, in the event of a deemed termination, within thirty (30) days after expiration of such ten (10) business day period). If, within the six (6) period following Landlord’s receipt of the Sign Rent Adjustment Notice, Landlord is unable to locate a third party that is willing to lease the right to install a fascia sign in the then existing location of the Existing Fascia Sign, then Landlord and Tenant shall each appoint an independent real estate broker with at least ten (10) years experience negotiating leases in Class A office buildings in downtown San Jose, who has not represented either Landlord or Tenant in the preceding five (5) year period. The two designated brokers shall meet and confer for a period of ten (10) business days in order to determine the then prevailing market rate for the right to install a fascia sign in the then existing location of the Existing Fascia Sign. If the two (2) brokers are unable to arrive at a decision, then they shall mutually appoint a third broker meeting the foregoing qualifications. Thereafter, the initial two (2) broker shall each submit to the third broker their respective determinations of the fair market rent for such fascia sign and the third broker shall select the rental rate that he/she believes is closest to the prevailing rental rate for such signage location. After such determination has been made, then the parties shall enter into an amendment in order to document the adjustment to the rental rate for the Existing Fascia Sign. Tenant shall only be permitted to deliver one Sign Rent Adjustment Notice and Tenant shall continue to pay the existing Fascia Sign Rent set forth in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until the date that the arbitrators reach their decision on a different rental rate for the Existing Fascia Sign.</w:t>
      </w:r>
    </w:p>
    <w:p>
      <w:pPr>
        <w:spacing w:after="0" w:line="77" w:lineRule="exact"/>
        <w:rPr>
          <w:sz w:val="20"/>
          <w:szCs w:val="20"/>
          <w:color w:val="auto"/>
        </w:rPr>
      </w:pPr>
    </w:p>
    <w:p>
      <w:pPr>
        <w:ind w:left="440" w:right="40" w:hanging="432"/>
        <w:spacing w:after="0" w:line="286" w:lineRule="auto"/>
        <w:tabs>
          <w:tab w:leader="none" w:pos="440"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Additional Fascia Sign/55 Almaden Building</w:t>
      </w:r>
      <w:r>
        <w:rPr>
          <w:rFonts w:ascii="Arial" w:cs="Arial" w:eastAsia="Arial" w:hAnsi="Arial"/>
          <w:sz w:val="16"/>
          <w:szCs w:val="16"/>
          <w:color w:val="auto"/>
        </w:rPr>
        <w:t>. Provided that (x) Tenant is the Tenant originally named herein or an assignee pursuant to a Permitted Transfer, (y) Tenant is leasing and actually occupies at least seventy-five percent (75%) of the Premises initially demised under this Second Amendment (i.e., the Suite 400 Space, Suite 500 Space and Suite 600 Space), and (z) no event of default has occurred and is continuing beyond applicable notice and cure periods (items (x) – (z) being the “</w:t>
      </w:r>
      <w:r>
        <w:rPr>
          <w:rFonts w:ascii="Arial" w:cs="Arial" w:eastAsia="Arial" w:hAnsi="Arial"/>
          <w:sz w:val="16"/>
          <w:szCs w:val="16"/>
          <w:u w:val="single" w:color="auto"/>
          <w:color w:val="auto"/>
        </w:rPr>
        <w:t>Signage Conditions</w:t>
      </w:r>
      <w:r>
        <w:rPr>
          <w:rFonts w:ascii="Arial" w:cs="Arial" w:eastAsia="Arial" w:hAnsi="Arial"/>
          <w:sz w:val="16"/>
          <w:szCs w:val="16"/>
          <w:color w:val="auto"/>
        </w:rPr>
        <w:t>”), then, subject to all applicable laws, ordinances, restrictions, rules and regulations, as well as all applicable covenants, restrictions or deed restrictions affecting the Project (collectively, the “</w:t>
      </w:r>
      <w:r>
        <w:rPr>
          <w:rFonts w:ascii="Arial" w:cs="Arial" w:eastAsia="Arial" w:hAnsi="Arial"/>
          <w:sz w:val="16"/>
          <w:szCs w:val="16"/>
          <w:u w:val="single" w:color="auto"/>
          <w:color w:val="auto"/>
        </w:rPr>
        <w:t>Applicable Rules and Restrictions</w:t>
      </w:r>
      <w:r>
        <w:rPr>
          <w:rFonts w:ascii="Arial" w:cs="Arial" w:eastAsia="Arial" w:hAnsi="Arial"/>
          <w:sz w:val="16"/>
          <w:szCs w:val="16"/>
          <w:color w:val="auto"/>
        </w:rPr>
        <w:t>”), Tenant shall have the non-exclusive right throughout the Lease Term to install one sign on the Almaden-facing fascia of the Building (“</w:t>
      </w:r>
      <w:r>
        <w:rPr>
          <w:rFonts w:ascii="Arial" w:cs="Arial" w:eastAsia="Arial" w:hAnsi="Arial"/>
          <w:sz w:val="16"/>
          <w:szCs w:val="16"/>
          <w:u w:val="single" w:color="auto"/>
          <w:color w:val="auto"/>
        </w:rPr>
        <w:t>Additional Fascia Sign</w:t>
      </w:r>
      <w:r>
        <w:rPr>
          <w:rFonts w:ascii="Arial" w:cs="Arial" w:eastAsia="Arial" w:hAnsi="Arial"/>
          <w:sz w:val="16"/>
          <w:szCs w:val="16"/>
          <w:color w:val="auto"/>
        </w:rPr>
        <w:t xml:space="preserve">”) provided that Landlord, acting reasonably, approves the Additional Fascia Sign (including all structural engineering and aesthetic aspects thereof) and the exact location where the same is to be installed. Tenant hereby acknowledges and understands that in no event is Landlord representing or guarantying that any such Additional Fascia Sign is permitted under Applicable Rules and Restrictions and, in the event the Applicable Rules and Restrictions do not permit any such Additional Fascia Sign, then this Second Amendment shall continue in full force and effect except that this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shall be deemed null and void. Landlord hereby approves the location generally shown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the size, type and design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The engineering, manufacture, installation, maintenance and removal of, and the procurement of all required approvals for, the Additional Fascia Sign shall be at Tenant’s sole cost and expense. The installation of the Additional Fascia Sign shall be in compliance with all Applicable Rules and Restrictions. Prior to the</w:t>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60" w:top="274" w:right="499" w:bottom="1440" w:gutter="0" w:footer="0" w:header="0"/>
        </w:sectPr>
      </w:pPr>
    </w:p>
    <w:bookmarkStart w:id="434" w:name="page435"/>
    <w:bookmarkEnd w:id="43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manufacturing or installing the Additional Fascia Sign, Tenant shall submit to Landlord, for Landlord’s approval which shall not be unreasonably withheld, delayed or, except as expressly provided herein, conditioned, (i) a report from a structural engineer reasonably acceptable to Landlord providing that (A) the Building can adequately support the installation of the Additional Fascia Sign, and (B) the Additional Fascia Sign can and will be installed in a manner that will not damage, or otherwise affect or diminish the structural integrity of, the Building, and (ii) a detailed drawing indicating the size, layout, design, configuration, lettering and/or graphics and color of the proposed Additional Fascia Sign, together with the proposed location where the Additional Fascia Sign is to be installed. In the event Landlord approves the structural report, the Additional Fascia Sign and the location, Landlord shall evidence such approval in writing. Tenant shall install, repair, maintain, and remove the Additional Fascia Sign with contractors reasonably approved by Landlord. Any such contractors shall satisfy Landlord’s insurance and indemnification requirements prior to performing any work. Tenant agrees that the installation, maintenance, repair and removal of the Additional Fascia Sign shall be at Tenant’s sole risk. Tenant agrees to maintain the Additional Fascia Sign in good condition and repair and, prior to the expiration of the Lease Term or the earlier termination of this Lease or Tenant’s right of possession under this Lease, Tenant shall remove the Additional Fascia Sign and restore the Building to the condition immediately prior to the installation of the Additional Fascia Sign, at Tenant’s sole cost and expense. In the event Tenant fails to repair or remove the Additional Fascia Sign, Landlord shall have the right to repair or remove the Additional Fascia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ADDITIONAL FASCIA SIGN, except to the extent caused by the gross negligence or willful misconduct of Landlord. Notwithstanding anything herein to the contrary, Landlord shall have the right to terminate Tenant’s rights under this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by providing written notice of termination to Tenant if, at any time, Tenant (1) assigns this Lease other than in connection with a Permitted Transfer, (2) subleases more than forty-nine percent (49%) of the Premises other than in connection with a Permitted Transfer, or (3) suffers an event of default of any term or condition of this Lease beyond applicable notice and cure periods. In the event Landlord terminates Tenant’s rights under this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as provided for in the immediately preceding sentence, Tenant shall remove the Additional Fascia Sign from the Building and repair any damage to the Building caused by the installation, maintenance and/or removal thereof within thirty (30) days following receipt of Landlord’s written notice of termination, and, in the event Tenant fails to timely remove the Additional Fascia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Additional Fascia Sign and Landlord shall have the right to dispose of the Additional Fascia Sign in any manner Landlord shall choose in its sole discretion without any liability whatsoever to Tenant with respect thereto). In no event does Landlord make any representation or warranty to Tenant that the Additional Fascia Sign shall be permitted under the Applicable Rules and Restrictions and, to the extent the Additional Fascia Sign</w:t>
      </w:r>
    </w:p>
    <w:p>
      <w:pPr>
        <w:spacing w:after="0" w:line="3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20"/>
          </w:cols>
          <w:pgMar w:left="1320" w:top="274" w:right="459" w:bottom="1440" w:gutter="0" w:footer="0" w:header="0"/>
        </w:sectPr>
      </w:pPr>
    </w:p>
    <w:bookmarkStart w:id="435" w:name="page436"/>
    <w:bookmarkEnd w:id="435"/>
    <w:p>
      <w:pPr>
        <w:ind w:left="4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permitted by the Applicable Rules and Restrictions, Tenant acknowledges and agrees that this Second Amendment shall remain in full force and effect despite Tenant not being permitted to install such Additional Fascia Sign. Tenant shall be responsible, at its cost and expense, to obtain any necessary approvals or permits from the applicable governmental authorities for the purposes of installing and maintaining such Additional Fascia Sign (the “</w:t>
      </w:r>
      <w:r>
        <w:rPr>
          <w:rFonts w:ascii="Arial" w:cs="Arial" w:eastAsia="Arial" w:hAnsi="Arial"/>
          <w:sz w:val="17"/>
          <w:szCs w:val="17"/>
          <w:u w:val="single" w:color="auto"/>
          <w:color w:val="auto"/>
        </w:rPr>
        <w:t>Additional Fascia Sign Approvals</w:t>
      </w:r>
      <w:r>
        <w:rPr>
          <w:rFonts w:ascii="Arial" w:cs="Arial" w:eastAsia="Arial" w:hAnsi="Arial"/>
          <w:sz w:val="17"/>
          <w:szCs w:val="17"/>
          <w:color w:val="auto"/>
        </w:rPr>
        <w:t xml:space="preserve">”); provided, however, at Landlord’s option it can apply for such Additional Fascia Sign Approvals on Tenant’s behalf, at Tenant’s cost and expense. Promptly following obtaining such Additional Fascia Sign Approvals (and in no event later than one hundred eighty (180) days following obtaining such Additional Fascia Sign Approvals), Tenant shall install such Additional Fascia Sign in accordance with the terms of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In no event shall Landlord be required to remove any existing fascia sign or other signage present existing in order to accommodate any approvals required by the Applicable Rules and Restrictions affecting the Building for the Additional Fascia Sign. The terms and provisions of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shall survive the expiration or earlier termination of this Lease. As consideration for Tenant’s right to install and maintain the Additional Fascia Sign, commencing on the date that the Additional Fascia Sign Approvals are obtained and the Additional Fascia Sign has been installed and continuing thereafter for the remainder of the Lease Term, Tenant shall pay to Landlord $6,500.00 per month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Fascia Sign Rent</w:t>
      </w:r>
      <w:r>
        <w:rPr>
          <w:rFonts w:ascii="Arial" w:cs="Arial" w:eastAsia="Arial" w:hAnsi="Arial"/>
          <w:sz w:val="17"/>
          <w:szCs w:val="17"/>
          <w:color w:val="auto"/>
        </w:rPr>
        <w:t xml:space="preserve">”), with such Additional Fascia Sign Rent being payable in advance on the first day of the month in the same manner and time as Tenant is obligated to pay Basic Annual Rent (provided, however, any abatement of the Basic Annual Rent shall not apply with respect to the Additional Fascia Sign Rent). The Additional Fascia Sign Rent is in addition to the Fascia Sign Rent payable under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u w:val="single" w:color="auto"/>
          <w:color w:val="auto"/>
        </w:rPr>
        <w:t>19(ff)</w:t>
      </w:r>
      <w:r>
        <w:rPr>
          <w:rFonts w:ascii="Arial" w:cs="Arial" w:eastAsia="Arial" w:hAnsi="Arial"/>
          <w:sz w:val="17"/>
          <w:szCs w:val="17"/>
          <w:color w:val="auto"/>
        </w:rPr>
        <w:t xml:space="preserve"> of the Original Lease.</w:t>
      </w:r>
    </w:p>
    <w:p>
      <w:pPr>
        <w:spacing w:after="0" w:line="85" w:lineRule="exact"/>
        <w:rPr>
          <w:sz w:val="20"/>
          <w:szCs w:val="20"/>
          <w:color w:val="auto"/>
        </w:rPr>
      </w:pPr>
    </w:p>
    <w:p>
      <w:pPr>
        <w:ind w:left="440" w:hanging="432"/>
        <w:spacing w:after="0" w:line="267" w:lineRule="auto"/>
        <w:tabs>
          <w:tab w:leader="none" w:pos="440"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One Almaden Fascia Sign</w:t>
      </w:r>
      <w:r>
        <w:rPr>
          <w:rFonts w:ascii="Arial" w:cs="Arial" w:eastAsia="Arial" w:hAnsi="Arial"/>
          <w:sz w:val="17"/>
          <w:szCs w:val="17"/>
          <w:color w:val="auto"/>
        </w:rPr>
        <w:t>. Provided that all Signage Conditions are satisfied, then, subject to all Applicable Rules and Restrictions, Tenant shall have the non-exclusive right throughout the Lease Term to install one sign on the fascia of the One Almaden Building (“</w:t>
      </w:r>
      <w:r>
        <w:rPr>
          <w:rFonts w:ascii="Arial" w:cs="Arial" w:eastAsia="Arial" w:hAnsi="Arial"/>
          <w:sz w:val="17"/>
          <w:szCs w:val="17"/>
          <w:u w:val="single" w:color="auto"/>
          <w:color w:val="auto"/>
        </w:rPr>
        <w:t>One Almaden</w:t>
      </w:r>
      <w:r>
        <w:rPr>
          <w:rFonts w:ascii="Arial" w:cs="Arial" w:eastAsia="Arial" w:hAnsi="Arial"/>
          <w:sz w:val="17"/>
          <w:szCs w:val="17"/>
          <w:color w:val="auto"/>
        </w:rPr>
        <w:t xml:space="preserve"> </w:t>
      </w:r>
      <w:r>
        <w:rPr>
          <w:rFonts w:ascii="Arial" w:cs="Arial" w:eastAsia="Arial" w:hAnsi="Arial"/>
          <w:sz w:val="17"/>
          <w:szCs w:val="17"/>
          <w:u w:val="single" w:color="auto"/>
          <w:color w:val="auto"/>
        </w:rPr>
        <w:t>Sign</w:t>
      </w:r>
      <w:r>
        <w:rPr>
          <w:rFonts w:ascii="Arial" w:cs="Arial" w:eastAsia="Arial" w:hAnsi="Arial"/>
          <w:sz w:val="17"/>
          <w:szCs w:val="17"/>
          <w:color w:val="auto"/>
        </w:rPr>
        <w:t xml:space="preserve">”) provided that Landlord, acting reasonably, approves the One Almaden Sign (including all structural engineering and aesthetic aspects thereof) and the exact location where the same is to be installed. Tenant hereby acknowledges and understands that in no event is Landlord representing or guarantying that any such One Almaden Sign is permitted under Applicable Rules and Restrictions and, in the event the Applicable Rules and Restrictions do not permit any such One Almaden Sign, then this Second Amendment shall continue in full force and effect except that this </w:t>
      </w:r>
      <w:r>
        <w:rPr>
          <w:rFonts w:ascii="Arial" w:cs="Arial" w:eastAsia="Arial" w:hAnsi="Arial"/>
          <w:sz w:val="17"/>
          <w:szCs w:val="17"/>
          <w:u w:val="single" w:color="auto"/>
          <w:color w:val="auto"/>
        </w:rPr>
        <w:t>Paragraph 12(d)</w:t>
      </w:r>
      <w:r>
        <w:rPr>
          <w:rFonts w:ascii="Arial" w:cs="Arial" w:eastAsia="Arial" w:hAnsi="Arial"/>
          <w:sz w:val="17"/>
          <w:szCs w:val="17"/>
          <w:color w:val="auto"/>
        </w:rPr>
        <w:t xml:space="preserve"> shall be deemed null and void. The engineering, manufacture, installation, maintenance and removal of, and the procurement of all required approvals for, the One Almaden Sign shall be at Tenant’s sole cost and expense. Landlord hereby approves the location of the One Almaden Sign shown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and the size, type and design of the One Almaden Sign shown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The installation of the One Almaden Sign shall be in compliance with all Applicable Rules and Restrictions. Prior to the manufacturing or installing the One Almaden Sign, Tenant shall submit to Landlord, for Landlord’s approval which shall not be unreasonably withheld, delayed or, except as expressly provided herein, conditioned, (i) a report from a structural engineer reasonably acceptable to Landlord providing that (A) the One Almaden Building can adequately support the installation of the One Almaden Sign, and (B) the One Almaden Sign can and will be installed in a manner that will not damage, or otherwise affect or diminish the structural integrity of, the One Almaden Building, and (ii) a detailed drawing indicating the size, layout, design, configuration, lettering and/or graphics and color of the proposed One Almaden Sign, together with the proposed location where the One Almaden Sign is to be installed. In the event Landlord approves the structural report, the One Almaden Sign and the location, Landlord shall evidence such approval in writing. Tenant shall install,</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60" w:top="274" w:right="459" w:bottom="1440" w:gutter="0" w:footer="0" w:header="0"/>
        </w:sectPr>
      </w:pPr>
    </w:p>
    <w:bookmarkStart w:id="436" w:name="page437"/>
    <w:bookmarkEnd w:id="436"/>
    <w:p>
      <w:pPr>
        <w:ind w:left="7"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repair, maintain, and remove the One Almaden Sign with contractors reasonably approved by Landlord. Any such contractors shall satisfy Landlord’s insurance and indemnification requirements prior to performing any work. Tenant agrees that the installation, maintenance, repair and removal of the One Almaden Sign shall be at Tenant’s sole risk. Tenant agrees to maintain the One Almaden Sign in good condition and repair and, prior to the expiration of the Lease Term or the earlier termination of this Lease or Tenant’s right of possession under this Lease, Tenant shall remove the One Almaden Sign and restore the One Almaden Building to the condition immediately prior to the installation of the One Almaden Sign, at Tenant’s sole cost and expense. In the event Tenant fails to repair or remove the One Almaden Sign, Landlord shall have the right to repair or remove the One Almaden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ONE ALMADEN SIGN, except to the extent caused by the gross negligence or willful misconduct of Landlord. Notwithstanding anything herein to the contrary, Landlord shall have the right to terminate Tenant’s rights under this </w:t>
      </w:r>
      <w:r>
        <w:rPr>
          <w:rFonts w:ascii="Arial" w:cs="Arial" w:eastAsia="Arial" w:hAnsi="Arial"/>
          <w:sz w:val="16"/>
          <w:szCs w:val="16"/>
          <w:u w:val="single" w:color="auto"/>
          <w:color w:val="auto"/>
        </w:rPr>
        <w:t>Paragraph 12(d)</w:t>
      </w:r>
      <w:r>
        <w:rPr>
          <w:rFonts w:ascii="Arial" w:cs="Arial" w:eastAsia="Arial" w:hAnsi="Arial"/>
          <w:sz w:val="16"/>
          <w:szCs w:val="16"/>
          <w:color w:val="auto"/>
        </w:rPr>
        <w:t xml:space="preserve"> by providing written notice of termination to Tenant if, at any time, Tenant</w:t>
      </w:r>
    </w:p>
    <w:p>
      <w:pPr>
        <w:ind w:left="7" w:hanging="7"/>
        <w:spacing w:after="0" w:line="284" w:lineRule="auto"/>
        <w:tabs>
          <w:tab w:leader="none" w:pos="26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assigns this Lease other than in connection with a Permitted Transfer, (2) subleases more than forty-nine percent (49%) of the Premises other than in connection with a Permitted Transfer, or (3) suffers an event of default of any term or condition of this Lease beyond applicable notice and cure periods. In the event Landlord terminates Tenant’s rights under this </w:t>
      </w:r>
      <w:r>
        <w:rPr>
          <w:rFonts w:ascii="Arial" w:cs="Arial" w:eastAsia="Arial" w:hAnsi="Arial"/>
          <w:sz w:val="16"/>
          <w:szCs w:val="16"/>
          <w:u w:val="single" w:color="auto"/>
          <w:color w:val="auto"/>
        </w:rPr>
        <w:t>Paragraph 12(d)</w:t>
      </w:r>
      <w:r>
        <w:rPr>
          <w:rFonts w:ascii="Arial" w:cs="Arial" w:eastAsia="Arial" w:hAnsi="Arial"/>
          <w:sz w:val="16"/>
          <w:szCs w:val="16"/>
          <w:color w:val="auto"/>
        </w:rPr>
        <w:t xml:space="preserve"> as provided for in the immediately preceding sentence, Tenant shall remove the One Almaden Sign from the One Almaden Building and repair any damage to the One Almaden Building caused by the installation, maintenance and/or removal thereof within thirty (30) days following receipt of Landlord’s written notice of termination, and, in the event Tenant fails to timely remove the One Almaden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One Almaden Sign and Landlord shall have the right to dispose of the One Almaden Sign in any manner Landlord shall choose in its sole discretion without any liability whatsoever to Tenant with respect thereto). In no event does Landlord make any representation or warranty to Tenant that the One Almaden Sign shall be permitted under the Applicable Rules and Restrictions and, to the extent the One Almaden Sign is not permitted by the Applicable Rules and Restrictions, Tenant acknowledges and agrees that this Second Amendment shall remain in full force and effect despite Tenant not being permitted to install such One Almaden Sign. Tenant shall be responsible, at its cost and expense, to obtain any necessary approvals or permits from the applicable governmental authorities for the purposes of installing and maintaining such One Almaden Sign (the “</w:t>
      </w:r>
      <w:r>
        <w:rPr>
          <w:rFonts w:ascii="Arial" w:cs="Arial" w:eastAsia="Arial" w:hAnsi="Arial"/>
          <w:sz w:val="16"/>
          <w:szCs w:val="16"/>
          <w:u w:val="single" w:color="auto"/>
          <w:color w:val="auto"/>
        </w:rPr>
        <w:t>One Almaden Sign Approvals</w:t>
      </w:r>
      <w:r>
        <w:rPr>
          <w:rFonts w:ascii="Arial" w:cs="Arial" w:eastAsia="Arial" w:hAnsi="Arial"/>
          <w:sz w:val="16"/>
          <w:szCs w:val="16"/>
          <w:color w:val="auto"/>
        </w:rPr>
        <w:t xml:space="preserve">”); provided, however, at Landlord’s option it can apply for such One Almaden Sign Approvals on Tenant’s behalf, at Tenant’s cost and expense. Promptly following obtaining such One Almaden Sign Approvals (and in no event later than one hundred eighty (180) days following obtaining such One Almaden Sign Approvals), Tenant shall install such One Almaden Sign in accordance with the terms of this </w:t>
      </w:r>
      <w:r>
        <w:rPr>
          <w:rFonts w:ascii="Arial" w:cs="Arial" w:eastAsia="Arial" w:hAnsi="Arial"/>
          <w:sz w:val="16"/>
          <w:szCs w:val="16"/>
          <w:u w:val="single" w:color="auto"/>
          <w:color w:val="auto"/>
        </w:rPr>
        <w:t>Paragraph 12(d)</w:t>
      </w:r>
      <w:r>
        <w:rPr>
          <w:rFonts w:ascii="Arial" w:cs="Arial" w:eastAsia="Arial" w:hAnsi="Arial"/>
          <w:sz w:val="16"/>
          <w:szCs w:val="16"/>
          <w:color w:val="auto"/>
        </w:rPr>
        <w:t>. In no event shall Landlord be required to remove any existing fascia sign or other signage</w:t>
      </w:r>
    </w:p>
    <w:p>
      <w:pPr>
        <w:spacing w:after="0" w:line="102" w:lineRule="exact"/>
        <w:rPr>
          <w:sz w:val="20"/>
          <w:szCs w:val="20"/>
          <w:color w:val="auto"/>
        </w:rPr>
      </w:pPr>
    </w:p>
    <w:p>
      <w:pPr>
        <w:ind w:left="454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7"/>
          </w:cols>
          <w:pgMar w:left="1313" w:top="274" w:right="459" w:bottom="1440" w:gutter="0" w:footer="0" w:header="0"/>
        </w:sectPr>
      </w:pPr>
    </w:p>
    <w:bookmarkStart w:id="437" w:name="page438"/>
    <w:bookmarkEnd w:id="437"/>
    <w:p>
      <w:pPr>
        <w:ind w:left="88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present existing in order to accommodate any approvals required by the Applicable Rules and Restrictions affecting the Building for the One Almaden Sign. The terms and provisions of this </w:t>
      </w:r>
      <w:r>
        <w:rPr>
          <w:rFonts w:ascii="Arial" w:cs="Arial" w:eastAsia="Arial" w:hAnsi="Arial"/>
          <w:sz w:val="17"/>
          <w:szCs w:val="17"/>
          <w:u w:val="single" w:color="auto"/>
          <w:color w:val="auto"/>
        </w:rPr>
        <w:t>Paragraph 12(d)</w:t>
      </w:r>
      <w:r>
        <w:rPr>
          <w:rFonts w:ascii="Arial" w:cs="Arial" w:eastAsia="Arial" w:hAnsi="Arial"/>
          <w:sz w:val="17"/>
          <w:szCs w:val="17"/>
          <w:color w:val="auto"/>
        </w:rPr>
        <w:t xml:space="preserve"> shall survive the expiration or earlier termination of this Lease. As consideration for Tenant’s right to install and maintain the One Almaden Sign, commencing on the date that the One Almaden Sign Approvals are obtained and the One Almaden Sign has been installed and continuing thereafter for the remainder of the Lease Term, Tenant shall pay to Landlord $6,500.00 per month (the “</w:t>
      </w:r>
      <w:r>
        <w:rPr>
          <w:rFonts w:ascii="Arial" w:cs="Arial" w:eastAsia="Arial" w:hAnsi="Arial"/>
          <w:sz w:val="17"/>
          <w:szCs w:val="17"/>
          <w:u w:val="single" w:color="auto"/>
          <w:color w:val="auto"/>
        </w:rPr>
        <w:t>One Almaden Sign Rent</w:t>
      </w:r>
      <w:r>
        <w:rPr>
          <w:rFonts w:ascii="Arial" w:cs="Arial" w:eastAsia="Arial" w:hAnsi="Arial"/>
          <w:sz w:val="17"/>
          <w:szCs w:val="17"/>
          <w:color w:val="auto"/>
        </w:rPr>
        <w:t>”), with such One Almaden Sign Rent being payable in advance on the first day of the month in the same manner and time as Tenant is obligated to pay Basic Annual Rent (provided, however, any abatement of the Basic Annual Rent shall not apply with respect to the One Almaden Sign Rent).</w:t>
      </w:r>
    </w:p>
    <w:p>
      <w:pPr>
        <w:spacing w:after="0" w:line="83" w:lineRule="exact"/>
        <w:rPr>
          <w:sz w:val="20"/>
          <w:szCs w:val="20"/>
          <w:color w:val="auto"/>
        </w:rPr>
      </w:pPr>
    </w:p>
    <w:p>
      <w:pPr>
        <w:ind w:left="864" w:hanging="432"/>
        <w:spacing w:after="0" w:line="285" w:lineRule="auto"/>
        <w:tabs>
          <w:tab w:leader="none" w:pos="864" w:val="left"/>
        </w:tabs>
        <w:numPr>
          <w:ilvl w:val="1"/>
          <w:numId w:val="426"/>
        </w:numPr>
        <w:rPr>
          <w:rFonts w:ascii="Arial" w:cs="Arial" w:eastAsia="Arial" w:hAnsi="Arial"/>
          <w:sz w:val="16"/>
          <w:szCs w:val="16"/>
          <w:color w:val="auto"/>
        </w:rPr>
      </w:pPr>
      <w:r>
        <w:rPr>
          <w:rFonts w:ascii="Arial" w:cs="Arial" w:eastAsia="Arial" w:hAnsi="Arial"/>
          <w:sz w:val="16"/>
          <w:szCs w:val="16"/>
          <w:u w:val="single" w:color="auto"/>
          <w:color w:val="auto"/>
        </w:rPr>
        <w:t>Right of First Offer to Western Bank Fascia Signage Location</w:t>
      </w:r>
      <w:r>
        <w:rPr>
          <w:rFonts w:ascii="Arial" w:cs="Arial" w:eastAsia="Arial" w:hAnsi="Arial"/>
          <w:sz w:val="16"/>
          <w:szCs w:val="16"/>
          <w:color w:val="auto"/>
        </w:rPr>
        <w:t xml:space="preserve">. In the event that Western Bank ever relinquishes and removes its signage rights on the fascia of the Building and thereafter Landlord intends to offer to another third party tenant or occupant the right to install fascia signage in the location previously surrendered by Western Bank, then, so long as Tenant is leasing and occupying at least seventy-five percent (75%) of the Rentable Area of the Suite 400 Space, Suite 500 Space and Suite 600 Space and provided further that all other Signage Conditions (as defined in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are satisfied, then Landlord shall first offer to Tenant the right to install fascia signage in the location where Western Bank previously had its fascia sign (the “</w:t>
      </w:r>
      <w:r>
        <w:rPr>
          <w:rFonts w:ascii="Arial" w:cs="Arial" w:eastAsia="Arial" w:hAnsi="Arial"/>
          <w:sz w:val="16"/>
          <w:szCs w:val="16"/>
          <w:u w:val="single" w:color="auto"/>
          <w:color w:val="auto"/>
        </w:rPr>
        <w:t>Fascia Sign Offer</w:t>
      </w:r>
      <w:r>
        <w:rPr>
          <w:rFonts w:ascii="Arial" w:cs="Arial" w:eastAsia="Arial" w:hAnsi="Arial"/>
          <w:sz w:val="16"/>
          <w:szCs w:val="16"/>
          <w:color w:val="auto"/>
        </w:rPr>
        <w:t xml:space="preserve">”). The Fascia Sign Offer shall be upon the terms and conditions that Landlord intends to offer to third parties the right to install such replacement fascia sign (which may include the payment of signage rent and/or the requirement to lease certain space in the Building or Project). Tenant shall be required to accept any such Fascia Sign Offer on the terms set forth therein by providing a written acceptance to Landlord no later than ten (10) business days following receipt of the Fascia Sign Offer. Tenant’s failure to provide a timely acceptance to the Fascia Sign Offer shall forfeit Tenant’s rights to install any fascia signage and shall entitle Landlord to offer any such fascia sign rights to any third party, including on terms that may be less favorable to Landlord than those set forth in the Fascia Sign Offer. Landlord shall only be required to provide Tenant with one Fascia Sign Offer (it being agreed that if Western Bank had more than one sign, that Tenant is only receiving a right of first offer with respect to the first sign that Western Bank surrenders that Landlord intends to replace with the signage of another tenant or occupant). Unless otherwise set forth in the Fascia Sign Offer, any fascia signage of Tenant shall be subject to all Applicable Rules and Restrictions and otherwise subject to all of the terms and conditions of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of this Second Amendment (including, subject to Landlord’s prior written approval as to the aesthetics, locations, size, color and method of attachment of such signage, which approval shall not be unreasonably withheld, conditioned or delayed). In the event of a conflict between the terms of the Fascia Sign Offer and the terms of </w:t>
      </w:r>
      <w:r>
        <w:rPr>
          <w:rFonts w:ascii="Arial" w:cs="Arial" w:eastAsia="Arial" w:hAnsi="Arial"/>
          <w:sz w:val="16"/>
          <w:szCs w:val="16"/>
          <w:u w:val="single" w:color="auto"/>
          <w:color w:val="auto"/>
        </w:rPr>
        <w:t>Paragraph 12(c)</w:t>
      </w:r>
      <w:r>
        <w:rPr>
          <w:rFonts w:ascii="Arial" w:cs="Arial" w:eastAsia="Arial" w:hAnsi="Arial"/>
          <w:sz w:val="16"/>
          <w:szCs w:val="16"/>
          <w:color w:val="auto"/>
        </w:rPr>
        <w:t>, the terms of the Fascia Sign Offer shall prevail.</w:t>
      </w:r>
    </w:p>
    <w:p>
      <w:pPr>
        <w:spacing w:after="0" w:line="292" w:lineRule="exact"/>
        <w:rPr>
          <w:rFonts w:ascii="Arial" w:cs="Arial" w:eastAsia="Arial" w:hAnsi="Arial"/>
          <w:sz w:val="16"/>
          <w:szCs w:val="16"/>
          <w:color w:val="auto"/>
        </w:rPr>
      </w:pPr>
    </w:p>
    <w:p>
      <w:pPr>
        <w:ind w:left="864" w:right="160" w:hanging="432"/>
        <w:spacing w:after="0" w:line="279" w:lineRule="auto"/>
        <w:tabs>
          <w:tab w:leader="none" w:pos="864" w:val="left"/>
        </w:tabs>
        <w:numPr>
          <w:ilvl w:val="1"/>
          <w:numId w:val="426"/>
        </w:numPr>
        <w:rPr>
          <w:rFonts w:ascii="Arial" w:cs="Arial" w:eastAsia="Arial" w:hAnsi="Arial"/>
          <w:sz w:val="17"/>
          <w:szCs w:val="17"/>
          <w:color w:val="auto"/>
        </w:rPr>
      </w:pPr>
      <w:r>
        <w:rPr>
          <w:rFonts w:ascii="Arial" w:cs="Arial" w:eastAsia="Arial" w:hAnsi="Arial"/>
          <w:sz w:val="17"/>
          <w:szCs w:val="17"/>
          <w:u w:val="single" w:color="auto"/>
          <w:color w:val="auto"/>
        </w:rPr>
        <w:t>Elevator Button Signage</w:t>
      </w:r>
      <w:r>
        <w:rPr>
          <w:rFonts w:ascii="Arial" w:cs="Arial" w:eastAsia="Arial" w:hAnsi="Arial"/>
          <w:sz w:val="17"/>
          <w:szCs w:val="17"/>
          <w:color w:val="auto"/>
        </w:rPr>
        <w:t>. Subject to Landlord’s prior written approval as to the aesthetics, size, color, and specifications, which approval shall not be unreasonably withheld, conditioned or delayed, Tenant may install elevator button signage on any full floor that Tenant leases. Upon Tenant failing to lease and occupy any particular full floor, Tenant shall remove any previously installed elevator button signage for such floor and pay for the cost to reinstall any replacement elevator buttons required by Landlord.</w:t>
      </w:r>
    </w:p>
    <w:p>
      <w:pPr>
        <w:spacing w:after="0" w:line="76" w:lineRule="exact"/>
        <w:rPr>
          <w:rFonts w:ascii="Arial" w:cs="Arial" w:eastAsia="Arial" w:hAnsi="Arial"/>
          <w:sz w:val="17"/>
          <w:szCs w:val="17"/>
          <w:color w:val="auto"/>
        </w:rPr>
      </w:pPr>
    </w:p>
    <w:p>
      <w:pPr>
        <w:ind w:left="424" w:right="20" w:hanging="424"/>
        <w:spacing w:after="0" w:line="287" w:lineRule="auto"/>
        <w:tabs>
          <w:tab w:leader="none" w:pos="424"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Riser Management Company</w:t>
      </w:r>
      <w:r>
        <w:rPr>
          <w:rFonts w:ascii="Arial" w:cs="Arial" w:eastAsia="Arial" w:hAnsi="Arial"/>
          <w:sz w:val="16"/>
          <w:szCs w:val="16"/>
          <w:color w:val="auto"/>
        </w:rPr>
        <w:t>. Notwithstanding anything herein to the contrary, Landlord may require that Tenant utilize Landlord’s building riser management company in connection with any access to or installation of cabling and wiring in the vertical risers for the Building. Tenant shall pay any actual and reasonable costs charged by the riser management company in connection with the installation of Tenant’s cabling and wiring.</w:t>
      </w:r>
    </w:p>
    <w:p>
      <w:pPr>
        <w:spacing w:after="0" w:line="2" w:lineRule="exact"/>
        <w:rPr>
          <w:rFonts w:ascii="Arial" w:cs="Arial" w:eastAsia="Arial" w:hAnsi="Arial"/>
          <w:sz w:val="16"/>
          <w:szCs w:val="16"/>
          <w:color w:val="auto"/>
        </w:rPr>
      </w:pPr>
    </w:p>
    <w:p>
      <w:pPr>
        <w:ind w:left="424" w:right="20"/>
        <w:spacing w:after="0" w:line="260" w:lineRule="auto"/>
        <w:rPr>
          <w:rFonts w:ascii="Arial" w:cs="Arial" w:eastAsia="Arial" w:hAnsi="Arial"/>
          <w:sz w:val="16"/>
          <w:szCs w:val="16"/>
          <w:color w:val="auto"/>
        </w:rPr>
      </w:pPr>
      <w:r>
        <w:rPr>
          <w:rFonts w:ascii="Arial" w:cs="Arial" w:eastAsia="Arial" w:hAnsi="Arial"/>
          <w:sz w:val="18"/>
          <w:szCs w:val="18"/>
          <w:color w:val="auto"/>
        </w:rPr>
        <w:t>Landlord, at its option, may reasonably restrict access to the telephone closets of the Project and may exclude Tenant and its contractors from such telephone closets.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38" w:name="page439"/>
    <w:bookmarkEnd w:id="438"/>
    <w:p>
      <w:pPr>
        <w:ind w:left="424" w:right="220" w:hanging="424"/>
        <w:spacing w:after="0" w:line="259" w:lineRule="auto"/>
        <w:tabs>
          <w:tab w:leader="none" w:pos="424"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Renewal Option</w:t>
      </w:r>
      <w:r>
        <w:rPr>
          <w:rFonts w:ascii="Arial" w:cs="Arial" w:eastAsia="Arial" w:hAnsi="Arial"/>
          <w:sz w:val="18"/>
          <w:szCs w:val="18"/>
          <w:color w:val="auto"/>
        </w:rPr>
        <w:t xml:space="preserve">. Landlord hereby grants to Tenant one (1) option to further extend the Lease Term for an additional period of five (5) years in accordance with the terms and conditions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incorporated herein for all purposes. In the event that tenant elects to exercise the renewal option, it shall be required to exercise it for the entirety of the Premises then being leased by Tenant (i.e., it cannot exercise the renewal option for only a portion of the Premises being leased).</w:t>
      </w:r>
    </w:p>
    <w:p>
      <w:pPr>
        <w:spacing w:after="0" w:line="92" w:lineRule="exact"/>
        <w:rPr>
          <w:rFonts w:ascii="Arial" w:cs="Arial" w:eastAsia="Arial" w:hAnsi="Arial"/>
          <w:sz w:val="18"/>
          <w:szCs w:val="18"/>
          <w:color w:val="auto"/>
        </w:rPr>
      </w:pPr>
    </w:p>
    <w:p>
      <w:pPr>
        <w:ind w:left="424" w:right="700" w:hanging="424"/>
        <w:spacing w:after="0" w:line="277" w:lineRule="auto"/>
        <w:tabs>
          <w:tab w:leader="none" w:pos="424"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Landlord hereby grants to Tenant a right of first offer to certain space in the Project as more particularly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and incorporated herein for all purposes.</w:t>
      </w:r>
    </w:p>
    <w:p>
      <w:pPr>
        <w:spacing w:after="0" w:line="75" w:lineRule="exact"/>
        <w:rPr>
          <w:rFonts w:ascii="Arial" w:cs="Arial" w:eastAsia="Arial" w:hAnsi="Arial"/>
          <w:sz w:val="18"/>
          <w:szCs w:val="18"/>
          <w:color w:val="auto"/>
        </w:rPr>
      </w:pPr>
    </w:p>
    <w:p>
      <w:pPr>
        <w:ind w:left="424" w:hanging="424"/>
        <w:spacing w:after="0" w:line="285" w:lineRule="auto"/>
        <w:tabs>
          <w:tab w:leader="none" w:pos="424"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No Preferential Rights or Option</w:t>
      </w:r>
      <w:r>
        <w:rPr>
          <w:rFonts w:ascii="Arial" w:cs="Arial" w:eastAsia="Arial" w:hAnsi="Arial"/>
          <w:sz w:val="16"/>
          <w:szCs w:val="16"/>
          <w:color w:val="auto"/>
        </w:rPr>
        <w:t xml:space="preserve">s. Except for (i) the renewal option set forth in </w:t>
      </w:r>
      <w:r>
        <w:rPr>
          <w:rFonts w:ascii="Arial" w:cs="Arial" w:eastAsia="Arial" w:hAnsi="Arial"/>
          <w:sz w:val="16"/>
          <w:szCs w:val="16"/>
          <w:u w:val="single" w:color="auto"/>
          <w:color w:val="auto"/>
        </w:rPr>
        <w:t>Paragraph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of this Second Amendment and (ii) the right of first offer set forth in </w:t>
      </w:r>
      <w:r>
        <w:rPr>
          <w:rFonts w:ascii="Arial" w:cs="Arial" w:eastAsia="Arial" w:hAnsi="Arial"/>
          <w:sz w:val="16"/>
          <w:szCs w:val="16"/>
          <w:u w:val="single" w:color="auto"/>
          <w:color w:val="auto"/>
        </w:rPr>
        <w:t>Paragraph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of this Second Amendment, notwithstanding anything contained in the Lease to the contrary, Landlord and Tenant stipulate and agree that Tenant has no preferential rights or options under the Lease, as herein amended, such as any rights of renewal, expansion, reduction, refusal, offer, purchase, termination, relocation or any other such preferential rights or options, such rights originally set forth in the Lease, including, without limitation, (A) the two renewal options set forth in Addendum One of the Original Lease,</w:t>
      </w:r>
    </w:p>
    <w:p>
      <w:pPr>
        <w:spacing w:after="0" w:line="1" w:lineRule="exact"/>
        <w:rPr>
          <w:rFonts w:ascii="Arial" w:cs="Arial" w:eastAsia="Arial" w:hAnsi="Arial"/>
          <w:sz w:val="16"/>
          <w:szCs w:val="16"/>
          <w:color w:val="auto"/>
        </w:rPr>
      </w:pPr>
    </w:p>
    <w:p>
      <w:pPr>
        <w:ind w:left="424" w:right="280"/>
        <w:spacing w:after="0" w:line="260" w:lineRule="auto"/>
        <w:rPr>
          <w:rFonts w:ascii="Arial" w:cs="Arial" w:eastAsia="Arial" w:hAnsi="Arial"/>
          <w:sz w:val="16"/>
          <w:szCs w:val="16"/>
          <w:color w:val="auto"/>
        </w:rPr>
      </w:pPr>
      <w:r>
        <w:rPr>
          <w:rFonts w:ascii="Arial" w:cs="Arial" w:eastAsia="Arial" w:hAnsi="Arial"/>
          <w:sz w:val="18"/>
          <w:szCs w:val="18"/>
          <w:color w:val="auto"/>
        </w:rPr>
        <w:t>(B) the right of first offer set forth in Addendum Two of the Original Lease, and (C) the cancellation option set forth in Addendum Three of the Original Lease, being hereby null and void in their entirety and of no further force or effect.</w:t>
      </w:r>
    </w:p>
    <w:p>
      <w:pPr>
        <w:spacing w:after="0" w:line="90" w:lineRule="exact"/>
        <w:rPr>
          <w:rFonts w:ascii="Arial" w:cs="Arial" w:eastAsia="Arial" w:hAnsi="Arial"/>
          <w:sz w:val="16"/>
          <w:szCs w:val="16"/>
          <w:color w:val="auto"/>
        </w:rPr>
      </w:pPr>
    </w:p>
    <w:p>
      <w:pPr>
        <w:ind w:left="424" w:hanging="424"/>
        <w:spacing w:after="0"/>
        <w:tabs>
          <w:tab w:leader="none" w:pos="424"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Relocation</w:t>
      </w:r>
      <w:r>
        <w:rPr>
          <w:rFonts w:ascii="Arial" w:cs="Arial" w:eastAsia="Arial" w:hAnsi="Arial"/>
          <w:sz w:val="17"/>
          <w:szCs w:val="17"/>
          <w:color w:val="auto"/>
        </w:rPr>
        <w:t xml:space="preserve">. The parties hereby agree that </w:t>
      </w:r>
      <w:r>
        <w:rPr>
          <w:rFonts w:ascii="Arial" w:cs="Arial" w:eastAsia="Arial" w:hAnsi="Arial"/>
          <w:sz w:val="17"/>
          <w:szCs w:val="17"/>
          <w:u w:val="single" w:color="auto"/>
          <w:color w:val="auto"/>
        </w:rPr>
        <w:t>Paragraph 15</w:t>
      </w:r>
      <w:r>
        <w:rPr>
          <w:rFonts w:ascii="Arial" w:cs="Arial" w:eastAsia="Arial" w:hAnsi="Arial"/>
          <w:sz w:val="17"/>
          <w:szCs w:val="17"/>
          <w:color w:val="auto"/>
        </w:rPr>
        <w:t xml:space="preserve"> of the Original Lease is hereby deleted in its entirety and of no further force or effect.</w:t>
      </w:r>
    </w:p>
    <w:p>
      <w:pPr>
        <w:spacing w:after="0" w:line="142" w:lineRule="exact"/>
        <w:rPr>
          <w:rFonts w:ascii="Arial" w:cs="Arial" w:eastAsia="Arial" w:hAnsi="Arial"/>
          <w:sz w:val="17"/>
          <w:szCs w:val="17"/>
          <w:color w:val="auto"/>
        </w:rPr>
      </w:pPr>
    </w:p>
    <w:p>
      <w:pPr>
        <w:ind w:left="424" w:right="80" w:hanging="424"/>
        <w:spacing w:after="0" w:line="293" w:lineRule="auto"/>
        <w:tabs>
          <w:tab w:leader="none" w:pos="424"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During the thirty (30) day period following the Effective Date of this Second Amendment, Landlord agrees to use commercially reasonable efforts to obtain and provide to Tenant a Subordination, Non-Disturbance and Attornment Agreement (“</w:t>
      </w:r>
      <w:r>
        <w:rPr>
          <w:rFonts w:ascii="Arial" w:cs="Arial" w:eastAsia="Arial" w:hAnsi="Arial"/>
          <w:sz w:val="16"/>
          <w:szCs w:val="16"/>
          <w:u w:val="single" w:color="auto"/>
          <w:color w:val="auto"/>
        </w:rPr>
        <w:t>SNDA</w:t>
      </w:r>
      <w:r>
        <w:rPr>
          <w:rFonts w:ascii="Arial" w:cs="Arial" w:eastAsia="Arial" w:hAnsi="Arial"/>
          <w:sz w:val="16"/>
          <w:szCs w:val="16"/>
          <w:color w:val="auto"/>
        </w:rPr>
        <w:t>”) in substantially the form of the agreement used by the lender holding the existing mortgage encumbering the Building (the “</w:t>
      </w:r>
      <w:r>
        <w:rPr>
          <w:rFonts w:ascii="Arial" w:cs="Arial" w:eastAsia="Arial" w:hAnsi="Arial"/>
          <w:sz w:val="16"/>
          <w:szCs w:val="16"/>
          <w:u w:val="single" w:color="auto"/>
          <w:color w:val="auto"/>
        </w:rPr>
        <w:t>Lender</w:t>
      </w:r>
      <w:r>
        <w:rPr>
          <w:rFonts w:ascii="Arial" w:cs="Arial" w:eastAsia="Arial" w:hAnsi="Arial"/>
          <w:sz w:val="16"/>
          <w:szCs w:val="16"/>
          <w:color w:val="auto"/>
        </w:rPr>
        <w:t>”); provided, however, in no event shall Landlord be in default under the Lease (as amended by this Second Amendment), and in no event shall Tenant be entitled to terminate the Lease or this Second Amendment, if Landlord is unable to provide Tenant with such SNDA. Tenant shall reimburse Landlord upon demand for any actual and reasonable costs, including attorneys fees, that Landlord incurs in seeking to obtain an SNDA for Tenant.</w:t>
      </w:r>
    </w:p>
    <w:p>
      <w:pPr>
        <w:spacing w:after="0" w:line="69" w:lineRule="exact"/>
        <w:rPr>
          <w:rFonts w:ascii="Arial" w:cs="Arial" w:eastAsia="Arial" w:hAnsi="Arial"/>
          <w:sz w:val="16"/>
          <w:szCs w:val="16"/>
          <w:color w:val="auto"/>
        </w:rPr>
      </w:pPr>
    </w:p>
    <w:p>
      <w:pPr>
        <w:ind w:left="424" w:right="60" w:hanging="424"/>
        <w:spacing w:after="0" w:line="270" w:lineRule="auto"/>
        <w:tabs>
          <w:tab w:leader="none" w:pos="424"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Alterations and Improvements</w:t>
      </w:r>
      <w:r>
        <w:rPr>
          <w:rFonts w:ascii="Arial" w:cs="Arial" w:eastAsia="Arial" w:hAnsi="Arial"/>
          <w:sz w:val="17"/>
          <w:szCs w:val="17"/>
          <w:color w:val="auto"/>
        </w:rPr>
        <w:t xml:space="preserve">. Notwithstanding anything in the Lease to the contrary, any alterations or improvements existing in the Premises as of the Effective Date do not have to be removed and restored at the expiration or earlier termination of the Lease; provided, however, Tenant shall be required to remove any telephone/data cabling and wiring installed in the Premises and repair any damage arising from such removal. With respect to the Tenant Improvements being constructed pursuant to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at the time that Landlord approves the Final Plans in accordance with the procedures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Landlord shall advise Tenant which, if any, portions of such Tenant Improvements Tenant shall be required to remove and restore at the expiration of the Lease Term; provided, however, in all cases Tenant shall be required to remove any telephone/data cabling and wiring installed in the Premises and repair any damage arising from such removal. Notwithstanding the foregoing to the contrary, upon the expiration or earlier termination of the Lease, in no event shall Tenant be required to restore any multi-tenant corridors existing in the Suite 900 Space as of the Effective Date hereof.</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439" w:name="page440"/>
    <w:bookmarkEnd w:id="439"/>
    <w:p>
      <w:pPr>
        <w:ind w:left="424" w:hanging="424"/>
        <w:spacing w:after="0" w:line="255" w:lineRule="auto"/>
        <w:tabs>
          <w:tab w:leader="none" w:pos="42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Brokers</w:t>
      </w:r>
      <w:r>
        <w:rPr>
          <w:rFonts w:ascii="Arial" w:cs="Arial" w:eastAsia="Arial" w:hAnsi="Arial"/>
          <w:sz w:val="18"/>
          <w:szCs w:val="18"/>
          <w:color w:val="auto"/>
        </w:rPr>
        <w:t>. Landlord and Tenant each warrant that it has had no dealings with any broker or agent other than CBRE, Inc., representing Tenant, and Cushman &amp; Wakefield U.S., Inc., representing Landlord (collectively, the “</w:t>
      </w:r>
      <w:r>
        <w:rPr>
          <w:rFonts w:ascii="Arial" w:cs="Arial" w:eastAsia="Arial" w:hAnsi="Arial"/>
          <w:sz w:val="18"/>
          <w:szCs w:val="18"/>
          <w:u w:val="single" w:color="auto"/>
          <w:color w:val="auto"/>
        </w:rPr>
        <w:t>Broker</w:t>
      </w:r>
      <w:r>
        <w:rPr>
          <w:rFonts w:ascii="Arial" w:cs="Arial" w:eastAsia="Arial" w:hAnsi="Arial"/>
          <w:sz w:val="18"/>
          <w:szCs w:val="18"/>
          <w:color w:val="auto"/>
        </w:rPr>
        <w:t>”) in connection with the negotiation or execution of this Second Amendment, and Landlord and Tenant each agree to indemnify the other and hold the other harmless from and against any and all costs, expenses, or liability for commissions or other compensations or charges claimed by any broker or agent, other than the Broker, who claim to have represented the indemnifying party with respect to this Second Amendment or otherwise claim a commission with respect to this Second Amendment due to their dealings with the indemnifying party.</w:t>
      </w:r>
    </w:p>
    <w:p>
      <w:pPr>
        <w:spacing w:after="0" w:line="97" w:lineRule="exact"/>
        <w:rPr>
          <w:rFonts w:ascii="Arial" w:cs="Arial" w:eastAsia="Arial" w:hAnsi="Arial"/>
          <w:sz w:val="18"/>
          <w:szCs w:val="18"/>
          <w:color w:val="auto"/>
        </w:rPr>
      </w:pPr>
    </w:p>
    <w:p>
      <w:pPr>
        <w:ind w:left="424" w:hanging="424"/>
        <w:spacing w:after="0" w:line="270" w:lineRule="auto"/>
        <w:tabs>
          <w:tab w:leader="none" w:pos="424"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Tenant certifies, represents, warrants and covenants that: (i) 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 Tenant hereby agrees to defend (with counsel reasonably acceptable to Landlord), indemnify and hold harmless Landlord and its designated property management company, and their respective partners, members, affiliates and subsidiaries, and all of their respective officers, directors, shareholders, employees, servants, partners, representatives, insurers and agents from and against any and all claims or damages arising from or related to any such breach of the foregoing certifications, representations, warranties and covenants.</w:t>
      </w:r>
    </w:p>
    <w:p>
      <w:pPr>
        <w:spacing w:after="0" w:line="86" w:lineRule="exact"/>
        <w:rPr>
          <w:rFonts w:ascii="Arial" w:cs="Arial" w:eastAsia="Arial" w:hAnsi="Arial"/>
          <w:sz w:val="17"/>
          <w:szCs w:val="17"/>
          <w:color w:val="auto"/>
        </w:rPr>
      </w:pPr>
    </w:p>
    <w:p>
      <w:pPr>
        <w:ind w:left="424" w:hanging="424"/>
        <w:spacing w:after="0"/>
        <w:tabs>
          <w:tab w:leader="none" w:pos="42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CASp Disclosure</w:t>
      </w:r>
      <w:r>
        <w:rPr>
          <w:rFonts w:ascii="Arial" w:cs="Arial" w:eastAsia="Arial" w:hAnsi="Arial"/>
          <w:sz w:val="18"/>
          <w:szCs w:val="18"/>
          <w:color w:val="auto"/>
        </w:rPr>
        <w:t>. In accordance with California Civil Code Section 1938, Landlord makes the following disclosure to Tenant:</w:t>
      </w:r>
    </w:p>
    <w:p>
      <w:pPr>
        <w:spacing w:after="0" w:line="117" w:lineRule="exact"/>
        <w:rPr>
          <w:sz w:val="20"/>
          <w:szCs w:val="20"/>
          <w:color w:val="auto"/>
        </w:rPr>
      </w:pPr>
    </w:p>
    <w:p>
      <w:pPr>
        <w:ind w:left="884" w:right="80"/>
        <w:spacing w:after="0" w:line="293" w:lineRule="auto"/>
        <w:rPr>
          <w:sz w:val="20"/>
          <w:szCs w:val="20"/>
          <w:color w:val="auto"/>
        </w:rPr>
      </w:pPr>
      <w:r>
        <w:rPr>
          <w:rFonts w:ascii="Arial" w:cs="Arial" w:eastAsia="Arial" w:hAnsi="Arial"/>
          <w:sz w:val="16"/>
          <w:szCs w:val="16"/>
          <w:color w:val="auto"/>
        </w:rPr>
        <w:t>As of the Effective Date, neither the Building nor the Premises has undergone inspection by a Certified Access Specialist (CASp). A CASp can inspect the Premises and determine whether the Premises comply with all of the applicable construction-related accessibility standards under state law. Although state law does not require a CASp inspection of the Premises, Landlord may not prohibit Tenant from obtaining a CASp inspection of the Premises for the occupancy of Tenant, if requested by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64"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Except as otherwise expressly agreed upon in writing by Landlord, neither Landlord nor any Landlord Affiliate shall have any obligation for the payment of the CASp fee or the cost of making repairs pursuant thereto, nor shall Landlord or any Landlord Affiliate have any liability to Tenant arising out of or related to the fact that neither the Building nor the Premises has been inspected by a CASp, and Tenant waives all such liability and acknowledges that Tenant shall have no recourse against Landlord or the Project as a result of or in connection therewith.</w:t>
      </w:r>
    </w:p>
    <w:p>
      <w:pPr>
        <w:spacing w:after="0" w:line="77" w:lineRule="exact"/>
        <w:rPr>
          <w:sz w:val="20"/>
          <w:szCs w:val="20"/>
          <w:color w:val="auto"/>
        </w:rPr>
      </w:pPr>
    </w:p>
    <w:p>
      <w:pPr>
        <w:ind w:left="424" w:right="40" w:hanging="424"/>
        <w:spacing w:after="0" w:line="311" w:lineRule="auto"/>
        <w:tabs>
          <w:tab w:leader="none" w:pos="424"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Second Amendment and the terms and provisions of the Lease, the terms and provisions of this Second Amendment shall supersede and control.</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440" w:name="page441"/>
    <w:bookmarkEnd w:id="440"/>
    <w:p>
      <w:pPr>
        <w:ind w:left="424" w:hanging="424"/>
        <w:spacing w:after="0" w:line="286" w:lineRule="auto"/>
        <w:tabs>
          <w:tab w:leader="none" w:pos="424"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Counterparts/Facsimiles</w:t>
      </w:r>
      <w:r>
        <w:rPr>
          <w:rFonts w:ascii="Arial" w:cs="Arial" w:eastAsia="Arial" w:hAnsi="Arial"/>
          <w:sz w:val="17"/>
          <w:szCs w:val="17"/>
          <w:color w:val="auto"/>
        </w:rPr>
        <w:t>. This Second Amendment may be executed in any number of counterparts, each of which shall be deemed an original, and all of such counterparts shall constitute one agreement. To facilitate execution of this Second Amendment, the parties may execute and exchange telefaxed or e-mailed counterparts of the signature pages and such counterparts shall serve as originals.</w:t>
      </w:r>
    </w:p>
    <w:p>
      <w:pPr>
        <w:spacing w:after="0" w:line="165"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4"/>
          </w:cols>
          <w:pgMar w:left="436" w:top="274" w:right="719" w:bottom="1440" w:gutter="0" w:footer="0" w:header="0"/>
        </w:sectPr>
      </w:pPr>
    </w:p>
    <w:bookmarkStart w:id="441" w:name="page442"/>
    <w:bookmarkEnd w:id="441"/>
    <w:p>
      <w:pPr>
        <w:jc w:val="center"/>
        <w:ind w:left="500" w:right="2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OFFICE LEASE AGREEMENT BY AND BETWEEN KBSIII ALMADEN FINANCIAL PLAZA, LLC, AS LANDLORD, AND ZOOM VIDEO COMMUNICATIONS, INC., AS TENANT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Landlord and Tenant, acting herein by duly authorized individuals, have caused these presents to be executed, effective as of the Effective Date set forth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KBSIII ALMADEND FINANCIAL PLAZA,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60" w:type="dxa"/>
            <w:vAlign w:val="bottom"/>
            <w:gridSpan w:val="2"/>
          </w:tcPr>
          <w:p>
            <w:pPr>
              <w:ind w:left="180"/>
              <w:spacing w:after="0"/>
              <w:rPr>
                <w:sz w:val="20"/>
                <w:szCs w:val="20"/>
                <w:color w:val="auto"/>
              </w:rPr>
            </w:pPr>
            <w:r>
              <w:rPr>
                <w:rFonts w:ascii="Arial" w:cs="Arial" w:eastAsia="Arial" w:hAnsi="Arial"/>
                <w:sz w:val="18"/>
                <w:szCs w:val="18"/>
                <w:b w:val="1"/>
                <w:bCs w:val="1"/>
                <w:color w:val="auto"/>
              </w:rPr>
              <w:t>KBS Capital Advisors, LLC,</w:t>
            </w:r>
          </w:p>
        </w:tc>
      </w:tr>
      <w:tr>
        <w:trPr>
          <w:trHeight w:val="234"/>
        </w:trPr>
        <w:tc>
          <w:tcPr>
            <w:tcW w:w="44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a Delaware limited liability company, as agent</w:t>
            </w:r>
          </w:p>
        </w:tc>
      </w:tr>
      <w:tr>
        <w:trPr>
          <w:trHeight w:val="432"/>
        </w:trPr>
        <w:tc>
          <w:tcPr>
            <w:tcW w:w="440" w:type="dxa"/>
            <w:vAlign w:val="bottom"/>
          </w:tcPr>
          <w:p>
            <w:pPr>
              <w:spacing w:after="0"/>
              <w:rPr>
                <w:sz w:val="24"/>
                <w:szCs w:val="24"/>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i w:val="1"/>
                <w:iCs w:val="1"/>
                <w:color w:val="auto"/>
              </w:rPr>
              <w:t>/s/ Brent Carroll</w:t>
            </w:r>
          </w:p>
        </w:tc>
      </w:tr>
      <w:tr>
        <w:trPr>
          <w:trHeight w:val="209"/>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Brent Carroll,</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40" w:type="dxa"/>
            <w:vAlign w:val="bottom"/>
          </w:tcPr>
          <w:p>
            <w:pPr>
              <w:spacing w:after="0"/>
              <w:rPr>
                <w:sz w:val="24"/>
                <w:szCs w:val="24"/>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8, 2018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corporation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i w:val="1"/>
          <w:iCs w:val="1"/>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Kelly Steckelberg</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CFO</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August 6, 2018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440" w:top="274" w:right="49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SUITE 400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178435</wp:posOffset>
            </wp:positionV>
            <wp:extent cx="5246370" cy="31800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4637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443" w:name="page444"/>
    <w:bookmarkEnd w:id="4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SUITE 900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178435</wp:posOffset>
            </wp:positionV>
            <wp:extent cx="4808855" cy="28632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80885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9019"/>
          </w:cols>
          <w:pgMar w:left="1440" w:top="270" w:right="1440" w:bottom="1440" w:gutter="0" w:footer="0" w:header="0"/>
        </w:sectPr>
      </w:pPr>
    </w:p>
    <w:bookmarkStart w:id="444" w:name="page445"/>
    <w:bookmarkEnd w:id="444"/>
    <w:p>
      <w:pPr>
        <w:ind w:left="50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Work Letter</w:t>
      </w:r>
    </w:p>
    <w:p>
      <w:pPr>
        <w:spacing w:after="0" w:line="207"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 xml:space="preserve">THIS WORK LETTER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Second Amendment to Office Lease between </w:t>
      </w:r>
      <w:r>
        <w:rPr>
          <w:rFonts w:ascii="Arial" w:cs="Arial" w:eastAsia="Arial" w:hAnsi="Arial"/>
          <w:sz w:val="18"/>
          <w:szCs w:val="18"/>
          <w:b w:val="1"/>
          <w:bCs w:val="1"/>
          <w:color w:val="auto"/>
        </w:rPr>
        <w:t>KBSIII ALMADEN FINANCIAL PLAZA,</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as Landlord,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 as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the further agreement between Landlord and Tenant as follows:</w:t>
      </w:r>
    </w:p>
    <w:p>
      <w:pPr>
        <w:spacing w:after="0" w:line="180" w:lineRule="exact"/>
        <w:rPr>
          <w:sz w:val="20"/>
          <w:szCs w:val="20"/>
          <w:color w:val="auto"/>
        </w:rPr>
      </w:pPr>
    </w:p>
    <w:p>
      <w:pPr>
        <w:ind w:left="4" w:right="100" w:firstLine="436"/>
        <w:spacing w:after="0" w:line="259" w:lineRule="auto"/>
        <w:tabs>
          <w:tab w:leader="none" w:pos="82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Tenant Improvements; Landlord’s Construction Allowance</w:t>
      </w:r>
      <w:r>
        <w:rPr>
          <w:rFonts w:ascii="Arial" w:cs="Arial" w:eastAsia="Arial" w:hAnsi="Arial"/>
          <w:sz w:val="18"/>
          <w:szCs w:val="18"/>
          <w:color w:val="auto"/>
        </w:rPr>
        <w:t>. The leasehold improvements to be constructed by Tenant (the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at Tenant’s sole cost and expense (except for the Landlord’s Construction Allowance, as specified in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of this Second Amendment), shall be constructed in accordance with the Final Plans to be submitted by Tenant and reviewed and approved by Landlord in accordance with the provisions of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Landlord shall have no obligation to construct or to pay for the construction of the Tenant Improvements. However, Landlord agrees to contribute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toward the cost of construction of the Tenant Improvements the cash sum of up to the Landlord’s Construction Allowance (as defined in </w:t>
      </w:r>
      <w:r>
        <w:rPr>
          <w:rFonts w:ascii="Arial" w:cs="Arial" w:eastAsia="Arial" w:hAnsi="Arial"/>
          <w:sz w:val="16"/>
          <w:szCs w:val="16"/>
          <w:u w:val="single" w:color="auto"/>
          <w:color w:val="auto"/>
        </w:rPr>
        <w:t>Paragraph 7</w:t>
      </w:r>
      <w:r>
        <w:rPr>
          <w:rFonts w:ascii="Arial" w:cs="Arial" w:eastAsia="Arial" w:hAnsi="Arial"/>
          <w:sz w:val="16"/>
          <w:szCs w:val="16"/>
          <w:color w:val="auto"/>
        </w:rPr>
        <w:t xml:space="preserv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Second Amendment). Notwithstanding anything in this Second Amendment or in this Work Letter to the contrary, except as provided in the last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sentence of </w:t>
      </w:r>
      <w:r>
        <w:rPr>
          <w:rFonts w:ascii="Arial" w:cs="Arial" w:eastAsia="Arial" w:hAnsi="Arial"/>
          <w:sz w:val="16"/>
          <w:szCs w:val="16"/>
          <w:u w:val="single" w:color="auto"/>
          <w:color w:val="auto"/>
        </w:rPr>
        <w:t>Paragraph 7</w:t>
      </w:r>
      <w:r>
        <w:rPr>
          <w:rFonts w:ascii="Arial" w:cs="Arial" w:eastAsia="Arial" w:hAnsi="Arial"/>
          <w:sz w:val="16"/>
          <w:szCs w:val="16"/>
          <w:color w:val="auto"/>
        </w:rPr>
        <w:t>, Landlord’s Construction Allowance shall be used only for the construction of the Tenant Improvements, and if construction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Tenant Improvements is not completed by the applicable Construction Termination Date (as defined below), then Landlord’s obligation to provide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unused portion of the Landlord’s Construction Allowance allocable to the applicable Construction Termination Date shall terminate and become null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void, and Tenant shall be deemed to have waived its rights in and to said unused portion of the Landlord’s Construction Allowance.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Construction Termination Dates</w:t>
      </w:r>
      <w:r>
        <w:rPr>
          <w:rFonts w:ascii="Arial" w:cs="Arial" w:eastAsia="Arial" w:hAnsi="Arial"/>
          <w:sz w:val="16"/>
          <w:szCs w:val="16"/>
          <w:color w:val="auto"/>
        </w:rPr>
        <w:t>” shall be as follows: (i) with respect to the portion of the Landlord’s Construction Allowance attributable to the Suite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400 Space, the Construction Termination Date shall be deemed to be February 28, 2021, (ii) with respect to the portion of the Landlord’s Construction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Allowance attributable to the Suite 500 Space, the Construction Termination Date shall be deemed to be February 28, 2023, (iii) with respect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portion of the Landlord’s Construction Allowance attributable to the Suite 600 Space, the Construction Termination Date shall be deemed to be July 31,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2020, and (iv) with respect to the portion of the Landlord’s Construction Allowance attributable to the Suite 900 Space, the Construction Termination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Date shall be deemed to be December 31, 2019. The Landlord’s Construction Allowance may be used to pay any reasonable out-of-pocket costs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incurred by Landlord in connection with the construction of the Tenant Improvements and any work related to the construction of the Tenant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Improvements in the Premises. The construction costs that may be reimbursed from the Landlord’s Construction Allowance shall include the following: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“hard costs” of the Tenant Improvements including costs of labor, equipment, supplies and materials furnished for construction of the Tenant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Improvements; governmental fees and charges for required permits, plan checks, and inspections for the Tenant Improvements; Tenant’s project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management costs, charges of Tenant’s design professionals; and charges of Landlord’s design professionals for review of plans and monitoring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construction or installation of the Tenant Improvements. Except as otherwise provided herein, no other costs, fees or expenses of the Tenant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Improvements shall be reimbursable out of the Landlord’s Construction Allowance.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Landlord’s payment of the Landlord’s Construction Allowance, or such portion thereof as Tenant may be entitled to, shall be made within thirty</w:t>
      </w:r>
    </w:p>
    <w:p>
      <w:pPr>
        <w:spacing w:after="0" w:line="46" w:lineRule="exact"/>
        <w:rPr>
          <w:sz w:val="20"/>
          <w:szCs w:val="20"/>
          <w:color w:val="auto"/>
        </w:rPr>
      </w:pPr>
    </w:p>
    <w:p>
      <w:pPr>
        <w:ind w:left="4" w:hanging="4"/>
        <w:spacing w:after="0" w:line="290" w:lineRule="auto"/>
        <w:tabs>
          <w:tab w:leader="none" w:pos="349" w:val="left"/>
        </w:tabs>
        <w:numPr>
          <w:ilvl w:val="0"/>
          <w:numId w:val="433"/>
        </w:numPr>
        <w:rPr>
          <w:rFonts w:ascii="Arial" w:cs="Arial" w:eastAsia="Arial" w:hAnsi="Arial"/>
          <w:sz w:val="16"/>
          <w:szCs w:val="16"/>
          <w:color w:val="auto"/>
        </w:rPr>
      </w:pPr>
      <w:r>
        <w:rPr>
          <w:rFonts w:ascii="Arial" w:cs="Arial" w:eastAsia="Arial" w:hAnsi="Arial"/>
          <w:sz w:val="16"/>
          <w:szCs w:val="16"/>
          <w:color w:val="auto"/>
        </w:rPr>
        <w:t>days after each and all of the following conditions shall have been satisfied (it being agreed that the disbursement shall be made in phases based on Substantial Completion of each of the particular suites): (i) the Tenant Improvements shall have been Substantially Completed in accordance with the Final Plans (as hereinafter defined); (ii) Tenant shall have delivered to Landlord satisfactory evidence that all mechanics’ lien rights of all contractors, suppliers, subcontractors, or materialmen furnishing labor, supplies or materials in the construction or installation of the Tenant Improvements have been unconditionally waived, released, or extinguished; (iii) Tenant shall have delivered to Landlord paid receipts or other written evidence reasonably satisfactorily substantiating the actual amount of the construction costs of the Tenant Improvements; (iv) Tenant shall have delivered to</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04"/>
          </w:cols>
          <w:pgMar w:left="436" w:top="270" w:right="459" w:bottom="1440" w:gutter="0" w:footer="0" w:header="0"/>
        </w:sectPr>
      </w:pPr>
    </w:p>
    <w:bookmarkStart w:id="445" w:name="page446"/>
    <w:bookmarkEnd w:id="44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Landlord a final certificate of occupancy, if required, for the Premises; and (v) Tenant shall not then be in default of any of the provisions of the Lease beyond any applicable notice and cure period (in which event all such disbursements shall be suspended until such default is fully cured). The Landlord’s Construction Allowance shall be disbursed as each of the phases of the Tenant Improvements are Substantially Completed (e.g., the Landlord’s Construction Allowance with respect to the Suite 600 Space shall be disbursed following Substantial Completion of the Tenant Improvements to the Suite 600 Space and satisfaction of the disbursement requirements above). If the actual cost of the Tenant Improvements is less than the Landlord’s Construction Allowance, then, except as set forth in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below, Tenant shall not receive any credit whatsoever for the difference between the actual cost of the Tenant Improvements and Landlord’s Construction Allowance. In the event any portion of the Landlord’s Construction Allowance remains outstanding and has not otherwise lapsed or expired and Landlord sells the Project to an unaffiliated third party entity, then, as of the closing of any such sale, Landlord shall either (i) enter into a mutually agreeable amendment to the Lease in order to provide Tenant with an offset right to the extent Landlord thereafter fails to disburse any such remaining portion of the Landlord’s Construction Allowance following Tenant’s satisfaction of all of the disbursement conditions or (ii) agree to escrow the then remaining balance of the Landlord’s Construction Allowance with a title or escrow company reasonably selected by Landlord pursuant to an escrow agreement that is consistent with the terms and conditions of this Work Letter and Second Amendment (i.e., relating to disbursement conditions and expiration of the Landlord’s Construction Allowance as of the respective Construction Termination Date, except as set forth in Paragraph (g) below).</w:t>
      </w:r>
    </w:p>
    <w:p>
      <w:pPr>
        <w:spacing w:after="0" w:line="184" w:lineRule="exact"/>
        <w:rPr>
          <w:sz w:val="20"/>
          <w:szCs w:val="20"/>
          <w:color w:val="auto"/>
        </w:rPr>
      </w:pPr>
    </w:p>
    <w:p>
      <w:pPr>
        <w:ind w:firstLine="436"/>
        <w:spacing w:after="0" w:line="284" w:lineRule="auto"/>
        <w:tabs>
          <w:tab w:leader="none" w:pos="830"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Preparation and Review of Plans for Tenant Improvements</w:t>
      </w:r>
      <w:r>
        <w:rPr>
          <w:rFonts w:ascii="Arial" w:cs="Arial" w:eastAsia="Arial" w:hAnsi="Arial"/>
          <w:sz w:val="16"/>
          <w:szCs w:val="16"/>
          <w:color w:val="auto"/>
        </w:rPr>
        <w:t>. Tenant has retained a space planner (the “</w:t>
      </w:r>
      <w:r>
        <w:rPr>
          <w:rFonts w:ascii="Arial" w:cs="Arial" w:eastAsia="Arial" w:hAnsi="Arial"/>
          <w:sz w:val="16"/>
          <w:szCs w:val="16"/>
          <w:u w:val="single" w:color="auto"/>
          <w:color w:val="auto"/>
        </w:rPr>
        <w:t>Space Planner</w:t>
      </w:r>
      <w:r>
        <w:rPr>
          <w:rFonts w:ascii="Arial" w:cs="Arial" w:eastAsia="Arial" w:hAnsi="Arial"/>
          <w:sz w:val="16"/>
          <w:szCs w:val="16"/>
          <w:color w:val="auto"/>
        </w:rPr>
        <w:t>”), and the Space Planner has prepared (or will prepare) certain plans, drawings and specifications (the “</w:t>
      </w:r>
      <w:r>
        <w:rPr>
          <w:rFonts w:ascii="Arial" w:cs="Arial" w:eastAsia="Arial" w:hAnsi="Arial"/>
          <w:sz w:val="16"/>
          <w:szCs w:val="16"/>
          <w:u w:val="single" w:color="auto"/>
          <w:color w:val="auto"/>
        </w:rPr>
        <w:t>Temporary Plans</w:t>
      </w:r>
      <w:r>
        <w:rPr>
          <w:rFonts w:ascii="Arial" w:cs="Arial" w:eastAsia="Arial" w:hAnsi="Arial"/>
          <w:sz w:val="16"/>
          <w:szCs w:val="16"/>
          <w:color w:val="auto"/>
        </w:rPr>
        <w:t>”) for the construction of the Tenant Improvements in the Premises to be installed in the Premises by a general contractor selected by Tenant pursuant to this Work Letter. Tenant shall deliver to Space Planner within thirty (30) days after the execution of this Second Amendment, all necessary information required by the Space Planner to complete the Temporary Plans with respect to the Suite 600 Space. Tenant understands that the Tenant Improvements are to be completed in phases with respect to the Suite 400 Space, Suite 500 Space, Suite 600 Space and Suite 900 Space. Except with respect to the Movable Amounts (as defined below), Tenant shall only be permitted to apply the Landlord’s Construction Allowance allocable to each floor of the Premises so to such floor (i.e., Tenant cannot take a portion of the allowance allocable to the Suite 600 Space and apply it to improvements for the Suite 400 Space). As used herein, the term “</w:t>
      </w:r>
      <w:r>
        <w:rPr>
          <w:rFonts w:ascii="Arial" w:cs="Arial" w:eastAsia="Arial" w:hAnsi="Arial"/>
          <w:sz w:val="16"/>
          <w:szCs w:val="16"/>
          <w:u w:val="single" w:color="auto"/>
          <w:color w:val="auto"/>
        </w:rPr>
        <w:t>Movable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Amounts</w:t>
      </w:r>
      <w:r>
        <w:rPr>
          <w:rFonts w:ascii="Arial" w:cs="Arial" w:eastAsia="Arial" w:hAnsi="Arial"/>
          <w:sz w:val="16"/>
          <w:szCs w:val="16"/>
          <w:color w:val="auto"/>
        </w:rPr>
        <w:t>” means (i) up to $875,700.00 out of the Landlord’s Construction Allowance allocable to the Suite 600 Space can be allocated to other suites of the Premises and (ii) up to $199,365.00 out of the Landlord’s Construction Allowance allocable to the Suite 500 Space can be allocated to other suites of the Premises. The plan approval process set forth in this Paragraph (b) shall be applicable with respect to each phase of construction in each of the suites of the Premises. Landlord shall have ten (10) business days after Landlord’s receipt of the proposed Temporary Plans to review the same and notify Tenant in writing of any comments or required changes, or to otherwise give its approval or disapproval of such proposed Temporary Plans. If Landlord fails to give written comments to or approve the Temporary Plans within such ten (10) business day period, then Landlord shall be deemed to have rejected the Temporary Plans as submitted. Tenant shall have ten (10) business days following its receipt of Landlord’s comments and objections to redraw the proposed Temporary Plans in compliance with Landlord’s request and to resubmit the same for Landlord’s final review and approval or comment within ten (10) business days of Landlord’s receipt of such revised plans. Such process shall be repeated twice and if at such time final approval by Landlord of the proposed Temporary Plans has not been obtained, then Landlord shall complete such Temporary Plans, at Tenant’s sole cost and expense, to reflect Landlord’s objections or comments. Once Landlord has approved the Temporary Plans, the approved Temporary Plans shall be thereafter known as the “</w:t>
      </w:r>
      <w:r>
        <w:rPr>
          <w:rFonts w:ascii="Arial" w:cs="Arial" w:eastAsia="Arial" w:hAnsi="Arial"/>
          <w:sz w:val="16"/>
          <w:szCs w:val="16"/>
          <w:u w:val="single" w:color="auto"/>
          <w:color w:val="auto"/>
        </w:rPr>
        <w:t>Final Plans</w:t>
      </w:r>
      <w:r>
        <w:rPr>
          <w:rFonts w:ascii="Arial" w:cs="Arial" w:eastAsia="Arial" w:hAnsi="Arial"/>
          <w:sz w:val="16"/>
          <w:szCs w:val="16"/>
          <w:color w:val="auto"/>
        </w:rPr>
        <w:t>”. The Final Plans shall include the complete and final layout, plans and specifications for the Premises showing all doors, light fixtures, electrical outlets, telephone outlets, wall coverings, plumbing improvements (if any), data systems wiring, floor coverings, wall coverings, painting, any other improvements to the Premises beyond the shell and core improvements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446" w:name="page447"/>
    <w:bookmarkEnd w:id="446"/>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by Landlord and any demolition of existing improvements in the Premises. The improvements shown in the Final Plans shall (i) utilize Landlord’s building standard materials and methods of construction unless otherwise expressly set forth in the Final Plans, (ii) be compatible with the shell and core improvements and the design, construction and equipment of the Premises, and (iii) comply with all applicable laws, rules, regulations, codes and ordinances. Tenant, using the Space Planner, shall prepare or cause to be prepared and submitted the Final Plans, concurrently, and in each case by receipted courier or delivery service, to Landlord’s construction representative (“</w:t>
      </w:r>
      <w:r>
        <w:rPr>
          <w:rFonts w:ascii="Arial" w:cs="Arial" w:eastAsia="Arial" w:hAnsi="Arial"/>
          <w:sz w:val="16"/>
          <w:szCs w:val="16"/>
          <w:u w:val="single" w:color="auto"/>
          <w:color w:val="auto"/>
        </w:rPr>
        <w:t>Landlord’s Construction Representative</w:t>
      </w:r>
      <w:r>
        <w:rPr>
          <w:rFonts w:ascii="Arial" w:cs="Arial" w:eastAsia="Arial" w:hAnsi="Arial"/>
          <w:sz w:val="16"/>
          <w:szCs w:val="16"/>
          <w:color w:val="auto"/>
        </w:rPr>
        <w:t>”), and Landlord’s offices for Landlord’s review and approval, which shall be consistent with the description of the Tenant Improvements set forth in the Temporary Plans.</w:t>
      </w:r>
    </w:p>
    <w:p>
      <w:pPr>
        <w:spacing w:after="0" w:line="164"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Each set of proposed Final Plans furnished by Tenant shall include at least two (2) sets of prints. The Final Plans shall be compatible with the design, construction, and equipment of the Building, and shall be capable of logical measurement and construction. Unless Landlord shall otherwise agree in writing, the Final Plans shall be signed/stamped by the Space Planner, and shall include (to the extent relevant or applicable) such additional plans reasonably requested by Landlord related to the Tenant Improvements, including, without limitation, any and all additional plans related to Tenant’s specific use of the Premises, or as may be required by local city ordinance or building code.</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Tenant shall submit all Final Plans concurrently to Landlord’s construction representative and offices, as designated above, for Landlord’s review and approval. Landlord shall have ten (10) business days after Landlord’s receipt of the proposed Final Plans to review the same and notify Tenant in writing of any comments or required changes, or to otherwise give its approval or disapproval of such proposed Final Plans. If Landlord fails to give written comments to or approve the Final Plans within such ten (10) business day period, then Landlord shall be deemed to have rejected the Final Plans as submitted. Tenant shall have ten (10) business days following its receipt of Landlord’s comments and objections to redraw the proposed Final Plans in compliance with Landlord’s request and to resubmit the same for Landlord’s final review and approval or comment within ten (10) business days of Landlord’s receipt of such revised plans. Such process shall be repeated as necessary until final approval by Landlord of the proposed Final Plans has been obtained. Landlord may at any time by written notice given in accordance with the notice provisions of the Lease change the name and/or address of the designated Landlord’s construction representative to receive plans delivered by Tenant to Landlord. In the event that Tenant disagrees with any of the changes to the proposed Final Plans required by Landlord, then Landlord and Tenant shall consult with respect thereto and each party shall use all reasonable efforts to promptly resolve any disputed elements of such proposed Final Plans. If such Final Plans are not resolved by Landlord and Tenant, then Tenant shall accept Landlord’s final changes to the proposed Final Plans. For purposes hereof, “business days” shall be all calendar days except Saturdays and Sundays and holidays observed by national banks in the State in which the Premises are situated.</w:t>
      </w:r>
    </w:p>
    <w:p>
      <w:pPr>
        <w:spacing w:after="0" w:line="17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Notwithstanding the preceding provisions of this Paragraph (b), under no circumstances whatsoever shall (i) any combustible materials be utilized above finished ceiling or in any concealed space, (ii) any structural load, temporary or permanent, be placed or exerted on any part of the Building without the prior written approval of Landlord, or (iii) any holes be cut or drilled in any part of the roof or other portion of the Building shell without the prior written approval of Landlord.</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the event that Tenant proposes any changes to the Final Plans (or any portion thereof) after the same have been approved by Landlord, Landlord shall not unreasonably withhold its consent to any such changes, provided the changes do not, in Landlord’s reasonable opinion, adversely affect the Building structure, systems, or equipment, or the external appearance of the Premises.</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As soon as the Final Plans (or a portion thereof sufficient to permit commencement of construction or installation of the Tenant Improvements, if Tenant elects to proceed with a “fast track” construction) are mutually agreed upon, Tenant shall use diligent efforts to obtain all required permits, authorizations, and licenses from appropriate governmental authorities for construction of the Tenant Improvements (or such portion thereof, as applicable). Tenant shall be solely responsible for obtaining any business or other license or permit required for the conduct of its business at the Premises.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0"/>
          </w:cols>
          <w:pgMar w:left="440" w:top="274" w:right="459" w:bottom="1440" w:gutter="0" w:footer="0" w:header="0"/>
        </w:sectPr>
      </w:pPr>
    </w:p>
    <w:bookmarkStart w:id="447" w:name="page448"/>
    <w:bookmarkEnd w:id="447"/>
    <w:p>
      <w:pPr>
        <w:ind w:left="4" w:right="40" w:firstLine="436"/>
        <w:spacing w:after="0" w:line="284" w:lineRule="auto"/>
        <w:tabs>
          <w:tab w:leader="none" w:pos="824"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Construction of the Tenant Improvements</w:t>
      </w:r>
      <w:r>
        <w:rPr>
          <w:rFonts w:ascii="Arial" w:cs="Arial" w:eastAsia="Arial" w:hAnsi="Arial"/>
          <w:sz w:val="16"/>
          <w:szCs w:val="16"/>
          <w:color w:val="auto"/>
        </w:rPr>
        <w:t>. Construction or installation of the Tenant Improvements shall be performed by a licensed general contractor or contractors selected by Tenant and approved by Landlord, such approval not to be unreasonably withheld or delayed (the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Contractor</w:t>
      </w:r>
      <w:r>
        <w:rPr>
          <w:rFonts w:ascii="Arial" w:cs="Arial" w:eastAsia="Arial" w:hAnsi="Arial"/>
          <w:sz w:val="16"/>
          <w:szCs w:val="16"/>
          <w:color w:val="auto"/>
        </w:rPr>
        <w:t xml:space="preserve">,” whether one or more), pursuant to a written construction contract negotiated and entered into by and between the Tenant’s Contractor and Tenant and approved by Landlord. Each such contract shall (i) obligate Tenant’s Contractor to comply with all reasonable rules and regulations of Landlord relating to construction activities in the Building, (ii) name Landlord as an additional indemnitee under the provisions of the contract whereby the Tenant’s Contractor holds Tenant harmless from and against any and all claims, damages, losses, liabilities and expenses arising out of or resulting from the performance of such work, (iii) name Landlord as a beneficiary of (and a party entitled to enforce) all of the warranties of the Tenant’s Contractor with respect to the work performed thereunder and the obligation of the Tenant’s Contractor to replace defective materials and correct defective workmanship for a period of not less than one (1) year following final completion of the work under such contract, (iv) evidence the agreement of the Tenant’s Contractor that the provisions of the Lease shall control over the provisions of the contract with respect to distribution or use of insurance proceeds, in the event of a casualty during construction, and (v) evidence the waiver and release by the Tenant’s Contractor of any lien or right to assert a lien on all or any portion of the fee estate of Landlord in and to the Building as a result of the work performed or to be performed thereunder (and obligating the Tenant’s Contractor to include a substantially similar release and waiver provision in all subcontracts and purchase orders entered under or pursuant to the contract). Notwithstanding anything to the contrary, union labor shall not be required to be used for construction of the Tenant Improvements; provided, however, Landlord shall be permitted to withhold its consent to a contractor proposed to be utilized by Tenant to the extent such contractor would create a labor dispute at the Building or Project that could impair or affect the Landlord’s ability to operate the Building or otherwise provide the services it is required to provide to its tenants. In the event there is any labor dispute as a result of Tenant’s contractor and such labor dispute is impairing or affecting Landlord’s ability to operate the Building or otherwise provide the services it is required to provide to its tenants, then Tenant shall immediately take such actions as may be required in order to cause such labor dispute to cease. Tenant and its contractors shall be required to comply with the constructions rules and regulations set forth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(and the Tenant Improvement shall be required to incorporate all design elements set forth in such </w:t>
      </w:r>
      <w:r>
        <w:rPr>
          <w:rFonts w:ascii="Arial" w:cs="Arial" w:eastAsia="Arial" w:hAnsi="Arial"/>
          <w:sz w:val="16"/>
          <w:szCs w:val="16"/>
          <w:u w:val="single" w:color="auto"/>
          <w:color w:val="auto"/>
        </w:rPr>
        <w:t>Exhibit B-1</w:t>
      </w:r>
      <w:r>
        <w:rPr>
          <w:rFonts w:ascii="Arial" w:cs="Arial" w:eastAsia="Arial" w:hAnsi="Arial"/>
          <w:sz w:val="16"/>
          <w:szCs w:val="16"/>
          <w:color w:val="auto"/>
        </w:rPr>
        <w:t>).</w:t>
      </w:r>
    </w:p>
    <w:p>
      <w:pPr>
        <w:spacing w:after="0" w:line="18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Tenant acknowledges and understands that all roof penetrations involved in the construction of the Tenant Improvements must be performed by the Landlord’s Building roofing contractor. All costs, fees and expenses incurred with such contractor in performing such work shall be a cost of the Tenant Improvements (which such cost may be payable out of the Landlord’s Construction Allowance), in accordance with the provisions of this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Tenant or Tenant’s Contractor shall be responsible for all water, gas, electricity, sewer or other utilities used or consumed at the Premises during the construction of the Tenant Improvements.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Tenant specifically agrees to carry, or cause the Tenant’s Contractor to carry, during all such times as the Tenant’s work is being performed,</w:t>
      </w:r>
    </w:p>
    <w:p>
      <w:pPr>
        <w:spacing w:after="0" w:line="35" w:lineRule="exact"/>
        <w:rPr>
          <w:sz w:val="20"/>
          <w:szCs w:val="20"/>
          <w:color w:val="auto"/>
        </w:rPr>
      </w:pPr>
    </w:p>
    <w:p>
      <w:pPr>
        <w:ind w:left="4" w:hanging="4"/>
        <w:spacing w:after="0" w:line="268" w:lineRule="auto"/>
        <w:tabs>
          <w:tab w:leader="none" w:pos="24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builder’s risk completed value insurance on the Tenant Improvements, in an amount not less than the full replacement cost of the Tenant Improvements, (b) a policy of insurance covering commercial general liability, in an amount not less than One Million Dollars ($1,000,000.00), combined single limit for bodily injury and property damage per occurrence (and combined single limit coverage of $2,000,000.00 in the aggregate), and automobile liability coverage (including owned, non-owned and hired vehicles) in an amount not less than One Million Dollars ($1,000,000.00) combined single limit (each person, each accident), and endorsed to show Landlord as an additional insured, and (c) workers’ compensation insurance as required by law, endorsed to show a waiver of subrogation by the insurer to any claim the Tenant’s Contractor may have against Landlord. Tenant shall not commence construction of the Tenant Improvements until Landlord has issued to Tenant a written authorization to proceed with construction after Tenant has delivered to Landlord’s construction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4"/>
          </w:cols>
          <w:pgMar w:left="436" w:top="274" w:right="459" w:bottom="1440" w:gutter="0" w:footer="0" w:header="0"/>
        </w:sectPr>
      </w:pPr>
    </w:p>
    <w:bookmarkStart w:id="448" w:name="page449"/>
    <w:bookmarkEnd w:id="44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 (i) certificates of the insurance policies described above, (ii) copies of all permits required for construction of the Tenant Improvements and a copy of the permitted Final Plans as approved by the appropriate governmental agency, and (iii) a copy of each signed construction contract for the Tenant Improvements (a copy of each subsequently signed contract shall be forwarded to Landlord’s construction representative without request or demand, promptly after execution thereof and prior to the performance of any work thereunder). All of the construction work shall be the responsibility of and supervised by Tenant.</w:t>
      </w:r>
    </w:p>
    <w:p>
      <w:pPr>
        <w:spacing w:after="0" w:line="188" w:lineRule="exact"/>
        <w:rPr>
          <w:sz w:val="20"/>
          <w:szCs w:val="20"/>
          <w:color w:val="auto"/>
        </w:rPr>
      </w:pPr>
    </w:p>
    <w:p>
      <w:pPr>
        <w:ind w:firstLine="436"/>
        <w:spacing w:after="0" w:line="287" w:lineRule="auto"/>
        <w:tabs>
          <w:tab w:leader="none" w:pos="830"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Requirements for Tenant’s Work</w:t>
      </w:r>
      <w:r>
        <w:rPr>
          <w:rFonts w:ascii="Arial" w:cs="Arial" w:eastAsia="Arial" w:hAnsi="Arial"/>
          <w:sz w:val="16"/>
          <w:szCs w:val="16"/>
          <w:color w:val="auto"/>
        </w:rPr>
        <w:t xml:space="preserve">. All of Tenant’s construction with respect to the Premises shall be performed in substantial compliance with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Final Plans therefor previously approved in writing by Landlord (and any changes thereto approved by Landlord as herein provided), and in a good and workmanlike manner, utilizing only new materials. All such work shall be performed by Tenant in strict compliance with all applicable building codes, regulations and all other legal requirements. All materials utilized in the construction of Tenant’s work must be confined to within the Premises. All trash and construction debris not located wholly within the Premises must be removed each day from the Project at the sole cost and expense of Tenant. Landlord shall have the right at all times to monitor the work for compliance with the requirements of this </w:t>
      </w:r>
      <w:r>
        <w:rPr>
          <w:rFonts w:ascii="Arial" w:cs="Arial" w:eastAsia="Arial" w:hAnsi="Arial"/>
          <w:sz w:val="16"/>
          <w:szCs w:val="16"/>
          <w:u w:val="single" w:color="auto"/>
          <w:color w:val="auto"/>
        </w:rPr>
        <w:t>Exhibit B</w:t>
      </w:r>
      <w:r>
        <w:rPr>
          <w:rFonts w:ascii="Arial" w:cs="Arial" w:eastAsia="Arial" w:hAnsi="Arial"/>
          <w:sz w:val="16"/>
          <w:szCs w:val="16"/>
          <w:color w:val="auto"/>
        </w:rPr>
        <w:t>. If Landlord reasonably determines that any such requirements are not being strictly complied with, Landlord may immediately require the cessation of all work being performed in or around the Premises or the Project until such time as Landlord is reasonably satisfied that the applicable requirements will be observed. Any approval given by Landlord with respect to Tenant’s construction or the Temporary Plans or Final Plans therefor, and/or any monitoring of Tenant’s work by Landlord, shall not make Landlord liable or responsible in any way for the condition, quality or function of such matters or constitute any undertaking, warranty or representation by Landlord with respect to any of such matters.</w:t>
      </w:r>
    </w:p>
    <w:p>
      <w:pPr>
        <w:spacing w:after="0" w:line="171" w:lineRule="exact"/>
        <w:rPr>
          <w:rFonts w:ascii="Arial" w:cs="Arial" w:eastAsia="Arial" w:hAnsi="Arial"/>
          <w:sz w:val="16"/>
          <w:szCs w:val="16"/>
          <w:color w:val="auto"/>
        </w:rPr>
      </w:pPr>
    </w:p>
    <w:p>
      <w:pPr>
        <w:ind w:firstLine="436"/>
        <w:spacing w:after="0" w:line="285" w:lineRule="auto"/>
        <w:tabs>
          <w:tab w:leader="none" w:pos="820"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No Liens; Indemnification</w:t>
      </w:r>
      <w:r>
        <w:rPr>
          <w:rFonts w:ascii="Arial" w:cs="Arial" w:eastAsia="Arial" w:hAnsi="Arial"/>
          <w:sz w:val="16"/>
          <w:szCs w:val="16"/>
          <w:color w:val="auto"/>
        </w:rPr>
        <w:t xml:space="preserve">. Tenant shall have no authority to place any lien upon the Premises, or the Building, or any portion thereof or interest therein, nor shall Tenant have any authority in any way to bind Landlord, and any attempt to do so shall be void and of no effect. If, because of any act or omission of Tenant, or Tenant’s Contractor, or any subcontractors or materialmen, any lien, affidavit, charge or order for the payment of money shall be filed against Landlord, the Premises, the Building, or any portion thereof or interest therein, whether or not such lien, affidavit, charge or order is valid or enforceable, Tenant shall, at its sole cost and expense, cause the same to be discharged of record by payment, bonding or otherwise no later than fifteen (15) days after notice to Tenant of the filing thereof, but in any event prior to the foreclosure thereof. With respect to the contract for labor or materials for construction of the Tenant Improvements, Tenant acts as principal and not as the agent of Landlord. Landlord expressly disclaims liability for the cost of labor performed for or supplies or materials furnished to Tenant. Landlord may post one or more “notices of non-responsibility” for Tenant’s work on the Building. No contractor of Tenant is intended to be a third-party beneficiary with respect to the Landlord’s Construction Allowance, or the agreement of Landlord to make such Landlord’s Construction Allowance available for payment of or reimbursement for the costs of construction of the Tenant Improvements. Tenant agrees to indemnify, defend and hold Landlord, the Premises and the Project, harmless from all claims (including all reasonable costs and expenses of defending against such claims) arising from any act or omission of Tenant or Tenant’s agents, employees, contractor, subcontractors, suppliers, materialmen, architects, designers, surveyors, engineers, consultants, laborers, or invitees, or arising from any bodily injury or property damage occurring incident to any of the work to be performed by Tenant or its contractors or subcontractors with respect to the Premises, except to the extent caused by the negligence or willful misconduct of Landlord. Any Default by Tenant under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constitute a default by Tenant under the Lease for all purposes. Additionally, any approval given by Landlord with respect to the Tenant Improvements or the Final Plans and/or any monitoring of the construction of the Tenant Improvements by Landlord shall not make Landlord liable or responsible in any way for the condition, quality or function of such matters or constitute any undertaking, warranty or representation by Landlord with respect to any such matters.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4" w:right="459" w:bottom="1440" w:gutter="0" w:footer="0" w:header="0"/>
        </w:sectPr>
      </w:pPr>
    </w:p>
    <w:bookmarkStart w:id="449" w:name="page450"/>
    <w:bookmarkEnd w:id="449"/>
    <w:p>
      <w:pPr>
        <w:ind w:right="120" w:firstLine="436"/>
        <w:spacing w:after="0" w:line="272" w:lineRule="auto"/>
        <w:tabs>
          <w:tab w:leader="none" w:pos="800"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Substantial Completion</w:t>
      </w:r>
      <w:r>
        <w:rPr>
          <w:rFonts w:ascii="Arial" w:cs="Arial" w:eastAsia="Arial" w:hAnsi="Arial"/>
          <w:sz w:val="17"/>
          <w:szCs w:val="17"/>
          <w:color w:val="auto"/>
        </w:rPr>
        <w:t>. “</w:t>
      </w:r>
      <w:r>
        <w:rPr>
          <w:rFonts w:ascii="Arial" w:cs="Arial" w:eastAsia="Arial" w:hAnsi="Arial"/>
          <w:sz w:val="17"/>
          <w:szCs w:val="17"/>
          <w:u w:val="single" w:color="auto"/>
          <w:color w:val="auto"/>
        </w:rPr>
        <w:t>Substantial Completion</w:t>
      </w:r>
      <w:r>
        <w:rPr>
          <w:rFonts w:ascii="Arial" w:cs="Arial" w:eastAsia="Arial" w:hAnsi="Arial"/>
          <w:sz w:val="17"/>
          <w:szCs w:val="17"/>
          <w:color w:val="auto"/>
        </w:rPr>
        <w:t>” (or any grammatical variant thereof) of construction of the Tenant Improvements shall be defined as the later of (i) the date upon which Landlord’s Construction Representative (or other consultant engaged by Landlord) determines that the Tenant Improvements have been substantially completed in accordance with the Final Plans, and (ii) the date upon which a temporary certificate of occupancy (or its equivalent) is issued for the Premises by the appropriate governmental authority. After the completion of the Tenant Improvements, Tenant shall, within ten (10) business days of demand, execute and deliver to Landlord a letter of acceptance of improvements performed on the Premises. The failure of Tenant to take possession of or to occupy the Premises shall not serve to relieve Tenant of obligations arising on the Commencement Date or delay the payment of Rent by Tenant.</w:t>
      </w:r>
    </w:p>
    <w:p>
      <w:pPr>
        <w:spacing w:after="0" w:line="285" w:lineRule="exact"/>
        <w:rPr>
          <w:rFonts w:ascii="Arial" w:cs="Arial" w:eastAsia="Arial" w:hAnsi="Arial"/>
          <w:sz w:val="17"/>
          <w:szCs w:val="17"/>
          <w:color w:val="auto"/>
        </w:rPr>
      </w:pPr>
    </w:p>
    <w:p>
      <w:pPr>
        <w:ind w:left="820" w:hanging="384"/>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Excess Allowance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7" w:lineRule="auto"/>
        <w:tabs>
          <w:tab w:leader="none" w:pos="1213"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Suite 500 Space</w:t>
      </w:r>
      <w:r>
        <w:rPr>
          <w:rFonts w:ascii="Arial" w:cs="Arial" w:eastAsia="Arial" w:hAnsi="Arial"/>
          <w:sz w:val="17"/>
          <w:szCs w:val="17"/>
          <w:color w:val="auto"/>
        </w:rPr>
        <w:t>. Notwithstanding anything herein to the contrary, if the total cost of the Tenant Improvements with respect to the Suite 500 Space are less than the total amount of the Landlord’s Construction Allowance allocable to such Suite 500 Space (the difference between the cost of the Tenant Improvements to the Suite 500 Space and the cost of the Landlord’s Construction Allowance allocable to the Suite 500 Space being referred to herein as the “</w:t>
      </w:r>
      <w:r>
        <w:rPr>
          <w:rFonts w:ascii="Arial" w:cs="Arial" w:eastAsia="Arial" w:hAnsi="Arial"/>
          <w:sz w:val="17"/>
          <w:szCs w:val="17"/>
          <w:u w:val="single" w:color="auto"/>
          <w:color w:val="auto"/>
        </w:rPr>
        <w:t>Excess Suite 500 Allowance</w:t>
      </w:r>
      <w:r>
        <w:rPr>
          <w:rFonts w:ascii="Arial" w:cs="Arial" w:eastAsia="Arial" w:hAnsi="Arial"/>
          <w:sz w:val="17"/>
          <w:szCs w:val="17"/>
          <w:color w:val="auto"/>
        </w:rPr>
        <w:t>”), then Landlord agrees that, upon Tenant’s written request and subject to the further terms of this Paragraph (g)(i), Tenant shall have the right to have up to (but not to exceed) $264,585.00 out of such Excess Suite 500 Allowance disbursed to Tenant as a reimbursement of the actual out-of-pocket expenses paid by Tenant to third parties in connection with Tenant’s move to the Premises, including space planning and design, built-in and movable furniture, signage costs and the installation of Tenant’s wiring and cabling in the Suite 500 Space and Suite 600 Space (the “</w:t>
      </w:r>
      <w:r>
        <w:rPr>
          <w:rFonts w:ascii="Arial" w:cs="Arial" w:eastAsia="Arial" w:hAnsi="Arial"/>
          <w:sz w:val="17"/>
          <w:szCs w:val="17"/>
          <w:u w:val="single" w:color="auto"/>
          <w:color w:val="auto"/>
        </w:rPr>
        <w:t>Moving Reimbursement</w:t>
      </w:r>
      <w:r>
        <w:rPr>
          <w:rFonts w:ascii="Arial" w:cs="Arial" w:eastAsia="Arial" w:hAnsi="Arial"/>
          <w:sz w:val="17"/>
          <w:szCs w:val="17"/>
          <w:color w:val="auto"/>
        </w:rPr>
        <w:t xml:space="preserve">”); provided, however, in no event shall the total amount advanced by Landlord to Tenant for the Moving Reimbursement exceed the lesser of the amount of the Excess Suite 500 Allowance or $264,585.00. In the event Tenant desires any such reimbursement, Tenant shall notify Landlord of the amounts that Tenant wants reimbursed (and such request shall include actual copies of paid invoices reflecting amounts Tenant desires to have reimbursed) by the Construction Termination Date applicable to the Suite 500 Space, and, notwithstanding anything herein to the contrary, if Tenant fails to so notify Landlord in writing of such amounts Tenant desires to have reimbursed by the Construction Termination Date applicable to the Suite 500 Space, Tenant shall not be entitled to any such reimbursement and all such Excess Suite 500 Allowance shall belong to Landlord and Tenant shall have no rights thereto other than apply such Excess Suite 500 Allowance amounts to the installation of the FANWALL system as contemplated in </w:t>
      </w:r>
      <w:r>
        <w:rPr>
          <w:rFonts w:ascii="Arial" w:cs="Arial" w:eastAsia="Arial" w:hAnsi="Arial"/>
          <w:sz w:val="17"/>
          <w:szCs w:val="17"/>
          <w:u w:val="single" w:color="auto"/>
          <w:color w:val="auto"/>
        </w:rPr>
        <w:t>Paragraph 11</w:t>
      </w:r>
      <w:r>
        <w:rPr>
          <w:rFonts w:ascii="Arial" w:cs="Arial" w:eastAsia="Arial" w:hAnsi="Arial"/>
          <w:sz w:val="17"/>
          <w:szCs w:val="17"/>
          <w:color w:val="auto"/>
        </w:rPr>
        <w:t xml:space="preserve"> (i.e., if there is any Excess Suite 500 Allowance that has not been utilized as of the Construction Termination Date allocable to the Suite 500 Space, then Tenant can only access such Excess Suite 500 Allowance in order to pay for any costs related to the FANWALL system being installed pursuant to the terms of </w:t>
      </w:r>
      <w:r>
        <w:rPr>
          <w:rFonts w:ascii="Arial" w:cs="Arial" w:eastAsia="Arial" w:hAnsi="Arial"/>
          <w:sz w:val="17"/>
          <w:szCs w:val="17"/>
          <w:u w:val="single" w:color="auto"/>
          <w:color w:val="auto"/>
        </w:rPr>
        <w:t>Paragraph 11</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440" w:right="40" w:firstLine="419"/>
        <w:spacing w:after="0" w:line="269" w:lineRule="auto"/>
        <w:tabs>
          <w:tab w:leader="none" w:pos="1263"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Suite 600 Space</w:t>
      </w:r>
      <w:r>
        <w:rPr>
          <w:rFonts w:ascii="Arial" w:cs="Arial" w:eastAsia="Arial" w:hAnsi="Arial"/>
          <w:sz w:val="17"/>
          <w:szCs w:val="17"/>
          <w:color w:val="auto"/>
        </w:rPr>
        <w:t>. Notwithstanding anything herein to the contrary, if the total cost of the Tenant Improvements with respect to the Suite 600 Space are less than the total amount of the Landlord’s Construction Allowance allocable to such Suite 600 Space (the difference between the cost of the Tenant Improvements to the Suite 600 Space and the cost of the Landlord’s Construction Allowance allocable to the Suite 600 Space being referred to herein as the “</w:t>
      </w:r>
      <w:r>
        <w:rPr>
          <w:rFonts w:ascii="Arial" w:cs="Arial" w:eastAsia="Arial" w:hAnsi="Arial"/>
          <w:sz w:val="17"/>
          <w:szCs w:val="17"/>
          <w:u w:val="single" w:color="auto"/>
          <w:color w:val="auto"/>
        </w:rPr>
        <w:t>Excess Suite 600 Allowance</w:t>
      </w:r>
      <w:r>
        <w:rPr>
          <w:rFonts w:ascii="Arial" w:cs="Arial" w:eastAsia="Arial" w:hAnsi="Arial"/>
          <w:sz w:val="17"/>
          <w:szCs w:val="17"/>
          <w:color w:val="auto"/>
        </w:rPr>
        <w:t xml:space="preserve">”), then Landlord agrees that, upon Tenant’s written request and subject to the further terms of this </w:t>
      </w:r>
      <w:r>
        <w:rPr>
          <w:rFonts w:ascii="Arial" w:cs="Arial" w:eastAsia="Arial" w:hAnsi="Arial"/>
          <w:sz w:val="17"/>
          <w:szCs w:val="17"/>
          <w:u w:val="single" w:color="auto"/>
          <w:color w:val="auto"/>
        </w:rPr>
        <w:t>Paragraph (g)(ii)</w:t>
      </w:r>
      <w:r>
        <w:rPr>
          <w:rFonts w:ascii="Arial" w:cs="Arial" w:eastAsia="Arial" w:hAnsi="Arial"/>
          <w:sz w:val="17"/>
          <w:szCs w:val="17"/>
          <w:color w:val="auto"/>
        </w:rPr>
        <w:t>, Tenant shall have the right to have up to (but not to exceed) $262,710.00 out of such Excess Suite 600 Allowance disbursed to Tenant as a reimbursement of the actual out-of-pocket expenses paid by Tenant to third parties in connection with Tenant’s move to the Premises, including space planning and design, built-in and movable furniture, signage costs and the installation of Tenant’s wiring and cabling in the Suite 500 Space and Suite 600 Space (the “</w:t>
      </w:r>
      <w:r>
        <w:rPr>
          <w:rFonts w:ascii="Arial" w:cs="Arial" w:eastAsia="Arial" w:hAnsi="Arial"/>
          <w:sz w:val="17"/>
          <w:szCs w:val="17"/>
          <w:u w:val="single" w:color="auto"/>
          <w:color w:val="auto"/>
        </w:rPr>
        <w:t>Moving Reimbursement</w:t>
      </w:r>
      <w:r>
        <w:rPr>
          <w:rFonts w:ascii="Arial" w:cs="Arial" w:eastAsia="Arial" w:hAnsi="Arial"/>
          <w:sz w:val="17"/>
          <w:szCs w:val="17"/>
          <w:color w:val="auto"/>
        </w:rPr>
        <w:t>”); provided, however, in no event shall the total amount advanced by Landlord to Tenant for the Moving Reimbursement exceed the lesser of the amount of the Excess Suite 600 Allowance or $262,710.00. In the event Tenant desires any such reimbursement, Tenant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20"/>
          </w:cols>
          <w:pgMar w:left="440" w:top="274" w:right="439" w:bottom="1440" w:gutter="0" w:footer="0" w:header="0"/>
        </w:sectPr>
      </w:pPr>
    </w:p>
    <w:bookmarkStart w:id="450" w:name="page451"/>
    <w:bookmarkEnd w:id="45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notify Landlord of the amounts that Tenant wants reimbursed (and such request shall include actual copies of paid invoices reflecting amounts Tenant desires to have reimbursed) by the Construction Termination Date applicable to the Suite 600 Space, and, notwithstanding anything herein to the contrary, if Tenant fails to so notify Landlord in writing of such amounts Tenant desires to have reimbursed by the Construction Termination Date applicable to the Suite 600 Space, Tenant shall not be entitled to any such reimbursement and all such Excess Suite 600 Allowance shall belong to Landlord and Tenant shall have no rights thereto other than apply such Excess Suite 600 Allowance amounts to the installation of the FANWALL system as contemplated in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(i.e., if there is any Excess Suite 600 Allowance that has not been utilized as of the Construction Termination Date allocable to the Suite 600 Space, then Tenant can only access such Excess Suite 600 Allowance in order to pay for any costs related to the FANWALL system being installed pursuant to the terms of </w:t>
      </w:r>
      <w:r>
        <w:rPr>
          <w:rFonts w:ascii="Arial" w:cs="Arial" w:eastAsia="Arial" w:hAnsi="Arial"/>
          <w:sz w:val="16"/>
          <w:szCs w:val="16"/>
          <w:u w:val="single" w:color="auto"/>
          <w:color w:val="auto"/>
        </w:rPr>
        <w:t>Paragraph 11</w:t>
      </w:r>
      <w:r>
        <w:rPr>
          <w:rFonts w:ascii="Arial" w:cs="Arial" w:eastAsia="Arial" w:hAnsi="Arial"/>
          <w:sz w:val="16"/>
          <w:szCs w:val="16"/>
          <w:color w:val="auto"/>
        </w:rPr>
        <w: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560"/>
          </w:cols>
          <w:pgMar w:left="880" w:top="274" w:right="459" w:bottom="1440" w:gutter="0" w:footer="0" w:header="0"/>
        </w:sectPr>
      </w:pPr>
    </w:p>
    <w:bookmarkStart w:id="451" w:name="page452"/>
    <w:bookmarkEnd w:id="4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Renewal Option at Market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Construction Rules and Regulations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All Tenants and Contractors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 KBSIII ALMADEN FINANCIAL PLAZA,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5/15/2018</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KBS Construction Rules and Regulations</w:t>
      </w:r>
      <w:r>
        <w:rPr>
          <w:rFonts w:ascii="Arial" w:cs="Arial" w:eastAsia="Arial" w:hAnsi="Arial"/>
          <w:sz w:val="18"/>
          <w:szCs w:val="18"/>
          <w:color w:val="auto"/>
        </w:rPr>
        <w:t xml:space="preserve"> as provided for construction projects 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Almaden - 1, 55 &amp;99 Almaden Blvd., San Jose, CA. 95113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rules and regulations shall apply for projects at </w:t>
      </w:r>
      <w:r>
        <w:rPr>
          <w:rFonts w:ascii="Arial" w:cs="Arial" w:eastAsia="Arial" w:hAnsi="Arial"/>
          <w:sz w:val="18"/>
          <w:szCs w:val="18"/>
          <w:b w:val="1"/>
          <w:bCs w:val="1"/>
          <w:color w:val="auto"/>
        </w:rPr>
        <w:t>The Almaden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 Construction Release</w:t>
      </w:r>
      <w:r>
        <w:rPr>
          <w:rFonts w:ascii="Arial" w:cs="Arial" w:eastAsia="Arial" w:hAnsi="Arial"/>
          <w:sz w:val="18"/>
          <w:szCs w:val="18"/>
          <w:color w:val="auto"/>
        </w:rPr>
        <w:t>:</w:t>
      </w:r>
    </w:p>
    <w:p>
      <w:pPr>
        <w:spacing w:after="0" w:line="11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Construction Release</w:t>
      </w:r>
      <w:r>
        <w:rPr>
          <w:rFonts w:ascii="Arial" w:cs="Arial" w:eastAsia="Arial" w:hAnsi="Arial"/>
          <w:sz w:val="18"/>
          <w:szCs w:val="18"/>
          <w:color w:val="auto"/>
        </w:rPr>
        <w:t xml:space="preserve"> form signed by the Property Manager is required before construction begins. This is a check-off form to ensure that all required documentation has been provided.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Display of Building Permits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Tenant and/or General Contractor must post all building permits on a wall of the construction site prior to commencement of work. Permit shall remain posted until final inspections are completed.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Directory List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Provide numbered list of contractors and subcontractors</w:t>
      </w:r>
      <w:r>
        <w:rPr>
          <w:rFonts w:ascii="Arial" w:cs="Arial" w:eastAsia="Arial" w:hAnsi="Arial"/>
          <w:sz w:val="18"/>
          <w:szCs w:val="18"/>
          <w:color w:val="auto"/>
        </w:rPr>
        <w:t xml:space="preserve"> to be involved with the project, with the contact names and telephone numbers of key personnel. Contractor will also be required to provide a numbered badge to all personnel on the project, showing Contractor’s Logo and worker’s name and trade. These must be worn at all times while working in the building - no exceptions.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 Drawing Approval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work shall start until Contractor/Tenant has submitted proper drawings and received written approval from KBS project manager and or property manager.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Pre-Construction Building Inspection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commencement of work Contractor/Tenant shall inspect building conditions outside of work area (paths of travel, elevators, electrical/mechanical rooms, etc.) to verify existing building conditions. When final inspections are completed Tenant shall notify the Property Management Office and a post-construction walk thru will be conducted and any construction related damages to existing building areas/finishes will be determined at that time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0980"/>
          </w:cols>
          <w:pgMar w:left="440" w:top="270" w:right="47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Hours of Operation: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building is typically staffed with engineers between 7:00 AM and 5:00 PM, Monday through Friday. No engineers are specifically on duty at the building on Weekends and Holidays. Overtime charge for KBS to provide an engineer during Contractor’s after-hours work will be billed accordingly to union rates.</w:t>
      </w:r>
    </w:p>
    <w:p>
      <w:pPr>
        <w:spacing w:after="0" w:line="180"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Work requiring the disabling of fire alarm systems must be finished before 2:00 PM</w:t>
      </w:r>
      <w:r>
        <w:rPr>
          <w:rFonts w:ascii="Arial" w:cs="Arial" w:eastAsia="Arial" w:hAnsi="Arial"/>
          <w:sz w:val="16"/>
          <w:szCs w:val="16"/>
          <w:color w:val="auto"/>
        </w:rPr>
        <w:t>. This is to allow sufficient time to restore the systems to</w:t>
      </w:r>
      <w:r>
        <w:rPr>
          <w:rFonts w:ascii="Arial" w:cs="Arial" w:eastAsia="Arial" w:hAnsi="Arial"/>
          <w:sz w:val="16"/>
          <w:szCs w:val="16"/>
          <w:b w:val="1"/>
          <w:bCs w:val="1"/>
          <w:color w:val="auto"/>
        </w:rPr>
        <w:t xml:space="preserve"> </w:t>
      </w:r>
      <w:r>
        <w:rPr>
          <w:rFonts w:ascii="Arial" w:cs="Arial" w:eastAsia="Arial" w:hAnsi="Arial"/>
          <w:sz w:val="16"/>
          <w:szCs w:val="16"/>
          <w:color w:val="auto"/>
        </w:rPr>
        <w:t>normal operation, and to resume monitoring by the offsite security contractor before key engineering personnel leave for the day.</w:t>
      </w:r>
    </w:p>
    <w:p>
      <w:pPr>
        <w:spacing w:after="0" w:line="12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All planned sprinkler work will be conducted only as arranged with the Building Engineer on duty. No sprinkler valves are to be closed or opened until the OK is given by the Building Engineer. From time to time there may also be limits on the times during which sprinkler work may be performed. Provide a minimum of two business days advance notice for any planned sprinkler work.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Contractor Parking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Landlord shall designate contractor parking areas, if available. Parking may be limited. Contractor parking is prohibited in and around the loading dock area.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Roof Penetrations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Landlord must approve all roof top equipment installations. All penetrations must be cut, flashed and sealed by the roof warranty holder or other vendor approved by property manager. Cost of such work shall be the sole responsibility of the Tenant/General Contractor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Structural Slab or Wall Penetrations: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Some projects may require independent review by the Owner’s preferred Structural Consultant, who maintains a record set of drawings. Typical projects requiring structural review would include slab penetrations or installations where weight/slab loading may be an issue. Costs associated with such special review requirements may be billed to the tenant. Add extra time for any additional reviews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Nishkian Menninger Structural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 Folsom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The Contractor shall use whatever means necessary to avoid damaging electrical conduit buried in walls or slabs. Non-destructive GPR (ground penetrating radar) technology is now available to scan concrete structures. Any and all damages to buried conduit are to be repaired quickly, and at the Contractor’s expense. </w:t>
      </w:r>
      <w:r>
        <w:rPr>
          <w:rFonts w:ascii="Arial" w:cs="Arial" w:eastAsia="Arial" w:hAnsi="Arial"/>
          <w:sz w:val="17"/>
          <w:szCs w:val="17"/>
          <w:b w:val="1"/>
          <w:bCs w:val="1"/>
          <w:color w:val="auto"/>
        </w:rPr>
        <w:t>Life Safety Systems shall be restored by the building’s approved Life Safety Contractor.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Roof work is to be completed by Prospect Waterproofing Company.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GoGreen Roofing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3315 Woodward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Openings and/or damaged areas shall be patched with non-shrink grout. In areas subject to moisture such as toilet rooms, kitchens, etc., the opening shall be filled with expanding grout, which will completely seal the opening from moisture penetration, and a liquid-tight approved Fire Stop Compound shall be applied as per the manufacturer’s standard detail.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00"/>
          </w:cols>
          <w:pgMar w:left="440" w:top="270" w:right="4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Facilities: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use the restrooms designated by the Property Management Office. The General Contractor shall be responsible for cleaning and maintaining restroom designated by Property Management.</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Contractor and its employees shall not litter or abuse the restrooms. If it is determined by the Property Manager that the Contractor is not utilizing the building restrooms in the manner intended, or that the restrooms are being abused, the Contractor will be required to provide outdoor portable toilet facilities in a location determined by the Property Manager, and maintain same at the Contractor’s sole expense.</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Contractor and its employees are not to congregate or eat in public lobbies, corridors or at the front entrance of the building. No eating or open containers are allowed in the elevators, public hallways or in any carpeted area in the building. No alcohol is permitted on the premises at any time. Radios are allowed only with in the construction area but must be kept at a reasonable level or at landlord’s sole discretion may be prohibited from the job 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Deliveries: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deliveries must be coordinated with the Property Management Office. Deliveries must occur afterhours, before 7AM and after 6PM Monday through Friday, or on weekends. If the scope requires an engineer to be present for the delivery, Contractors will be subject to an engineering charge.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Smoking:</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Smoking is not permitted anywhere within the building. Contractor smoking outdoors shall be limited to those areas designated by the Property Management Office.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Wooden ladders are not allowed on construction projects. Only OSHA - approved fiberglass ladders are permitted. The building does not lend ladders to Contractors due to insurance regulations. The Owner will not be responsible for injuries or damages that may occur due to the Contractor’s unauthorized use of ladders.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Contractor must maintain a copy of all product MSDS sheets used on the project on site, per OSHA HazCom Standards.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areas of fire egress must be maintained at all times. Under no circumstances should any equipment or materials be stored in a fire egress path. This includes stairwells and fire exit corridors.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combustible materials shall be stored in any mechanical, electrical, or telephone rooms. A staging area must be set up on site for all equipment and material storage and agreed upon by Property Management and Tenant.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trash or foreign objects must be removed from above the ceiling prior to ceiling close-in for the safety of building personnel working above the ceiling. Superintendent shall verify the ceiling is “clean” prior to closing out the job.</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All lighting fixtures, electrical wiring, piping, data cabling, and any other equipment installed above the ceiling must be properly supported per building codes. Under no circumstances shall anything but ceiling panels be supported solely by the ceiling grid or any wiring or cabling lay resting on the grid. Superintendent shall verify the ceiling is “clean” prior to closing out the job.</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000"/>
          </w:cols>
          <w:pgMar w:left="440" w:top="270" w:right="459" w:bottom="1440" w:gutter="0" w:footer="0" w:header="0"/>
        </w:sectPr>
      </w:pPr>
    </w:p>
    <w:bookmarkStart w:id="454" w:name="page455"/>
    <w:bookmarkEnd w:id="45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electrical switch or circuit breaker turned off for the purposes of working on a downstream circuit must be locked and tagged according to OSHA guidelines. Any live exposed electrical component/s shall be clearly marked with a warning sign, such as “Danger, Exposed Live Electrical Components. Authorized Personnel Only”, and proper protection shall be put up to protect personnel from entering proximity of electrical hazard. </w:t>
      </w:r>
      <w:r>
        <w:rPr>
          <w:rFonts w:ascii="Arial" w:cs="Arial" w:eastAsia="Arial" w:hAnsi="Arial"/>
          <w:sz w:val="16"/>
          <w:szCs w:val="16"/>
          <w:u w:val="single" w:color="auto"/>
          <w:color w:val="auto"/>
        </w:rPr>
        <w:t>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circumstances</w:t>
      </w:r>
      <w:r>
        <w:rPr>
          <w:rFonts w:ascii="Arial" w:cs="Arial" w:eastAsia="Arial" w:hAnsi="Arial"/>
          <w:sz w:val="16"/>
          <w:szCs w:val="16"/>
          <w:color w:val="auto"/>
        </w:rPr>
        <w:t xml:space="preserve"> shall an electrical closet be left propped in the open position while unattended unless the entire floor is under renovation and approved by Property Management, no other exceptions! Superintendent on site will be responsible for enforcing this policy with electrical contractors.</w:t>
      </w:r>
    </w:p>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“Hot Work” must first be approved by Building Engineer and “Hot Work” procedures must be followed per Building Engineer and FM Global standards.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Protection shall pertain to, but not be limited to, the following concerns: noise, fumes, odors, dust, moisture, vibration, static electricity around integrated circuits, and other potentially harmful elements and actions.</w:t>
      </w:r>
    </w:p>
    <w:p>
      <w:pPr>
        <w:spacing w:after="0" w:line="17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All window blinds and tint are to be checked, and any damage or operational problems brought to the attention of the Project Manager or Senior Property Manager, before the project commences. All window glass is to be inspected prior to work commencement, and any broken glass shall be brought to the attention of the KBS Project Manager and the Property Manager. Any broken glass which occurs after project commencement is the responsibility of the Contractor, and shall be replaced promptly and at the expense of the Contractor. Public areas and corridors are to be protected by non-slip runners and walk off mats from the elevator (or entrance) to the entrance door of the suite under construction and in all areas of work.</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designated freight elevator shall be used for all deliveries to the building and must be properly protected including floors, walls, ceilings, side frames, and common area floors and walls with plywood or Masonite. Protection must be approved by the on-site Building Engineer prior to beginning work. Contractor/Tenant will be held liable for any damages to the building resulting from improper protection.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Return air ducts and return air shaft openings shall be covered with filter material throughout the construction period, and the filters are to be checked and changed on a regular basis as required to maintain return air flow from the space and avoid space pressurization. The Mechanical Contractor shall reduce flow on the supply air systems to the extent necessary to create a slightly negative pressure within the construction area, to prevent the migration of dust.</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Temporary partitions and polyethylene plastic curtains are to be installed as necessary. The Mechanical Contractor shall reduce flow on the supply air systems to the extent necessary to create a slightly negative pressure within the construction area, to prevent the migration of dust.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existing carpeting to remain will be protected with matting, drop cloths, or similar covering.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fire alarm devices and wiring shall be identified, bagged and protected prior to any demolition work so as to prevent damage and false alarms.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pneumatic thermostats and related temperature controls shall be covered with plastic bags and tied up with their respective lines to the ceiling, taking care not to create leaks - notify the Building Engineer immediately if a leak occurs.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000"/>
          </w:cols>
          <w:pgMar w:left="440" w:top="274" w:right="45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Fire Alarm System Protection:</w:t>
      </w:r>
    </w:p>
    <w:p>
      <w:pPr>
        <w:spacing w:after="0" w:line="121"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The Contractor shall be fully responsible for the payment of any fines levied by Santa Clara County Fire Marshal, and any and all other such monetary damages which may result from the failure of the Contractor’s employees and/or subcontractors to properly guard the fire alarm system from accidental alarm activation. It should be noted that the local Authority having jurisdiction could determine that such fines are directly attributable to an individual or responsible person, who in the Authority’s judgment could have or should have prevented the alarm. In no instance will the Owner be responsible for the payment of fines/damages that result from the Contractor’s negligence in this regard.</w:t>
      </w:r>
    </w:p>
    <w:p>
      <w:pPr>
        <w:spacing w:after="0" w:line="17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 xml:space="preserve">Deactivation of the fire alarm system must be arranged by written request from the Contractor to Building Management 24 hours in advance. </w:t>
      </w:r>
      <w:r>
        <w:rPr>
          <w:rFonts w:ascii="Arial" w:cs="Arial" w:eastAsia="Arial" w:hAnsi="Arial"/>
          <w:sz w:val="17"/>
          <w:szCs w:val="17"/>
          <w:b w:val="1"/>
          <w:bCs w:val="1"/>
          <w:color w:val="auto"/>
        </w:rPr>
        <w:t>Work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requiring disabling of fire alarm systems must be finished before 2:00 p.m. </w:t>
      </w:r>
      <w:r>
        <w:rPr>
          <w:rFonts w:ascii="Arial" w:cs="Arial" w:eastAsia="Arial" w:hAnsi="Arial"/>
          <w:sz w:val="17"/>
          <w:szCs w:val="17"/>
          <w:color w:val="auto"/>
        </w:rPr>
        <w:t>This is to allow sufficient time to restore systems to normal 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to resume off-site monitoring by Red-Hawk before key engineering personnel leave for the day.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Hazardous Materials:</w:t>
      </w:r>
    </w:p>
    <w:p>
      <w:pPr>
        <w:spacing w:after="0" w:line="12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 xml:space="preserve">No paints or chemicals shall be left behind after project completion. Should the Tenant request touch-up samples, provide the appropriate Material Safety Data Sheets, in soft plastic covers, affixed to the respective containers. </w:t>
      </w:r>
      <w:r>
        <w:rPr>
          <w:rFonts w:ascii="Arial" w:cs="Arial" w:eastAsia="Arial" w:hAnsi="Arial"/>
          <w:sz w:val="18"/>
          <w:szCs w:val="18"/>
          <w:b w:val="1"/>
          <w:bCs w:val="1"/>
          <w:color w:val="auto"/>
        </w:rPr>
        <w:t>No application of VOC or odor-producing products is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before 6:30 p.m. or after 7:30 a.m.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Close Out: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Once construction has been completed, whether new or remodeling, previous revisions and/or notes shall be removed from as-built drawings so that they properly reflect existing conditions.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closing the ceiling, while building HVAC systems are off, disable and cover all plenum smoke detectors, then remove filter media at all return air openings.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all projects where changes to mechanical systems have occurred, after the ceiling is closed, all HVAC systems serving the newly constructed area and any adjacent areas in the same control zone shall be air balanced by third party. Contractor must notify property manager 48 hours prior to the start of air balancing work. Landlord’s operating personnel may witness balancing effort, if they so desire. A completed air balancing report shall be submitted to the mechanical engineer of record &amp; Building Owner within thirty days after the completion of the project.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 100% CAD drawings on disc, saved in both “.dwg” and “.dwf” formats.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Emergencies</w:t>
      </w:r>
      <w:r>
        <w:rPr>
          <w:rFonts w:ascii="Arial" w:cs="Arial" w:eastAsia="Arial" w:hAnsi="Arial"/>
          <w:sz w:val="18"/>
          <w:szCs w:val="18"/>
          <w:color w:val="auto"/>
        </w:rPr>
        <w: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reach the building engineer in an emergency, after normal hours of operation, call the Security, (408) 768- 4547. Officers are on duty at The Almaden 24/7. They maintain an up-to-date calling list for all engineers, so they will be able to notify someone to help you with your problem.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Security Access &amp; Keying: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protect our tenants and the integrity of our key system, it is our policy to have the contractor sign for any keys received for the project. A receipt is provided at project completion for the PM and Contractor’s records, showing that all keys have been returned. It is recommended that the Tenant arrange to have suite entry doors re-keyed on or before move-in day. All locks must be keyed to the Master, Floor Master, and change key. The base building key system is Sargent LB key way.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000"/>
          </w:cols>
          <w:pgMar w:left="440" w:top="270" w:right="45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 work is to be completed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Locksmith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1444 South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 95035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Close Out Documentation: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100% CAD drawings on disc, saved in both “.dwg” and “.dwf” formats. Provide 100% As-Built Drawings, hard copies, full set.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Sprinkler System:</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Due to demonstrated unreliability, the building Owner does not permit “plain end”, “slip type” or “torque type” fittings that rely upon a break-off fastener or bite screw to connect the fitting to the pipe.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fire sprinkler heads shall be Tyco series RFII 5.6 K-Factor “Royal Flush” concealed pendent sprinklers. Centered in tile.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Demolition and Construction: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utilities (electricity, water, gas, plumbing) or services to Tenants are to be cut off or interrupted without first having requested the permission of the Property Manager in writing at least 48 hours in advance.</w:t>
      </w:r>
    </w:p>
    <w:p>
      <w:pPr>
        <w:spacing w:after="0" w:line="17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Any work that results in noise which can be heard outside of the Tenant’s leased premises is considered to be disturbing or inconvenient. All core drilling, hammer drilling, duct installation or other loud work must be completed prior to 7:30 a.m. or after 6:30 p.m. Monday-Friday.</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Most demolition and some construction work will require the fire sprinkler valves on that floor to be closed to protect against major property damage in the event a sprinkler head is accidentally bumped and discharged during the process. It will be the Chief Building Engineer’s decision or any other designated on-site Building Engineer to determine when the valves will need to be secured. Designated Construction Superintendent for the project must review (with the on-site Building Engineer) the planned work for the day prior to beginning any work day. The Engineer will make a determination based on this information whether to close the valves. The Contractor may be required to provide an individual assigned as Fire Watch during all times any part of the fire alarm system is disabled, and shall be equipped with a fire extinguisher and a working telephone. The building engineer/property management will make that determination.</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activities which create excessive dust or smoke (e.g. burning or welding) must be coordinated with Building Management and the Building Engineer with 24 hours written notice, and shall be performed prior to 7:30 AM unless otherwise instructed. The Contractor must provide an individual assigned as Fire Watch during all hot work, equipped with a fire extinguisher and a working telephone. A Hot Work Permit, issued by the Building, is required. The Contractor shall arrange with the Building Engineer to protect smoke detectors during such work. Protection shall be removed at the conclusion of every workday. In that the work is being performed in an occupied building, the Contractor is responsible for providing a means of local exhaust are necessary to remove smoke, fumes and odors from the building.</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Contractor or subcontractor signage may not be displayed in the building common areas or any of the window glass without prior Building Management approval.</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Access to suite immediately below and adjacent to construction area must be coordinated at least 48 hours prior to actual work with the Property Manager through written request.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000"/>
          </w:cols>
          <w:pgMar w:left="440" w:top="274" w:right="459" w:bottom="1440" w:gutter="0" w:footer="0" w:header="0"/>
        </w:sectPr>
      </w:pPr>
    </w:p>
    <w:bookmarkStart w:id="457" w:name="page458"/>
    <w:bookmarkEnd w:id="45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sprinkler system or HVAC must be temporarily out of service, the Property Manager must be notified in writing and approval given 48 hours prior to drain down.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Contractors are not to use Tenant’s telephone, fax machines, photocopiers or other office equipment. Premises must be secured and doors to the work area, mechanical and electrical room and stairwells closed and lights turned off at the end of each day.</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Cleaning of spackling knives, painting equipment, tools and buckets shall only be permitted in the janitor’s closet slop sink. The contractor is responsible for protecting and cleaning the slop sinks and the walls at the closet. Painting the walls within the janitor’s closet may be required at project completion as determined by the Project Manager or Property Manager. The contractor is responsible for any plumbing blockages that occur in the janitor’s closet slop sink or at floor drains utilized by the Contractor over the course of the project. If the Building is required to call a plumber in the event the Contractor fails to address blockages in a timely manner, all charges will be billed back to the Contractor.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will not be permitted to use the Building Management’s maintenance tools, vacuum cleaners, ladders or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materials may be stored or stocked in main lobbies at any time.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Only the Landlord designated elevator shall be used to ferry material and workers to the construction areas. Construction personnel are prohibited from using normal passenger elevators at any time except during an emergency.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Mechanical &amp; HVAC:</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new HVAC installations which pull ventilation air from the outdoors, independent of the base- building central fans, shall have spring-operated/normally-closed motorized dampers on all ductwork, fitted and installed in such a manner as to prevent the infiltration of outside air when the unit is commanded OFF. The control circuit(s) for all system START/STOP functions shall be interrupted by a control circuit relay tied into the BAS/EMS One-Point Shutdown EMERGENCY OFF Switch. Operation of the EMERGENCY OFF switch shall result in the immediate shutdown of all system fans, and closing of all system dampers, regardless of HOA switch position, in the event of terrorist attack or other event requiring immediate H V A C system shutdown or isolation. Coordinate with Environmental Services Inc., the building EMS vendor.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3353 De La Cruz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T.J. Kay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exception to this rule must be approved by the Project Manager or Property Manager.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VAV units shall upgraded to Titus with integral heat as needed to meet design. All VAV shall have Delta DDC controls. All boxes will fail open for fire life safety. Any exceptions must be approved by the Building Owner.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Tenant installed self-contained units are to be complete with all factory wiring installed within the unit. They are to have ball valves installed as stop valves on the supply and return lines near the unit. Back flush hose connections shall be installed between the shut off valve and the unit. A/C unit water strainers are to be a minimum of 1.5 times (x) the pipe size, with an insert screen designed for water use. Steam type mesh screens are not acceptable. Dielectric fittings are to be used at all piping material changes.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0980"/>
          </w:cols>
          <w:pgMar w:left="440" w:top="274" w:right="479" w:bottom="1440" w:gutter="0" w:footer="0" w:header="0"/>
        </w:sectPr>
      </w:pPr>
    </w:p>
    <w:bookmarkStart w:id="458" w:name="page459"/>
    <w:bookmarkEnd w:id="458"/>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is responsible for obtaining regular maintenance and service on any additional mechanical equipment added that is not part of the base building system, and is also responsible for any service lines connected to such mechanical equipment along the entire length of those lines and up to where connected to the base building risers, regardless of whether such lines or connections are located in the tenant’s demised premises.</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All HVAC equipment duct flex connectors are to be bridged with a bonding cable provided and installed by the Electrical Contractor, to insure the electrical grounding of all ductwork.</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All duct joints are to be sealed with duct sealant compound to make air tight. All new ductwork is to be insulated to match the base building ductwork for the same type of use. Do not use internally insulated (sound lined) ductwork on any base building ductwork modifications.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duct openings not used for supply or return connections are to be capped, sealed, and insulated.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Plumbing: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waste lines are to be a minimum of 2” ID pipe size with clean outs. Dielectric fittings are to be used at all piping material changes.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Provide shut off valves in domestic water system branch lines serving all fixtures. Architectural panels or doors shall be provided where necessary to allow free access to the valves. Non-metal piping such as PVC shall not be used. Piping for drainage or venting is to be DWV.</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Do to recurring problems with point of use hot water heaters, their use is not permitted in the building. These units have a demonstrated history of sudden failure at the seams, resulting in severe flooding.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Alarm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property has a Notifier 3030 addressable fire alarm system. The following vendors are approved to work in the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 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2624 Vern Roberts Circle 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Antioch, CA 94509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EMT Electric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1282 Dupont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Manteca, CA 95336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Speaker / Strobe circuits are to be run in plenum rated shielded 14-gauge cabling.</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Fire Alarm-related work is to be completed by 2:00 P.M. This is to allow sufficient time to restore the systems to normal operation, and to resume monitoring by the off-site Security Company before key engineering personnel leave for the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Duct smoke detectors may be required on Air Handling Units, per the following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0-1,999 CFM – Not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CFM and up – Return duct only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880"/>
          </w:cols>
          <w:pgMar w:left="440" w:top="274" w:right="57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allowance should be made for smoke detectors in each of these locations, even if they are not called for on the plans.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Smoke detection is required in full floor build outs without smoke detection in the exit corridors. Multi-tenant floors with corridors with smoke control do not require smoke detection in the suits.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Full floor suites with smoke detection will require smoke detectors in each beam bay in open ceiling areas.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Smoke detectors located above suspended ceilings will require remote alarm indicators to be mounted in the suspended ceiling below, so as to be easily visible from the floor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Regarding circuit(s) in corridors, Tenant Architects may wish to consider a separate utility circuit in hallway areas for use by the night cleaners, to avoid nuisance tripping of office circuits supporting computers, fax machines, and other critical loads.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Dependent upon the lease, the Tenant may be responsible for providing some types of specialty LED fixtures, which are not building standard and therefore not normally purchased or stocked by the building.</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penetrations at fire rated walls and floors at shafts, stairwells, elevators, telephone and electric closets are to be fire-stopped per NEC and Building Code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Rules for Telecommunications/Utility Closet work.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Any cabling or equipment proposed to be mounted or placed in core telephone closets must be pre-approved by Project or Property Manager.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Provide a sketch of the intended route for cabling. Contractor will be responsible for fire stopping all penetrations used along that route.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notification of work dates will be required to allow notification of tenants on all floors to be accessed during cabling work.</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Cables, if more than one, shall be joined with cable ties. The cable/bunched cables shall be clearly tagged at each phone closet with the name of the Vendor (example: AT&amp;T) and the Tenant served (example: International Widgets Co., Suite 1100).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NEC 800.53 Fire and Smoke Classifications: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Plenum–Cables installed in ducts, plenums, and other spaces used for environmental air shall be type </w:t>
      </w:r>
      <w:r>
        <w:rPr>
          <w:rFonts w:ascii="Arial" w:cs="Arial" w:eastAsia="Arial" w:hAnsi="Arial"/>
          <w:sz w:val="18"/>
          <w:szCs w:val="18"/>
          <w:b w:val="1"/>
          <w:bCs w:val="1"/>
          <w:color w:val="auto"/>
        </w:rPr>
        <w:t>CMP</w:t>
      </w:r>
      <w:r>
        <w:rPr>
          <w:rFonts w:ascii="Arial" w:cs="Arial" w:eastAsia="Arial" w:hAnsi="Arial"/>
          <w:sz w:val="18"/>
          <w:szCs w:val="18"/>
          <w:color w:val="auto"/>
        </w:rPr>
        <w:t xml:space="preserve"> Riser – Cables installed in vertical runs and penetrating more than one floor or cables installed in vertical runs in a shaft shall be type CMR. Also acceptable (preferred) cable type – Type </w:t>
      </w:r>
      <w:r>
        <w:rPr>
          <w:rFonts w:ascii="Arial" w:cs="Arial" w:eastAsia="Arial" w:hAnsi="Arial"/>
          <w:sz w:val="18"/>
          <w:szCs w:val="18"/>
          <w:b w:val="1"/>
          <w:bCs w:val="1"/>
          <w:color w:val="auto"/>
        </w:rPr>
        <w:t>LCC</w:t>
      </w:r>
      <w:r>
        <w:rPr>
          <w:rFonts w:ascii="Arial" w:cs="Arial" w:eastAsia="Arial" w:hAnsi="Arial"/>
          <w:sz w:val="18"/>
          <w:szCs w:val="18"/>
          <w:color w:val="auto"/>
        </w:rPr>
        <w:t>, limited combustible cable (less smoke, less flame)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Lighting:</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Almaden building standard for lighting is Metulx 2x2 cooper skybridge fixtures. 4000K lumens with 0-10 dimmable driver. Wattstopper Title 24 compliant controls.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Exit signs and emergency lighting are 277 volts with no battery backup. New fixtures should be ordered accordingly.</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0960"/>
          </w:cols>
          <w:pgMar w:left="440" w:top="274" w:right="499" w:bottom="1440" w:gutter="0" w:footer="0" w:header="0"/>
        </w:sectPr>
      </w:pPr>
    </w:p>
    <w:bookmarkStart w:id="460" w:name="page461"/>
    <w:bookmarkEnd w:id="460"/>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new exit signs are to be LED type, with green letters on a white or similar background field. Per code, there must be sufficient contrast to clearly distinguish the letters from the field even when the sign is not powered. Building Standard is: Hubbell dual lite LES series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194310</wp:posOffset>
            </wp:positionV>
            <wp:extent cx="6998970" cy="384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98970" cy="3844290"/>
                    </a:xfrm>
                    <a:prstGeom prst="rect">
                      <a:avLst/>
                    </a:prstGeom>
                    <a:noFill/>
                  </pic:spPr>
                </pic:pic>
              </a:graphicData>
            </a:graphic>
          </wp:anchor>
        </w:drawing>
      </w:r>
    </w:p>
    <w:p>
      <w:pPr>
        <w:spacing w:after="0" w:line="329" w:lineRule="exact"/>
        <w:rPr>
          <w:sz w:val="20"/>
          <w:szCs w:val="20"/>
          <w:color w:val="auto"/>
        </w:rPr>
      </w:pPr>
    </w:p>
    <w:p>
      <w:pPr>
        <w:ind w:left="880" w:hanging="434"/>
        <w:spacing w:after="0"/>
        <w:tabs>
          <w:tab w:leader="none" w:pos="8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ELECTRICAL CONTRACTORS: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BE ADVISED, THE BUILDING STANDARD LIGHTING CONTROL SYSTEMS SHALL BE A WATTSTOPPER DLM SYSTEM.</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TYPICAL INSTALLATIONS SHALL INCLUDE USE OF THE FOLLOWING:</w:t>
      </w:r>
    </w:p>
    <w:p>
      <w:pPr>
        <w:spacing w:after="0" w:line="116" w:lineRule="exact"/>
        <w:rPr>
          <w:sz w:val="20"/>
          <w:szCs w:val="20"/>
          <w:color w:val="auto"/>
        </w:rPr>
      </w:pPr>
    </w:p>
    <w:p>
      <w:pPr>
        <w:ind w:left="880" w:right="100" w:hanging="431"/>
        <w:spacing w:after="0" w:line="277" w:lineRule="auto"/>
        <w:tabs>
          <w:tab w:leader="none" w:pos="860" w:val="left"/>
        </w:tabs>
        <w:rPr>
          <w:sz w:val="20"/>
          <w:szCs w:val="20"/>
          <w:color w:val="auto"/>
        </w:rPr>
      </w:pPr>
      <w:r>
        <w:rPr>
          <w:rFonts w:ascii="Arial" w:cs="Arial" w:eastAsia="Arial" w:hAnsi="Arial"/>
          <w:sz w:val="18"/>
          <w:szCs w:val="18"/>
          <w:color w:val="auto"/>
        </w:rPr>
        <w:t>1.1</w:t>
        <w:tab/>
        <w:t>WATTSTOPPER LMSW-105 MULTI-BUTTON LOW VOLTAGE SWITCHES OR OTHER DLM MODELS AS APPROPRIATE FOR EACH CONTROL SPACE</w:t>
      </w:r>
    </w:p>
    <w:p>
      <w:pPr>
        <w:spacing w:after="0" w:line="76" w:lineRule="exact"/>
        <w:rPr>
          <w:sz w:val="20"/>
          <w:szCs w:val="20"/>
          <w:color w:val="auto"/>
        </w:rPr>
      </w:pPr>
    </w:p>
    <w:p>
      <w:pPr>
        <w:ind w:left="880" w:hanging="431"/>
        <w:spacing w:after="0" w:line="277" w:lineRule="auto"/>
        <w:tabs>
          <w:tab w:leader="none" w:pos="860" w:val="left"/>
        </w:tabs>
        <w:rPr>
          <w:sz w:val="20"/>
          <w:szCs w:val="20"/>
          <w:color w:val="auto"/>
        </w:rPr>
      </w:pPr>
      <w:r>
        <w:rPr>
          <w:rFonts w:ascii="Arial" w:cs="Arial" w:eastAsia="Arial" w:hAnsi="Arial"/>
          <w:sz w:val="18"/>
          <w:szCs w:val="18"/>
          <w:color w:val="auto"/>
        </w:rPr>
        <w:t>1.2</w:t>
        <w:tab/>
        <w:t>WATTSTOPPER LMRC ROOM CONTROLLERS AS REQUIRED PER TITLE-24 REQUIREMENTS AND THE NECESSARY ZONE CONFIGURATION FOR EACH CONTROL SPACE</w:t>
      </w:r>
    </w:p>
    <w:p>
      <w:pPr>
        <w:spacing w:after="0" w:line="76" w:lineRule="exact"/>
        <w:rPr>
          <w:sz w:val="20"/>
          <w:szCs w:val="20"/>
          <w:color w:val="auto"/>
        </w:rPr>
      </w:pPr>
    </w:p>
    <w:p>
      <w:pPr>
        <w:ind w:left="880" w:right="460" w:hanging="431"/>
        <w:spacing w:after="0" w:line="277" w:lineRule="auto"/>
        <w:tabs>
          <w:tab w:leader="none" w:pos="860" w:val="left"/>
        </w:tabs>
        <w:rPr>
          <w:sz w:val="20"/>
          <w:szCs w:val="20"/>
          <w:color w:val="auto"/>
        </w:rPr>
      </w:pPr>
      <w:r>
        <w:rPr>
          <w:rFonts w:ascii="Arial" w:cs="Arial" w:eastAsia="Arial" w:hAnsi="Arial"/>
          <w:sz w:val="18"/>
          <w:szCs w:val="18"/>
          <w:color w:val="auto"/>
        </w:rPr>
        <w:t>1.3</w:t>
        <w:tab/>
        <w:t>WATTSTOPPER LMDC-100 CEILING OCCUPANCY SENSORS AS REQUIRED PER TITLE-24 REQUIREMENTS AND THE NECESSARY ZONE CONFIGURATION FOR EACH CONTROL SPACE</w:t>
      </w:r>
    </w:p>
    <w:p>
      <w:pPr>
        <w:spacing w:after="0" w:line="76" w:lineRule="exact"/>
        <w:rPr>
          <w:sz w:val="20"/>
          <w:szCs w:val="20"/>
          <w:color w:val="auto"/>
        </w:rPr>
      </w:pPr>
    </w:p>
    <w:p>
      <w:pPr>
        <w:ind w:left="880" w:right="180" w:hanging="431"/>
        <w:spacing w:after="0" w:line="263" w:lineRule="auto"/>
        <w:tabs>
          <w:tab w:leader="none" w:pos="860" w:val="left"/>
        </w:tabs>
        <w:rPr>
          <w:sz w:val="20"/>
          <w:szCs w:val="20"/>
          <w:color w:val="auto"/>
        </w:rPr>
      </w:pPr>
      <w:r>
        <w:rPr>
          <w:rFonts w:ascii="Arial" w:cs="Arial" w:eastAsia="Arial" w:hAnsi="Arial"/>
          <w:sz w:val="18"/>
          <w:szCs w:val="18"/>
          <w:color w:val="auto"/>
        </w:rPr>
        <w:t>1.4</w:t>
        <w:tab/>
        <w:t>WATTSTOPPER LMLS-400 CLOSED LOOP DAYLIGHT SENSORS AS REQUIRED PER TITLE-24 REQUIREMENTS AND THE NECESSARY ZONE CONFIGURATION FOR EACH CONTROL SPACE (EACH EXPOSURE SIDE OF THE BUILDING TO BE ZONES SEPARATELY)</w:t>
      </w:r>
    </w:p>
    <w:p>
      <w:pPr>
        <w:spacing w:after="0" w:line="89" w:lineRule="exact"/>
        <w:rPr>
          <w:sz w:val="20"/>
          <w:szCs w:val="20"/>
          <w:color w:val="auto"/>
        </w:rPr>
      </w:pPr>
    </w:p>
    <w:p>
      <w:pPr>
        <w:ind w:left="880" w:right="120" w:hanging="431"/>
        <w:spacing w:after="0" w:line="308" w:lineRule="auto"/>
        <w:tabs>
          <w:tab w:leader="none" w:pos="8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WATTSTOPPER LMPL-100 PLUG-CONTROLLERS AS REQUIRED PER TITLE-24 REQUIREMENTS AND THE NECESSARY ZONE CONFIGURATION FOR EACH CONTROL SPACE (INCLUDING OPEN OFFICE FURNITURE CIRCUIT DISTRIBUTION)</w:t>
      </w:r>
    </w:p>
    <w:p>
      <w:pPr>
        <w:spacing w:after="0" w:line="52" w:lineRule="exact"/>
        <w:rPr>
          <w:sz w:val="20"/>
          <w:szCs w:val="20"/>
          <w:color w:val="auto"/>
        </w:rPr>
      </w:pPr>
    </w:p>
    <w:p>
      <w:pPr>
        <w:ind w:left="880" w:right="580" w:hanging="431"/>
        <w:spacing w:after="0" w:line="277" w:lineRule="auto"/>
        <w:tabs>
          <w:tab w:leader="none" w:pos="860" w:val="left"/>
        </w:tabs>
        <w:rPr>
          <w:sz w:val="20"/>
          <w:szCs w:val="20"/>
          <w:color w:val="auto"/>
        </w:rPr>
      </w:pPr>
      <w:r>
        <w:rPr>
          <w:rFonts w:ascii="Arial" w:cs="Arial" w:eastAsia="Arial" w:hAnsi="Arial"/>
          <w:sz w:val="18"/>
          <w:szCs w:val="18"/>
          <w:color w:val="auto"/>
        </w:rPr>
        <w:t>1.5</w:t>
        <w:tab/>
        <w:t>WATTSTOPPER ELCU-200 EM RELAYS AS REQUIRED PER TITLE-24 REQUIREMENTS AND THE NECESSARY ZONE CONFIGURATION FOR EACH CONTROL SPACE</w:t>
      </w:r>
    </w:p>
    <w:p>
      <w:pPr>
        <w:spacing w:after="0" w:line="76" w:lineRule="exact"/>
        <w:rPr>
          <w:sz w:val="20"/>
          <w:szCs w:val="20"/>
          <w:color w:val="auto"/>
        </w:rPr>
      </w:pPr>
    </w:p>
    <w:p>
      <w:pPr>
        <w:ind w:left="880" w:right="140" w:hanging="431"/>
        <w:spacing w:after="0" w:line="277" w:lineRule="auto"/>
        <w:tabs>
          <w:tab w:leader="none" w:pos="860" w:val="left"/>
        </w:tabs>
        <w:rPr>
          <w:sz w:val="20"/>
          <w:szCs w:val="20"/>
          <w:color w:val="auto"/>
        </w:rPr>
      </w:pPr>
      <w:r>
        <w:rPr>
          <w:rFonts w:ascii="Arial" w:cs="Arial" w:eastAsia="Arial" w:hAnsi="Arial"/>
          <w:sz w:val="18"/>
          <w:szCs w:val="18"/>
          <w:color w:val="auto"/>
        </w:rPr>
        <w:t>1.6</w:t>
        <w:tab/>
        <w:t>WATTSTOPPER LMIO-101 DIGITAL INPUT/OUTPUT INTERFACE AS REQUIRED PER TITLE-24 REQUIREMENTS AND THE NECESSARY ZONE CONFIGURATION TO MEET DEMAND CONTROL RESPONSE REQUIREMENTS</w:t>
      </w:r>
    </w:p>
    <w:p>
      <w:pPr>
        <w:spacing w:after="0" w:line="62"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NOTE: PRE-WIRE OF ALL DEMAND CONTROL INTERFACES TO THE BUILDING MANAGEMENT SYSTEM POINT OF CONNECTION SHALL BE INCLUDED IN ELECTRICAL CONTRACTOR PRICING</w:t>
      </w:r>
    </w:p>
    <w:p>
      <w:pPr>
        <w:spacing w:after="0" w:line="62"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ELECTRICAL CONTRACTORS SHALL PROVIDE THE BUILDING ENGINEER WITH A COPY OF THEIR PERMIT SUBMITTAL DRAWINGS FOR REVIEW AND APPROVAL PRIOR TO INSTALLATION.</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B-1-10</w:t>
      </w:r>
    </w:p>
    <w:p>
      <w:pPr>
        <w:sectPr>
          <w:pgSz w:w="11900" w:h="16838" w:orient="portrait"/>
          <w:cols w:equalWidth="0" w:num="1">
            <w:col w:w="10860"/>
          </w:cols>
          <w:pgMar w:left="440" w:top="274" w:right="599" w:bottom="1440" w:gutter="0" w:footer="0" w:header="0"/>
        </w:sectPr>
      </w:pPr>
    </w:p>
    <w:bookmarkStart w:id="461" w:name="page462"/>
    <w:bookmarkEnd w:id="4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Almaden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Construction Release</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All tenant improvement projects require the approval of the Landlord. At a minimum, the following items will be required to obtain approval. Failure to meet these requirements may result in delayed construction schedules. Management reserves the right to shut down any construction project(s) found to be underway without proper authorization per the Lease requirements. A copy of </w:t>
      </w:r>
      <w:r>
        <w:rPr>
          <w:rFonts w:ascii="Arial" w:cs="Arial" w:eastAsia="Arial" w:hAnsi="Arial"/>
          <w:sz w:val="17"/>
          <w:szCs w:val="17"/>
          <w:u w:val="single" w:color="auto"/>
          <w:color w:val="auto"/>
        </w:rPr>
        <w:t>KBS Construction Rules and Regulations</w:t>
      </w:r>
      <w:r>
        <w:rPr>
          <w:rFonts w:ascii="Arial" w:cs="Arial" w:eastAsia="Arial" w:hAnsi="Arial"/>
          <w:sz w:val="17"/>
          <w:szCs w:val="17"/>
          <w:color w:val="auto"/>
        </w:rPr>
        <w:t xml:space="preserve"> is attached, to familiarize designers and contractors with Landlord requirements. To help insure prompt approval, please provide the following:</w:t>
      </w:r>
    </w:p>
    <w:p>
      <w:pPr>
        <w:spacing w:after="0" w:line="16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Copies of all Building Permits required for the project </w:t>
      </w:r>
      <w:r>
        <w:rPr>
          <w:rFonts w:ascii="Arial" w:cs="Arial" w:eastAsia="Arial" w:hAnsi="Arial"/>
          <w:sz w:val="18"/>
          <w:szCs w:val="18"/>
          <w:b w:val="1"/>
          <w:bCs w:val="1"/>
          <w:u w:val="single" w:color="auto"/>
          <w:color w:val="auto"/>
        </w:rPr>
        <w:t>prior to commencement of any construction activities.</w:t>
      </w:r>
      <w:r>
        <w:rPr>
          <w:rFonts w:ascii="Arial" w:cs="Arial" w:eastAsia="Arial" w:hAnsi="Arial"/>
          <w:sz w:val="18"/>
          <w:szCs w:val="18"/>
          <w:color w:val="auto"/>
        </w:rPr>
        <w:t xml:space="preserve"> If the work scope is such that no building permits are required under current San Jose, CA, the General Contractor shall provide our office with a statement, on their letterhead, stating such fact.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Numbered</w:t>
      </w:r>
      <w:r>
        <w:rPr>
          <w:rFonts w:ascii="Arial" w:cs="Arial" w:eastAsia="Arial" w:hAnsi="Arial"/>
          <w:sz w:val="17"/>
          <w:szCs w:val="17"/>
          <w:color w:val="auto"/>
        </w:rPr>
        <w:t xml:space="preserve"> list of contractors and subcontractors to be involved with the project, with the contact names and telephone numbers of key personnel.</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Two complete sets of professionally prepared Architectural and MEP drawings. Allow a minimum of 10 working days for Landlord review. The plans are checked for general design concept only. It is the Tenant’s responsibility to comply with all governing codes, and all accepted engineering standards and practices. Note: Some projects may require independent review by the Landlord’s architect. Slab penetrations, or installations where weight may be an issue, may also require review by the Landlord’s structural engineer. Costs associated with special review requirements may be billed to the tenant. Add extra time for any additional reviews required.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Two sets of drawings incorporating the Landlord’s review comments to the Property Management Office, prior to submission for permit. San Jose Permits division approvals are not, in and of themselves, authorization to proceed. </w:t>
      </w:r>
      <w:r>
        <w:rPr>
          <w:rFonts w:ascii="Arial" w:cs="Arial" w:eastAsia="Arial" w:hAnsi="Arial"/>
          <w:sz w:val="18"/>
          <w:szCs w:val="18"/>
          <w:b w:val="1"/>
          <w:bCs w:val="1"/>
          <w:color w:val="auto"/>
        </w:rPr>
        <w:t>Important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Construction bids that do not allow for Landlord’s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 may not reflect actual costs. General Contractors and Subcontractors should be given drawings and specifications with Landlord comments for bid purposes.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Certificates of Insurance with the coverage limits and additional insured’s as required by the Landlord. Specific requirements may be obtained at the Management Office.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B-1-11</w:t>
      </w:r>
    </w:p>
    <w:p>
      <w:pPr>
        <w:sectPr>
          <w:pgSz w:w="11900" w:h="16838" w:orient="portrait"/>
          <w:cols w:equalWidth="0" w:num="1">
            <w:col w:w="11000"/>
          </w:cols>
          <w:pgMar w:left="440" w:top="270" w:right="459" w:bottom="1440" w:gutter="0" w:footer="0" w:header="0"/>
        </w:sectPr>
      </w:pPr>
    </w:p>
    <w:bookmarkStart w:id="462" w:name="page463"/>
    <w:bookmarkEnd w:id="462"/>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Requirements or Waivers for this project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9951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640715</wp:posOffset>
            </wp:positionV>
            <wp:extent cx="699516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286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786130</wp:posOffset>
            </wp:positionV>
            <wp:extent cx="57150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Authorization and Notice to Proceed:</w:t>
      </w:r>
    </w:p>
    <w:p>
      <w:pPr>
        <w:spacing w:after="0" w:line="225" w:lineRule="exact"/>
        <w:rPr>
          <w:sz w:val="20"/>
          <w:szCs w:val="20"/>
          <w:color w:val="auto"/>
        </w:rPr>
      </w:pPr>
    </w:p>
    <w:p>
      <w:pPr>
        <w:spacing w:after="0"/>
        <w:tabs>
          <w:tab w:leader="none" w:pos="4020" w:val="left"/>
          <w:tab w:leader="none" w:pos="6340" w:val="left"/>
        </w:tabs>
        <w:rPr>
          <w:sz w:val="20"/>
          <w:szCs w:val="20"/>
          <w:color w:val="auto"/>
        </w:rPr>
      </w:pPr>
      <w:r>
        <w:rPr>
          <w:rFonts w:ascii="Arial" w:cs="Arial" w:eastAsia="Arial" w:hAnsi="Arial"/>
          <w:sz w:val="18"/>
          <w:szCs w:val="18"/>
          <w:color w:val="auto"/>
        </w:rPr>
        <w:t>The Tenant Improvements for</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6"/>
          <w:szCs w:val="16"/>
          <w:color w:val="auto"/>
        </w:rPr>
        <w:t>floor(s), per the drawings and specifications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-10160</wp:posOffset>
            </wp:positionV>
            <wp:extent cx="26244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spacing w:after="0" w:line="3" w:lineRule="exact"/>
        <w:rPr>
          <w:sz w:val="20"/>
          <w:szCs w:val="20"/>
          <w:color w:val="auto"/>
        </w:rPr>
      </w:pPr>
    </w:p>
    <w:p>
      <w:pPr>
        <w:ind w:left="580" w:hanging="224"/>
        <w:spacing w:after="0"/>
        <w:tabs>
          <w:tab w:leader="none" w:pos="5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are approved for construction.</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Signed: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63436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-284480</wp:posOffset>
            </wp:positionV>
            <wp:extent cx="63125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463" w:name="page464"/>
    <w:bookmarkEnd w:id="46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One Renewal Option at Market</w:t>
      </w:r>
    </w:p>
    <w:p>
      <w:pPr>
        <w:spacing w:after="0" w:line="229" w:lineRule="exact"/>
        <w:rPr>
          <w:sz w:val="20"/>
          <w:szCs w:val="20"/>
          <w:color w:val="auto"/>
        </w:rPr>
      </w:pPr>
    </w:p>
    <w:p>
      <w:pPr>
        <w:ind w:left="4" w:right="40" w:firstLine="436"/>
        <w:spacing w:after="0" w:line="284" w:lineRule="auto"/>
        <w:tabs>
          <w:tab w:leader="none" w:pos="824" w:val="left"/>
        </w:tabs>
        <w:numPr>
          <w:ilvl w:val="1"/>
          <w:numId w:val="441"/>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Renewal Notice and the Commencement Date of the Renewal Term (as such terms are defined below), (x) Tenant is the Tenant originally named herein or an assignee pursuant to a Permitted Transfer, (y) Tenant or a sublessee pursuant to a Permitted Transfer actually occupies at least seventy-five percent (75%) of the Rentable Area of the Premises initially demised under this Lease and any space added to the Premises, and (z) no event of default exists beyond applicable notice and cure periods; then Tenant shall have the right to extend the Lease Term for an additional term of five (5) years (such additional term is hereinafter called the “</w:t>
      </w:r>
      <w:r>
        <w:rPr>
          <w:rFonts w:ascii="Arial" w:cs="Arial" w:eastAsia="Arial" w:hAnsi="Arial"/>
          <w:sz w:val="16"/>
          <w:szCs w:val="16"/>
          <w:u w:val="single" w:color="auto"/>
          <w:color w:val="auto"/>
        </w:rPr>
        <w:t>Renewal Term</w:t>
      </w:r>
      <w:r>
        <w:rPr>
          <w:rFonts w:ascii="Arial" w:cs="Arial" w:eastAsia="Arial" w:hAnsi="Arial"/>
          <w:sz w:val="16"/>
          <w:szCs w:val="16"/>
          <w:color w:val="auto"/>
        </w:rPr>
        <w:t>”) commencing on the day following the expiration of the Lease Term (hereinafter referred to as the “</w:t>
      </w:r>
      <w:r>
        <w:rPr>
          <w:rFonts w:ascii="Arial" w:cs="Arial" w:eastAsia="Arial" w:hAnsi="Arial"/>
          <w:sz w:val="16"/>
          <w:szCs w:val="16"/>
          <w:u w:val="single" w:color="auto"/>
          <w:color w:val="auto"/>
        </w:rPr>
        <w:t>Commencement Date of the Renewal Term</w:t>
      </w:r>
      <w:r>
        <w:rPr>
          <w:rFonts w:ascii="Arial" w:cs="Arial" w:eastAsia="Arial" w:hAnsi="Arial"/>
          <w:sz w:val="16"/>
          <w:szCs w:val="16"/>
          <w:color w:val="auto"/>
        </w:rPr>
        <w:t>”). Tenant must give Landlord notice (hereinafter called the “</w:t>
      </w:r>
      <w:r>
        <w:rPr>
          <w:rFonts w:ascii="Arial" w:cs="Arial" w:eastAsia="Arial" w:hAnsi="Arial"/>
          <w:sz w:val="16"/>
          <w:szCs w:val="16"/>
          <w:u w:val="single" w:color="auto"/>
          <w:color w:val="auto"/>
        </w:rPr>
        <w:t>Renewal Notice</w:t>
      </w:r>
      <w:r>
        <w:rPr>
          <w:rFonts w:ascii="Arial" w:cs="Arial" w:eastAsia="Arial" w:hAnsi="Arial"/>
          <w:sz w:val="16"/>
          <w:szCs w:val="16"/>
          <w:color w:val="auto"/>
        </w:rPr>
        <w:t>”) of its election to extend the term of the Lease Term at least nine (9) months, but not more than twelve</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months, prior to the scheduled expiration date of the Lease Term.</w:t>
      </w:r>
    </w:p>
    <w:p>
      <w:pPr>
        <w:spacing w:after="0" w:line="210" w:lineRule="exact"/>
        <w:rPr>
          <w:rFonts w:ascii="Arial" w:cs="Arial" w:eastAsia="Arial" w:hAnsi="Arial"/>
          <w:sz w:val="18"/>
          <w:szCs w:val="18"/>
          <w:color w:val="auto"/>
        </w:rPr>
      </w:pPr>
    </w:p>
    <w:p>
      <w:pPr>
        <w:ind w:left="4" w:right="240" w:firstLine="436"/>
        <w:spacing w:after="0" w:line="277" w:lineRule="auto"/>
        <w:tabs>
          <w:tab w:leader="none" w:pos="831"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The Basic Annual Rent payable by Tenant to Landlord during the Renewal Term shall be the Fair Market Rent, as defined and determined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ind w:left="4" w:firstLine="436"/>
        <w:spacing w:after="0" w:line="288" w:lineRule="auto"/>
        <w:tabs>
          <w:tab w:leader="none" w:pos="821" w:val="left"/>
        </w:tabs>
        <w:numPr>
          <w:ilvl w:val="1"/>
          <w:numId w:val="44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Fair Market Rent</w:t>
      </w:r>
      <w:r>
        <w:rPr>
          <w:rFonts w:ascii="Arial" w:cs="Arial" w:eastAsia="Arial" w:hAnsi="Arial"/>
          <w:sz w:val="16"/>
          <w:szCs w:val="16"/>
          <w:color w:val="auto"/>
        </w:rPr>
        <w:t>” shall mean the Basic Annual Rent, expressed as an annual rent per square foot of Rentable Area, which Landlord would have received from leasing the Premises for the Renewal Term to an unaffiliated person which is not then a tenant in the Project, assuming that such space were to be delivered in “as-is” condition, and taking into account the rental which such other tenant would most likely have paid for such premises, including market escalations taking into account the terms of the Lease. Fair Market Rent means only the rent component defined as Basic Annual Rent in the Lease and does not include reimbursements and payments by Tenant to Landlord with respect to operating expenses and other items payable or reimbursable by Tenant under the Lease, but such reimbursement and payments shall be considered in determining the Basic Annual Rent. In addition to its obligation to pay Basic Annual Rent (as determined herein), Tenant shall continue to pay and reimburse Landlord as set forth in the Lease with respect to such operating expenses and other items with respect to the Premises during the Renewal Term. The arbitration process described below shall be limited to the determination of the Basic Annual Rent and shall not affect or otherwise reduce or modify the Tenant’s obligation to pay or reimburse Landlord for such operating expenses and other reimbursable items.</w:t>
      </w:r>
    </w:p>
    <w:p>
      <w:pPr>
        <w:spacing w:after="0" w:line="168" w:lineRule="exact"/>
        <w:rPr>
          <w:rFonts w:ascii="Arial" w:cs="Arial" w:eastAsia="Arial" w:hAnsi="Arial"/>
          <w:sz w:val="16"/>
          <w:szCs w:val="16"/>
          <w:color w:val="auto"/>
        </w:rPr>
      </w:pPr>
    </w:p>
    <w:p>
      <w:pPr>
        <w:ind w:left="4" w:firstLine="436"/>
        <w:spacing w:after="0" w:line="291" w:lineRule="auto"/>
        <w:tabs>
          <w:tab w:leader="none" w:pos="834" w:val="left"/>
        </w:tabs>
        <w:numPr>
          <w:ilvl w:val="1"/>
          <w:numId w:val="442"/>
        </w:numPr>
        <w:rPr>
          <w:rFonts w:ascii="Arial" w:cs="Arial" w:eastAsia="Arial" w:hAnsi="Arial"/>
          <w:sz w:val="16"/>
          <w:szCs w:val="16"/>
          <w:color w:val="auto"/>
        </w:rPr>
      </w:pPr>
      <w:r>
        <w:rPr>
          <w:rFonts w:ascii="Arial" w:cs="Arial" w:eastAsia="Arial" w:hAnsi="Arial"/>
          <w:sz w:val="16"/>
          <w:szCs w:val="16"/>
          <w:color w:val="auto"/>
        </w:rPr>
        <w:t>Landlord shall notify Tenant of its determination of the Fair Market Rent (which shall be made in Landlord’s sole discretion) for the Renewal Term, and Tenant shall advise Landlord of any objection within thirty (30) days of receipt of Landlord’s notice. Failure to respond within the thirty</w:t>
      </w:r>
    </w:p>
    <w:p>
      <w:pPr>
        <w:jc w:val="both"/>
        <w:ind w:left="4" w:right="220" w:hanging="4"/>
        <w:spacing w:after="0" w:line="295" w:lineRule="auto"/>
        <w:tabs>
          <w:tab w:leader="none" w:pos="349" w:val="left"/>
        </w:tabs>
        <w:numPr>
          <w:ilvl w:val="0"/>
          <w:numId w:val="443"/>
        </w:numPr>
        <w:rPr>
          <w:rFonts w:ascii="Arial" w:cs="Arial" w:eastAsia="Arial" w:hAnsi="Arial"/>
          <w:sz w:val="16"/>
          <w:szCs w:val="16"/>
          <w:color w:val="auto"/>
        </w:rPr>
      </w:pPr>
      <w:r>
        <w:rPr>
          <w:rFonts w:ascii="Arial" w:cs="Arial" w:eastAsia="Arial" w:hAnsi="Arial"/>
          <w:sz w:val="16"/>
          <w:szCs w:val="16"/>
          <w:color w:val="auto"/>
        </w:rPr>
        <w:t>day period shall constitute Tenant’s deemed objection to such Fair Market Rent. If Tenant objects (or is deemed to have objected), Landlord and Tenant shall commence negotiations to attempt to agree upon the Fair Market Rent within thirty (30) days of Landlord’s receipt of Tenant’s notice (or within thirty (30) days after the expiration of the thirty-day period in the event of a deemed objection). If the parties cannot agree, each acting in good faith but without any obligation to agree, then the arbitration procedure provided below to determine the Fair Market Rent shall be invoked.</w:t>
      </w:r>
    </w:p>
    <w:p>
      <w:pPr>
        <w:spacing w:after="0" w:line="161" w:lineRule="exact"/>
        <w:rPr>
          <w:rFonts w:ascii="Arial" w:cs="Arial" w:eastAsia="Arial" w:hAnsi="Arial"/>
          <w:sz w:val="16"/>
          <w:szCs w:val="16"/>
          <w:color w:val="auto"/>
        </w:rPr>
      </w:pPr>
    </w:p>
    <w:p>
      <w:pPr>
        <w:ind w:left="4" w:firstLine="436"/>
        <w:spacing w:after="0" w:line="301" w:lineRule="auto"/>
        <w:tabs>
          <w:tab w:leader="none" w:pos="814" w:val="left"/>
        </w:tabs>
        <w:numPr>
          <w:ilvl w:val="1"/>
          <w:numId w:val="443"/>
        </w:numPr>
        <w:rPr>
          <w:rFonts w:ascii="Arial" w:cs="Arial" w:eastAsia="Arial" w:hAnsi="Arial"/>
          <w:sz w:val="16"/>
          <w:szCs w:val="16"/>
          <w:color w:val="auto"/>
        </w:rPr>
      </w:pPr>
      <w:r>
        <w:rPr>
          <w:rFonts w:ascii="Arial" w:cs="Arial" w:eastAsia="Arial" w:hAnsi="Arial"/>
          <w:sz w:val="16"/>
          <w:szCs w:val="16"/>
          <w:color w:val="auto"/>
        </w:rPr>
        <w:t xml:space="preserve">Arbitration to determine the Fair Market Rent shall be in accordance with the Real Estate Valuation Arbitration Rules of the American Arbitration Association. Unless otherwise required by state law, arbitration shall be conducted in the metropolitan area where the Project is located by a single arbitrator unaffiliated with either party. Each party shall send written notice to the other party and the Regional Office of the American Arbitration Association within ten (10) days after the thirty (30) day negotiating period provided in </w:t>
      </w:r>
      <w:r>
        <w:rPr>
          <w:rFonts w:ascii="Arial" w:cs="Arial" w:eastAsia="Arial" w:hAnsi="Arial"/>
          <w:sz w:val="16"/>
          <w:szCs w:val="16"/>
          <w:u w:val="single" w:color="auto"/>
          <w:color w:val="auto"/>
        </w:rPr>
        <w:t>Paragraph (d)</w:t>
      </w:r>
      <w:r>
        <w:rPr>
          <w:rFonts w:ascii="Arial" w:cs="Arial" w:eastAsia="Arial" w:hAnsi="Arial"/>
          <w:sz w:val="16"/>
          <w:szCs w:val="16"/>
          <w:color w:val="auto"/>
        </w:rPr>
        <w:t>, invoking the binding arbitration provisions of this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4"/>
          </w:cols>
          <w:pgMar w:left="436" w:top="270" w:right="459" w:bottom="1440" w:gutter="0" w:footer="0" w:header="0"/>
        </w:sectPr>
      </w:pPr>
    </w:p>
    <w:bookmarkStart w:id="464" w:name="page465"/>
    <w:bookmarkEnd w:id="46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Landlord and Tenant shall each submit to the arbitrator their respective proposal of Fair Market Rent. The arbitrator must choose between the Landlord’s proposal and the Tenant’s proposal and may not compromise between the two or select some other amount. The cost of the arbitration shall be paid by Landlord if the Fair Market Rent is that proposed by Tenant and by Tenant if the Fair Market Rent is that proposed by Landlord; and shall be borne equally otherwise. If the arbitrator has not determined the Fair Market Rent as of the end of the Lease Term, Tenant shall pay one hundred five percent (105%) of the Basic Annual Rent in effect under the Lease as of the end of the Lease Term until the Fair Market Rent is determined as provided herein. Upon such determination, Landlord and Tenant shall make the appropriate adjustments to the payments between them.</w:t>
      </w:r>
    </w:p>
    <w:p>
      <w:pPr>
        <w:spacing w:after="0" w:line="164" w:lineRule="exact"/>
        <w:rPr>
          <w:sz w:val="20"/>
          <w:szCs w:val="20"/>
          <w:color w:val="auto"/>
        </w:rPr>
      </w:pPr>
    </w:p>
    <w:p>
      <w:pPr>
        <w:ind w:right="220" w:firstLine="436"/>
        <w:spacing w:after="0" w:line="277" w:lineRule="auto"/>
        <w:tabs>
          <w:tab w:leader="none" w:pos="79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parties consent to the jurisdiction of any appropriate court to enforce the arbitration provisions of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to enter judgment upon the decision of the arbitrator.</w:t>
      </w:r>
    </w:p>
    <w:p>
      <w:pPr>
        <w:spacing w:after="0" w:line="170" w:lineRule="exact"/>
        <w:rPr>
          <w:rFonts w:ascii="Arial" w:cs="Arial" w:eastAsia="Arial" w:hAnsi="Arial"/>
          <w:sz w:val="18"/>
          <w:szCs w:val="18"/>
          <w:color w:val="auto"/>
        </w:rPr>
      </w:pPr>
    </w:p>
    <w:p>
      <w:pPr>
        <w:ind w:right="80" w:firstLine="436"/>
        <w:spacing w:after="0" w:line="259" w:lineRule="auto"/>
        <w:tabs>
          <w:tab w:leader="none" w:pos="83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Except for the Basic Annual Rent as determined above, Tenant’s occupancy of the Premises during the Renewal Term shall be on the same terms and conditions as are in effect immediately prior to the expiration of the initial Lease Term; provided, however, Tenant shall have no further right to extend the Lease Term pursuant to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to any allowances, credits or abatements or any options to expand, contract, terminate, renew or extend the Lease.</w:t>
      </w:r>
    </w:p>
    <w:p>
      <w:pPr>
        <w:spacing w:after="0" w:line="186" w:lineRule="exact"/>
        <w:rPr>
          <w:rFonts w:ascii="Arial" w:cs="Arial" w:eastAsia="Arial" w:hAnsi="Arial"/>
          <w:sz w:val="18"/>
          <w:szCs w:val="18"/>
          <w:color w:val="auto"/>
        </w:rPr>
      </w:pPr>
    </w:p>
    <w:p>
      <w:pPr>
        <w:ind w:right="120" w:firstLine="436"/>
        <w:spacing w:after="0" w:line="342" w:lineRule="auto"/>
        <w:tabs>
          <w:tab w:leader="none" w:pos="83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If Tenant does not give the Renewal Notice within the period set forth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Tenant’s right to extend the Lease Term shall automatically terminate. Time is of the essence as to the giving of the Renewal Notice and the notice of Tenant’s objection under </w:t>
      </w:r>
      <w:r>
        <w:rPr>
          <w:rFonts w:ascii="Arial" w:cs="Arial" w:eastAsia="Arial" w:hAnsi="Arial"/>
          <w:sz w:val="16"/>
          <w:szCs w:val="16"/>
          <w:u w:val="single" w:color="auto"/>
          <w:color w:val="auto"/>
        </w:rPr>
        <w:t>Paragraph (d)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80" w:firstLine="436"/>
        <w:spacing w:after="0" w:line="277" w:lineRule="auto"/>
        <w:tabs>
          <w:tab w:leader="none" w:pos="79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Renewal Term. The Premises shall be tendered on the Commencement Date of the Renewal Term in “as-is” condition.</w:t>
      </w:r>
    </w:p>
    <w:p>
      <w:pPr>
        <w:spacing w:after="0" w:line="170" w:lineRule="exact"/>
        <w:rPr>
          <w:rFonts w:ascii="Arial" w:cs="Arial" w:eastAsia="Arial" w:hAnsi="Arial"/>
          <w:sz w:val="18"/>
          <w:szCs w:val="18"/>
          <w:color w:val="auto"/>
        </w:rPr>
      </w:pPr>
    </w:p>
    <w:p>
      <w:pPr>
        <w:ind w:firstLine="436"/>
        <w:spacing w:after="0" w:line="263" w:lineRule="auto"/>
        <w:tabs>
          <w:tab w:leader="none" w:pos="79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the Lease is extended for the Renewal Term, then Landlord shall prepare and Tenant shall execute an amendment to the Lease confirming the extension of the Lease Term and the other provisions applicable thereto (the “</w:t>
      </w:r>
      <w:r>
        <w:rPr>
          <w:rFonts w:ascii="Arial" w:cs="Arial" w:eastAsia="Arial" w:hAnsi="Arial"/>
          <w:sz w:val="18"/>
          <w:szCs w:val="18"/>
          <w:u w:val="single" w:color="auto"/>
          <w:color w:val="auto"/>
        </w:rPr>
        <w:t>Amendment</w:t>
      </w:r>
      <w:r>
        <w:rPr>
          <w:rFonts w:ascii="Arial" w:cs="Arial" w:eastAsia="Arial" w:hAnsi="Arial"/>
          <w:sz w:val="18"/>
          <w:szCs w:val="18"/>
          <w:color w:val="auto"/>
        </w:rPr>
        <w:t>”); provided, however, the failure of either party to execute such Amendment shall not void or nullify the Renewal Term.</w:t>
      </w:r>
    </w:p>
    <w:p>
      <w:pPr>
        <w:spacing w:after="0" w:line="183" w:lineRule="exact"/>
        <w:rPr>
          <w:rFonts w:ascii="Arial" w:cs="Arial" w:eastAsia="Arial" w:hAnsi="Arial"/>
          <w:sz w:val="18"/>
          <w:szCs w:val="18"/>
          <w:color w:val="auto"/>
        </w:rPr>
      </w:pPr>
    </w:p>
    <w:p>
      <w:pPr>
        <w:ind w:right="100" w:firstLine="436"/>
        <w:spacing w:after="0" w:line="308" w:lineRule="auto"/>
        <w:tabs>
          <w:tab w:leader="none" w:pos="83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If Tenant exercises its right to extend the term of the Lease for the Renewal Term pursuant to this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defined term “Lease Term” as used in the Lease, shall be construed to include, when practicable, the Renewal Term except as provided in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80"/>
          </w:cols>
          <w:pgMar w:left="440" w:top="274" w:right="479" w:bottom="1440" w:gutter="0" w:footer="0" w:header="0"/>
        </w:sectPr>
      </w:pPr>
    </w:p>
    <w:bookmarkStart w:id="465" w:name="page466"/>
    <w:bookmarkEnd w:id="46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Right of First Offer</w:t>
      </w:r>
    </w:p>
    <w:p>
      <w:pPr>
        <w:spacing w:after="0" w:line="229" w:lineRule="exact"/>
        <w:rPr>
          <w:sz w:val="20"/>
          <w:szCs w:val="20"/>
          <w:color w:val="auto"/>
        </w:rPr>
      </w:pPr>
    </w:p>
    <w:p>
      <w:pPr>
        <w:jc w:val="both"/>
        <w:ind w:left="4" w:right="460" w:firstLine="436"/>
        <w:spacing w:after="0" w:line="263" w:lineRule="auto"/>
        <w:tabs>
          <w:tab w:leader="none" w:pos="82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Space</w:t>
      </w:r>
      <w:r>
        <w:rPr>
          <w:rFonts w:ascii="Arial" w:cs="Arial" w:eastAsia="Arial" w:hAnsi="Arial"/>
          <w:sz w:val="18"/>
          <w:szCs w:val="18"/>
          <w:color w:val="auto"/>
        </w:rPr>
        <w:t xml:space="preserve">” shall mean any full floor in any building in the Project (it being agreed that Landlord shall only be required to offer to Tenant full floors and Landlord is entitled to lease to third parties any partial floors without being obligated to offer to Tenant such partial floors to Tenant under this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firstLine="436"/>
        <w:spacing w:after="0" w:line="285" w:lineRule="auto"/>
        <w:tabs>
          <w:tab w:leader="none" w:pos="83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Provided that as of the date of the giving of the First Offer Notice, (i) Tenant is the Tenant originally named herein or an assignee pursuant to a Permitted Transfer, (ii) Tenant or a sublessee pursuant to a Permitted Transfer actually occupies at least seventy-five percent (75%) of the Rentable Area of the Premises originally demised under this Lease and any premises added to the Premises, and (iii) no event of default has occurred and is continuing beyond any applicable notice and cure periods, if at any time during the Lease Term any portion of the Offered Space is vacant and unencumbered by any rights of any third party, then Landlord, before offering such Offered Space to anyone, other than the tenant then occupying such space (or its affiliates), shall offer to Tenant the right to include the Offered Space within the Premises on the same terms and conditions upon which Landlord intends to offer the Offered Space for lease; provided, however, in the event Landlord delivers the First Offer Notice prior to October 31, 2019, then (x) the term of the Lease with respect to the Offered Space leased pursuant to the terms of such Offer Notice shall be coterminous with the Extension Term, (y) the Basic Annual Rent payable with respect to such Offered Space shall be equal to the same amounts (based on per square foot of Rentable Area basis) required to be paid with respect to the Suite 600 Space for the same months during the Lease Term (i.e., the escalations of Basic Annual Rent shall occur at the same time as it is scheduled for the Suite 600 Space), and (z) the total amount of “Landlord’s Construction Allowance” that Landlord shall provide Tenant with respect to such Offered Space shall be equal to the product of (i) One Hundred Twenty-Five Dollars ($125.00), multiplied by (ii) the total number of square feet of Rentable Area contained within such Offered Space, multiplied by (iii) a fraction, the numerator of which is the number of full calendar months remaining in the Extension Term from and after the date Tenant is first obligated to pay Basic Annual Rent with respect to such Offered Space, and the denominator of which is 98. Notwithstanding anything to the contrary in the Lease, the right of first offer granted to Tenant under 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shall be subject and subordinate to (i) the rights of all tenants at the Project under existing leases, and (ii) the herein reserved right of Landlord to renew or extend the term of any lease with the tenant then occupying such space (or any of its affiliates), whether pursuant to a renewal or extension option in such lease or otherwise.</w:t>
      </w:r>
    </w:p>
    <w:p>
      <w:pPr>
        <w:spacing w:after="0" w:line="171" w:lineRule="exact"/>
        <w:rPr>
          <w:rFonts w:ascii="Arial" w:cs="Arial" w:eastAsia="Arial" w:hAnsi="Arial"/>
          <w:sz w:val="16"/>
          <w:szCs w:val="16"/>
          <w:color w:val="auto"/>
        </w:rPr>
      </w:pPr>
    </w:p>
    <w:p>
      <w:pPr>
        <w:ind w:left="4" w:right="80" w:firstLine="436"/>
        <w:spacing w:after="0" w:line="287" w:lineRule="auto"/>
        <w:tabs>
          <w:tab w:leader="none" w:pos="82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Such offer shall be made by Landlord to Tenant in a written notice (hereinafter called the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offer shall designate the space being offered and shall specify the terms which Landlord intends to offer with respect to any such Offered Space. Tenant may accept the offer set forth in the First Offer Notice by delivering to Landlord an unconditional acceptance (hereinafter called “</w:t>
      </w:r>
      <w:r>
        <w:rPr>
          <w:rFonts w:ascii="Arial" w:cs="Arial" w:eastAsia="Arial" w:hAnsi="Arial"/>
          <w:sz w:val="16"/>
          <w:szCs w:val="16"/>
          <w:u w:val="single" w:color="auto"/>
          <w:color w:val="auto"/>
        </w:rPr>
        <w:t>Tenant’s Notice</w:t>
      </w:r>
      <w:r>
        <w:rPr>
          <w:rFonts w:ascii="Arial" w:cs="Arial" w:eastAsia="Arial" w:hAnsi="Arial"/>
          <w:sz w:val="16"/>
          <w:szCs w:val="16"/>
          <w:color w:val="auto"/>
        </w:rPr>
        <w:t>”) of such offer within five</w:t>
      </w:r>
    </w:p>
    <w:p>
      <w:pPr>
        <w:spacing w:after="0" w:line="2" w:lineRule="exact"/>
        <w:rPr>
          <w:rFonts w:ascii="Arial" w:cs="Arial" w:eastAsia="Arial" w:hAnsi="Arial"/>
          <w:sz w:val="16"/>
          <w:szCs w:val="16"/>
          <w:color w:val="auto"/>
        </w:rPr>
      </w:pPr>
    </w:p>
    <w:p>
      <w:pPr>
        <w:ind w:left="4" w:right="180" w:hanging="4"/>
        <w:spacing w:after="0" w:line="253" w:lineRule="auto"/>
        <w:tabs>
          <w:tab w:leader="none" w:pos="25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business days after delivery by Landlord of the First Offer Notice to Tenant. Time shall be of the essence with respect to the giving of Tenant’s Notice. If Tenant does not accept (or fails to timely accept) an offer made by Landlord pursuant to the provisions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with respect to the Offered Space designated in the First Offer Notice and execute the Amendment (defined below) within thirty (30) days after the delivery of the First Offer Notice, then, except as set forth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below, Landlord shall be under no further obligation with respect to such space identified in the First Offer Notice by reason of this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4" w:right="440" w:firstLine="436"/>
        <w:spacing w:after="0" w:line="277" w:lineRule="auto"/>
        <w:tabs>
          <w:tab w:leader="none" w:pos="831"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Tenant must accept all Offered Space offered by Landlord at any one time if it desires to accept any of such Offered Space and may not exercise its right with respect to only part of such space.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4"/>
          </w:cols>
          <w:pgMar w:left="436" w:top="270" w:right="459" w:bottom="1440" w:gutter="0" w:footer="0" w:header="0"/>
        </w:sectPr>
      </w:pPr>
    </w:p>
    <w:bookmarkStart w:id="466" w:name="page467"/>
    <w:bookmarkEnd w:id="466"/>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w:t>
      </w:r>
    </w:p>
    <w:p>
      <w:pPr>
        <w:spacing w:after="0" w:line="184" w:lineRule="exact"/>
        <w:rPr>
          <w:sz w:val="20"/>
          <w:szCs w:val="20"/>
          <w:color w:val="auto"/>
        </w:rPr>
      </w:pPr>
    </w:p>
    <w:p>
      <w:pPr>
        <w:ind w:firstLine="436"/>
        <w:spacing w:after="0" w:line="269" w:lineRule="auto"/>
        <w:tabs>
          <w:tab w:leader="none" w:pos="8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If Tenant does not accept (or fails to timely accept) an offer made by Landlord pursuant to the provisions of this Exhibit D with respect to the Offered Space designated in the First Offer Notice, then Landlord shall be under no further obligation with respect to such space by reason of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provided, however, in the event that Landlord has not leased out the Offered Space and thereafter intends the Offered Space for terms that are materially less favorable to Landlord than those set forth in the First Offer Notice (it being understood and agreed that “materially less favorable” shall mean that the net present value of the material economic terms of the modified transaction is at least ten percent (10%) less than the net present value of the material economic terms set forth in the First Offer Notice), Landlord agrees that Tenant’s rights under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respect to such Offered Space shall be reinstated and Landlord shall provide Tenant with a First Offer Notice if, as, and to the extent, required under the terms of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Additionally, if Tenant timely accepts such offer and fails to execute the ROFO Amendment (defined below) within thirty (30) days after the delivery of the First Offer Notice, then, at Landlord’s sole option, Landlord shall be under no further obligation with respect to such space by reason of this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260" w:firstLine="436"/>
        <w:spacing w:after="0" w:line="301" w:lineRule="auto"/>
        <w:tabs>
          <w:tab w:leader="none" w:pos="8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In the event that Tenant exercises its rights to any Offered Space pursuant to this </w:t>
      </w:r>
      <w:r>
        <w:rPr>
          <w:rFonts w:ascii="Arial" w:cs="Arial" w:eastAsia="Arial" w:hAnsi="Arial"/>
          <w:sz w:val="16"/>
          <w:szCs w:val="16"/>
          <w:u w:val="single" w:color="auto"/>
          <w:color w:val="auto"/>
        </w:rPr>
        <w:t>Exhibit D</w:t>
      </w:r>
      <w:r>
        <w:rPr>
          <w:rFonts w:ascii="Arial" w:cs="Arial" w:eastAsia="Arial" w:hAnsi="Arial"/>
          <w:sz w:val="16"/>
          <w:szCs w:val="16"/>
          <w:color w:val="auto"/>
        </w:rPr>
        <w:t>, then Landlord shall prepare, and Tenant shall execute, an amendment to the Lease which confirms such expansion of the Premises and the other provisions applicable thereto (the “</w:t>
      </w:r>
      <w:r>
        <w:rPr>
          <w:rFonts w:ascii="Arial" w:cs="Arial" w:eastAsia="Arial" w:hAnsi="Arial"/>
          <w:sz w:val="16"/>
          <w:szCs w:val="16"/>
          <w:u w:val="single" w:color="auto"/>
          <w:color w:val="auto"/>
        </w:rPr>
        <w:t>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provided, however, Landlord’s refusal to execute the ROFO Amendment shall not void or nullify Tenant’s right to lease such Offered Space but Tenant’s refusal to execute the ROFO Amendment may, at Landlord’s option, void the Tenant’s right to lease the Offered Space.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80"/>
          </w:cols>
          <w:pgMar w:left="440" w:top="274" w:right="479" w:bottom="1440" w:gutter="0" w:footer="0" w:header="0"/>
        </w:sectPr>
      </w:pPr>
    </w:p>
    <w:bookmarkStart w:id="467" w:name="page468"/>
    <w:bookmarkEnd w:id="4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Fascia Sign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193675</wp:posOffset>
            </wp:positionV>
            <wp:extent cx="5066030" cy="3437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06603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0" w:right="1440"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3"/>
          </w:tcPr>
          <w:p>
            <w:pPr>
              <w:ind w:left="44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40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110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of Organization</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Zoom Voice Communications, Inc.</w:t>
            </w:r>
          </w:p>
        </w:tc>
        <w:tc>
          <w:tcPr>
            <w:tcW w:w="1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ZVC UK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ZVC – AUSTRALIA PTY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ZVC NETHERLANDS B.V.</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ZVC JAPAN KK</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Zoom Video Communications (Suzhou) Inc.</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Saasbee Inc. (Hefei)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SaasBee Software (Hangzhou) Co.,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6032BB"/>
    <w:multiLevelType w:val="hybridMultilevel"/>
    <w:lvl w:ilvl="0">
      <w:lvlJc w:val="left"/>
      <w:lvlText w:val="(%1)"/>
      <w:numFmt w:val="decimal"/>
      <w:start w:val="1"/>
    </w:lvl>
  </w:abstractNum>
  <w:abstractNum w:abstractNumId="1">
    <w:nsid w:val="44344C22"/>
    <w:multiLevelType w:val="hybridMultilevel"/>
    <w:lvl w:ilvl="0">
      <w:lvlJc w:val="left"/>
      <w:lvlText w:val="(%1)"/>
      <w:numFmt w:val="decimal"/>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
      <w:numFmt w:val="bullet"/>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1)"/>
      <w:numFmt w:val="lowerRoman"/>
      <w:start w:val="3"/>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
      <w:numFmt w:val="bullet"/>
      <w:start w:val="1"/>
    </w:lvl>
  </w:abstractNum>
  <w:abstractNum w:abstractNumId="17">
    <w:nsid w:val="52AC7DFF"/>
    <w:multiLevelType w:val="hybridMultilevel"/>
    <w:lvl w:ilvl="0">
      <w:lvlJc w:val="left"/>
      <w:lvlText w:val="(%1)"/>
      <w:numFmt w:val="decimal"/>
      <w:start w:val="2"/>
    </w:lvl>
  </w:abstractNum>
  <w:abstractNum w:abstractNumId="18">
    <w:nsid w:val="C4C3AF"/>
    <w:multiLevelType w:val="hybridMultilevel"/>
    <w:lvl w:ilvl="0">
      <w:lvlJc w:val="left"/>
      <w:lvlText w:val="(%1)"/>
      <w:numFmt w:val="decimal"/>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
      <w:numFmt w:val="bullet"/>
      <w:start w:val="1"/>
    </w:lvl>
  </w:abstractNum>
  <w:abstractNum w:abstractNumId="21">
    <w:nsid w:val="4F294393"/>
    <w:multiLevelType w:val="hybridMultilevel"/>
    <w:lvl w:ilvl="0">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
      <w:numFmt w:val="bullet"/>
      <w:start w:val="1"/>
    </w:lvl>
  </w:abstractNum>
  <w:abstractNum w:abstractNumId="25">
    <w:nsid w:val="2E5B12B8"/>
    <w:multiLevelType w:val="hybridMultilevel"/>
    <w:lvl w:ilvl="0">
      <w:lvlJc w:val="left"/>
      <w:lvlText w:val="•"/>
      <w:numFmt w:val="bullet"/>
      <w:start w:val="1"/>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1)"/>
      <w:numFmt w:val="lowerRoman"/>
      <w:start w:val="2"/>
    </w:lvl>
  </w:abstractNum>
  <w:abstractNum w:abstractNumId="30">
    <w:nsid w:val="435D38D"/>
    <w:multiLevelType w:val="hybridMultilevel"/>
    <w:lvl w:ilvl="0">
      <w:lvlJc w:val="left"/>
      <w:lvlText w:val="•"/>
      <w:numFmt w:val="bullet"/>
      <w:start w:val="1"/>
    </w:lvl>
  </w:abstractNum>
  <w:abstractNum w:abstractNumId="31">
    <w:nsid w:val="822C0EF"/>
    <w:multiLevelType w:val="hybridMultilevel"/>
    <w:lvl w:ilvl="0">
      <w:lvlJc w:val="left"/>
      <w:lvlText w:val="•"/>
      <w:numFmt w:val="bullet"/>
      <w:start w:val="1"/>
    </w:lvl>
  </w:abstractNum>
  <w:abstractNum w:abstractNumId="32">
    <w:nsid w:val="57C5BB4F"/>
    <w:multiLevelType w:val="hybridMultilevel"/>
    <w:lvl w:ilvl="0">
      <w:lvlJc w:val="left"/>
      <w:lvlText w:val="•"/>
      <w:numFmt w:val="bullet"/>
      <w:start w:val="1"/>
    </w:lvl>
  </w:abstractNum>
  <w:abstractNum w:abstractNumId="33">
    <w:nsid w:val="1803D089"/>
    <w:multiLevelType w:val="hybridMultilevel"/>
    <w:lvl w:ilvl="0">
      <w:lvlJc w:val="left"/>
      <w:lvlText w:val="$"/>
      <w:numFmt w:val="bullet"/>
      <w:start w:val="1"/>
    </w:lvl>
  </w:abstractNum>
  <w:abstractNum w:abstractNumId="34">
    <w:nsid w:val="4F3A06D4"/>
    <w:multiLevelType w:val="hybridMultilevel"/>
    <w:lvl w:ilvl="0">
      <w:lvlJc w:val="left"/>
      <w:lvlText w:val="•"/>
      <w:numFmt w:val="bullet"/>
      <w:start w:val="1"/>
    </w:lvl>
  </w:abstractNum>
  <w:abstractNum w:abstractNumId="35">
    <w:nsid w:val="59A377B6"/>
    <w:multiLevelType w:val="hybridMultilevel"/>
    <w:lvl w:ilvl="0">
      <w:lvlJc w:val="left"/>
      <w:lvlText w:val="(%1)"/>
      <w:numFmt w:val="decimal"/>
      <w:start w:val="2"/>
    </w:lvl>
  </w:abstractNum>
  <w:abstractNum w:abstractNumId="36">
    <w:nsid w:val="48AEB063"/>
    <w:multiLevelType w:val="hybridMultilevel"/>
    <w:lvl w:ilvl="0">
      <w:lvlJc w:val="left"/>
      <w:lvlText w:val="•"/>
      <w:numFmt w:val="bullet"/>
      <w:start w:val="1"/>
    </w:lvl>
  </w:abstractNum>
  <w:abstractNum w:abstractNumId="37">
    <w:nsid w:val="24E135"/>
    <w:multiLevelType w:val="hybridMultilevel"/>
    <w:lvl w:ilvl="0">
      <w:lvlJc w:val="left"/>
      <w:lvlText w:val="(%1)"/>
      <w:numFmt w:val="decimal"/>
      <w:start w:val="1"/>
    </w:lvl>
  </w:abstractNum>
  <w:abstractNum w:abstractNumId="38">
    <w:nsid w:val="BB13C1"/>
    <w:multiLevelType w:val="hybridMultilevel"/>
    <w:lvl w:ilvl="0">
      <w:lvlJc w:val="left"/>
      <w:lvlText w:val="(%1)"/>
      <w:numFmt w:val="decimal"/>
      <w:start w:val="2"/>
    </w:lvl>
  </w:abstractNum>
  <w:abstractNum w:abstractNumId="39">
    <w:nsid w:val="271210C7"/>
    <w:multiLevelType w:val="hybridMultilevel"/>
    <w:lvl w:ilvl="0">
      <w:lvlJc w:val="left"/>
      <w:lvlText w:val="(%1)"/>
      <w:numFmt w:val="decimal"/>
      <w:start w:val="1"/>
    </w:lvl>
  </w:abstractNum>
  <w:abstractNum w:abstractNumId="40">
    <w:nsid w:val="217B22E4"/>
    <w:multiLevelType w:val="hybridMultilevel"/>
    <w:lvl w:ilvl="0">
      <w:lvlJc w:val="left"/>
      <w:lvlText w:val="•"/>
      <w:numFmt w:val="bullet"/>
      <w:start w:val="1"/>
    </w:lvl>
  </w:abstractNum>
  <w:abstractNum w:abstractNumId="41">
    <w:nsid w:val="53E31A24"/>
    <w:multiLevelType w:val="hybridMultilevel"/>
    <w:lvl w:ilvl="0">
      <w:lvlJc w:val="left"/>
      <w:lvlText w:val="•"/>
      <w:numFmt w:val="bullet"/>
      <w:start w:val="1"/>
    </w:lvl>
  </w:abstractNum>
  <w:abstractNum w:abstractNumId="42">
    <w:nsid w:val="6DC45E83"/>
    <w:multiLevelType w:val="hybridMultilevel"/>
    <w:lvl w:ilvl="0">
      <w:lvlJc w:val="left"/>
      <w:lvlText w:val="•"/>
      <w:numFmt w:val="bullet"/>
      <w:start w:val="1"/>
    </w:lvl>
  </w:abstractNum>
  <w:abstractNum w:abstractNumId="43">
    <w:nsid w:val="17304A67"/>
    <w:multiLevelType w:val="hybridMultilevel"/>
    <w:lvl w:ilvl="0">
      <w:lvlJc w:val="left"/>
      <w:lvlText w:val="•"/>
      <w:numFmt w:val="bullet"/>
      <w:start w:val="1"/>
    </w:lvl>
  </w:abstractNum>
  <w:abstractNum w:abstractNumId="44">
    <w:nsid w:val="2BB180D8"/>
    <w:multiLevelType w:val="hybridMultilevel"/>
    <w:lvl w:ilvl="0">
      <w:lvlJc w:val="left"/>
      <w:lvlText w:val="•"/>
      <w:numFmt w:val="bullet"/>
      <w:start w:val="1"/>
    </w:lvl>
  </w:abstractNum>
  <w:abstractNum w:abstractNumId="45">
    <w:nsid w:val="556B69ED"/>
    <w:multiLevelType w:val="hybridMultilevel"/>
    <w:lvl w:ilvl="0">
      <w:lvlJc w:val="left"/>
      <w:lvlText w:val="•"/>
      <w:numFmt w:val="bullet"/>
      <w:start w:val="1"/>
    </w:lvl>
  </w:abstractNum>
  <w:abstractNum w:abstractNumId="46">
    <w:nsid w:val="70836196"/>
    <w:multiLevelType w:val="hybridMultilevel"/>
    <w:lvl w:ilvl="0">
      <w:lvlJc w:val="left"/>
      <w:lvlText w:val="•"/>
      <w:numFmt w:val="bullet"/>
      <w:start w:val="1"/>
    </w:lvl>
  </w:abstractNum>
  <w:abstractNum w:abstractNumId="47">
    <w:nsid w:val="539F7F12"/>
    <w:multiLevelType w:val="hybridMultilevel"/>
    <w:lvl w:ilvl="0">
      <w:lvlJc w:val="left"/>
      <w:lvlText w:val="•"/>
      <w:numFmt w:val="bullet"/>
      <w:start w:val="1"/>
    </w:lvl>
  </w:abstractNum>
  <w:abstractNum w:abstractNumId="48">
    <w:nsid w:val="2817E7EC"/>
    <w:multiLevelType w:val="hybridMultilevel"/>
    <w:lvl w:ilvl="0">
      <w:lvlJc w:val="left"/>
      <w:lvlText w:val="•"/>
      <w:numFmt w:val="bullet"/>
      <w:start w:val="1"/>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
      <w:numFmt w:val="bullet"/>
      <w:start w:val="1"/>
    </w:lvl>
  </w:abstractNum>
  <w:abstractNum w:abstractNumId="51">
    <w:nsid w:val="141D2302"/>
    <w:multiLevelType w:val="hybridMultilevel"/>
    <w:lvl w:ilvl="0">
      <w:lvlJc w:val="left"/>
      <w:lvlText w:val="•"/>
      <w:numFmt w:val="bullet"/>
      <w:start w:val="1"/>
    </w:lvl>
  </w:abstractNum>
  <w:abstractNum w:abstractNumId="52">
    <w:nsid w:val="407168D8"/>
    <w:multiLevelType w:val="hybridMultilevel"/>
    <w:lvl w:ilvl="0">
      <w:lvlJc w:val="left"/>
      <w:lvlText w:val="•"/>
      <w:numFmt w:val="bullet"/>
      <w:start w:val="1"/>
    </w:lvl>
  </w:abstractNum>
  <w:abstractNum w:abstractNumId="53">
    <w:nsid w:val="6A1B45E5"/>
    <w:multiLevelType w:val="hybridMultilevel"/>
    <w:lvl w:ilvl="0">
      <w:lvlJc w:val="left"/>
      <w:lvlText w:val="•"/>
      <w:numFmt w:val="bullet"/>
      <w:start w:val="1"/>
    </w:lvl>
  </w:abstractNum>
  <w:abstractNum w:abstractNumId="54">
    <w:nsid w:val="567BD50A"/>
    <w:multiLevelType w:val="hybridMultilevel"/>
    <w:lvl w:ilvl="0">
      <w:lvlJc w:val="left"/>
      <w:lvlText w:val="•"/>
      <w:numFmt w:val="bullet"/>
      <w:start w:val="1"/>
    </w:lvl>
  </w:abstractNum>
  <w:abstractNum w:abstractNumId="55">
    <w:nsid w:val="73BBD7F8"/>
    <w:multiLevelType w:val="hybridMultilevel"/>
    <w:lvl w:ilvl="0">
      <w:lvlJc w:val="left"/>
      <w:lvlText w:val="(%1)"/>
      <w:numFmt w:val="decimal"/>
      <w:start w:val="1"/>
    </w:lvl>
  </w:abstractNum>
  <w:abstractNum w:abstractNumId="56">
    <w:nsid w:val="1876589D"/>
    <w:multiLevelType w:val="hybridMultilevel"/>
    <w:lvl w:ilvl="0">
      <w:lvlJc w:val="left"/>
      <w:lvlText w:val="•"/>
      <w:numFmt w:val="bullet"/>
      <w:start w:val="1"/>
    </w:lvl>
  </w:abstractNum>
  <w:abstractNum w:abstractNumId="57">
    <w:nsid w:val="327FAC77"/>
    <w:multiLevelType w:val="hybridMultilevel"/>
    <w:lvl w:ilvl="0">
      <w:lvlJc w:val="left"/>
      <w:lvlText w:val="•"/>
      <w:numFmt w:val="bullet"/>
      <w:start w:val="1"/>
    </w:lvl>
  </w:abstractNum>
  <w:abstractNum w:abstractNumId="58">
    <w:nsid w:val="5A606509"/>
    <w:multiLevelType w:val="hybridMultilevel"/>
    <w:lvl w:ilvl="0">
      <w:lvlJc w:val="left"/>
      <w:lvlText w:val="•"/>
      <w:numFmt w:val="bullet"/>
      <w:start w:val="1"/>
    </w:lvl>
  </w:abstractNum>
  <w:abstractNum w:abstractNumId="59">
    <w:nsid w:val="6F38E6D1"/>
    <w:multiLevelType w:val="hybridMultilevel"/>
    <w:lvl w:ilvl="0">
      <w:lvlJc w:val="left"/>
      <w:lvlText w:val="•"/>
      <w:numFmt w:val="bullet"/>
      <w:start w:val="1"/>
    </w:lvl>
  </w:abstractNum>
  <w:abstractNum w:abstractNumId="60">
    <w:nsid w:val="46111BA5"/>
    <w:multiLevelType w:val="hybridMultilevel"/>
    <w:lvl w:ilvl="0">
      <w:lvlJc w:val="left"/>
      <w:lvlText w:val="(%1)"/>
      <w:numFmt w:val="decimal"/>
      <w:start w:val="1"/>
    </w:lvl>
  </w:abstractNum>
  <w:abstractNum w:abstractNumId="61">
    <w:nsid w:val="5E963896"/>
    <w:multiLevelType w:val="hybridMultilevel"/>
    <w:lvl w:ilvl="0">
      <w:lvlJc w:val="left"/>
      <w:lvlText w:val="•"/>
      <w:numFmt w:val="bullet"/>
      <w:start w:val="1"/>
    </w:lvl>
  </w:abstractNum>
  <w:abstractNum w:abstractNumId="62">
    <w:nsid w:val="775BA7C1"/>
    <w:multiLevelType w:val="hybridMultilevel"/>
    <w:lvl w:ilvl="0">
      <w:lvlJc w:val="left"/>
      <w:lvlText w:val="(%1)"/>
      <w:numFmt w:val="decimal"/>
      <w:start w:val="1"/>
    </w:lvl>
  </w:abstractNum>
  <w:abstractNum w:abstractNumId="63">
    <w:nsid w:val="1DD6D6F4"/>
    <w:multiLevelType w:val="hybridMultilevel"/>
    <w:lvl w:ilvl="0">
      <w:lvlJc w:val="left"/>
      <w:lvlText w:val="*"/>
      <w:numFmt w:val="bullet"/>
      <w:start w:val="1"/>
    </w:lvl>
  </w:abstractNum>
  <w:abstractNum w:abstractNumId="64">
    <w:nsid w:val="769A091F"/>
    <w:multiLevelType w:val="hybridMultilevel"/>
    <w:lvl w:ilvl="0">
      <w:lvlJc w:val="left"/>
      <w:lvlText w:val="(%1)"/>
      <w:numFmt w:val="decimal"/>
      <w:start w:val="1"/>
    </w:lvl>
  </w:abstractNum>
  <w:abstractNum w:abstractNumId="65">
    <w:nsid w:val="4695AE95"/>
    <w:multiLevelType w:val="hybridMultilevel"/>
    <w:lvl w:ilvl="0">
      <w:lvlJc w:val="left"/>
      <w:lvlText w:val="(%1)"/>
      <w:numFmt w:val="decimal"/>
      <w:start w:val="2"/>
    </w:lvl>
  </w:abstractNum>
  <w:abstractNum w:abstractNumId="66">
    <w:nsid w:val="777A4EAA"/>
    <w:multiLevelType w:val="hybridMultilevel"/>
    <w:lvl w:ilvl="0">
      <w:lvlJc w:val="left"/>
      <w:lvlText w:val="•"/>
      <w:numFmt w:val="bullet"/>
      <w:start w:val="1"/>
    </w:lvl>
  </w:abstractNum>
  <w:abstractNum w:abstractNumId="67">
    <w:nsid w:val="3F48B982"/>
    <w:multiLevelType w:val="hybridMultilevel"/>
    <w:lvl w:ilvl="0">
      <w:lvlJc w:val="left"/>
      <w:lvlText w:val="•"/>
      <w:numFmt w:val="bullet"/>
      <w:start w:val="1"/>
    </w:lvl>
  </w:abstractNum>
  <w:abstractNum w:abstractNumId="68">
    <w:nsid w:val="46BA8FCA"/>
    <w:multiLevelType w:val="hybridMultilevel"/>
    <w:lvl w:ilvl="0">
      <w:lvlJc w:val="left"/>
      <w:lvlText w:val="•"/>
      <w:numFmt w:val="bullet"/>
      <w:start w:val="1"/>
    </w:lvl>
  </w:abstractNum>
  <w:abstractNum w:abstractNumId="69">
    <w:nsid w:val="7835626C"/>
    <w:multiLevelType w:val="hybridMultilevel"/>
    <w:lvl w:ilvl="0">
      <w:lvlJc w:val="left"/>
      <w:lvlText w:val="(%1)"/>
      <w:numFmt w:val="decimal"/>
      <w:start w:val="1"/>
    </w:lvl>
  </w:abstractNum>
  <w:abstractNum w:abstractNumId="70">
    <w:nsid w:val="665ACA49"/>
    <w:multiLevelType w:val="hybridMultilevel"/>
    <w:lvl w:ilvl="0">
      <w:lvlJc w:val="left"/>
      <w:lvlText w:val="•"/>
      <w:numFmt w:val="bullet"/>
      <w:start w:val="1"/>
    </w:lvl>
  </w:abstractNum>
  <w:abstractNum w:abstractNumId="71">
    <w:nsid w:val="6835B2AE"/>
    <w:multiLevelType w:val="hybridMultilevel"/>
    <w:lvl w:ilvl="0">
      <w:lvlJc w:val="left"/>
      <w:lvlText w:val="*"/>
      <w:numFmt w:val="bullet"/>
      <w:start w:val="1"/>
    </w:lvl>
  </w:abstractNum>
  <w:abstractNum w:abstractNumId="72">
    <w:nsid w:val="4C187C90"/>
    <w:multiLevelType w:val="hybridMultilevel"/>
    <w:lvl w:ilvl="0">
      <w:lvlJc w:val="left"/>
      <w:lvlText w:val="(%1)"/>
      <w:numFmt w:val="decimal"/>
      <w:start w:val="1"/>
    </w:lvl>
  </w:abstractNum>
  <w:abstractNum w:abstractNumId="73">
    <w:nsid w:val="541F28CD"/>
    <w:multiLevelType w:val="hybridMultilevel"/>
    <w:lvl w:ilvl="0">
      <w:lvlJc w:val="left"/>
      <w:lvlText w:val="(%1)"/>
      <w:numFmt w:val="decimal"/>
      <w:start w:val="3"/>
    </w:lvl>
  </w:abstractNum>
  <w:abstractNum w:abstractNumId="74">
    <w:nsid w:val="7F65FD16"/>
    <w:multiLevelType w:val="hybridMultilevel"/>
    <w:lvl w:ilvl="0">
      <w:lvlJc w:val="left"/>
      <w:lvlText w:val="•"/>
      <w:numFmt w:val="bullet"/>
      <w:start w:val="1"/>
    </w:lvl>
  </w:abstractNum>
  <w:abstractNum w:abstractNumId="75">
    <w:nsid w:val="77C9FD68"/>
    <w:multiLevelType w:val="hybridMultilevel"/>
    <w:lvl w:ilvl="0">
      <w:lvlJc w:val="left"/>
      <w:lvlText w:val="(%1)"/>
      <w:numFmt w:val="lowerRoman"/>
      <w:start w:val="3"/>
    </w:lvl>
  </w:abstractNum>
  <w:abstractNum w:abstractNumId="76">
    <w:nsid w:val="298A92BA"/>
    <w:multiLevelType w:val="hybridMultilevel"/>
    <w:lvl w:ilvl="0">
      <w:lvlJc w:val="left"/>
      <w:lvlText w:val="(%1)"/>
      <w:numFmt w:val="lowerRoman"/>
      <w:start w:val="2"/>
    </w:lvl>
  </w:abstractNum>
  <w:abstractNum w:abstractNumId="77">
    <w:nsid w:val="6FE95EAC"/>
    <w:multiLevelType w:val="hybridMultilevel"/>
    <w:lvl w:ilvl="0">
      <w:lvlJc w:val="left"/>
      <w:lvlText w:val="•"/>
      <w:numFmt w:val="bullet"/>
      <w:start w:val="1"/>
    </w:lvl>
  </w:abstractNum>
  <w:abstractNum w:abstractNumId="78">
    <w:nsid w:val="4B697C7A"/>
    <w:multiLevelType w:val="hybridMultilevel"/>
    <w:lvl w:ilvl="0">
      <w:lvlJc w:val="left"/>
      <w:lvlText w:val="•"/>
      <w:numFmt w:val="bullet"/>
      <w:start w:val="1"/>
    </w:lvl>
  </w:abstractNum>
  <w:abstractNum w:abstractNumId="79">
    <w:nsid w:val="51A27AA6"/>
    <w:multiLevelType w:val="hybridMultilevel"/>
    <w:lvl w:ilvl="0">
      <w:lvlJc w:val="left"/>
      <w:lvlText w:val="•"/>
      <w:numFmt w:val="bullet"/>
      <w:start w:val="1"/>
    </w:lvl>
  </w:abstractNum>
  <w:abstractNum w:abstractNumId="80">
    <w:nsid w:val="613183F2"/>
    <w:multiLevelType w:val="hybridMultilevel"/>
    <w:lvl w:ilvl="0">
      <w:lvlJc w:val="left"/>
      <w:lvlText w:val="$"/>
      <w:numFmt w:val="bullet"/>
      <w:start w:val="1"/>
    </w:lvl>
  </w:abstractNum>
  <w:abstractNum w:abstractNumId="81">
    <w:nsid w:val="634102B4"/>
    <w:multiLevelType w:val="hybridMultilevel"/>
    <w:lvl w:ilvl="0">
      <w:lvlJc w:val="left"/>
      <w:lvlText w:val="•"/>
      <w:numFmt w:val="bullet"/>
      <w:start w:val="1"/>
    </w:lvl>
  </w:abstractNum>
  <w:abstractNum w:abstractNumId="82">
    <w:nsid w:val="65BF9DA8"/>
    <w:multiLevelType w:val="hybridMultilevel"/>
    <w:lvl w:ilvl="0">
      <w:lvlJc w:val="left"/>
      <w:lvlText w:val="•"/>
      <w:numFmt w:val="bullet"/>
      <w:start w:val="1"/>
    </w:lvl>
  </w:abstractNum>
  <w:abstractNum w:abstractNumId="83">
    <w:nsid w:val="21A2ECCA"/>
    <w:multiLevelType w:val="hybridMultilevel"/>
    <w:lvl w:ilvl="0">
      <w:lvlJc w:val="left"/>
      <w:lvlText w:val="•"/>
      <w:numFmt w:val="bullet"/>
      <w:start w:val="1"/>
    </w:lvl>
  </w:abstractNum>
  <w:abstractNum w:abstractNumId="84">
    <w:nsid w:val="4D5C4899"/>
    <w:multiLevelType w:val="hybridMultilevel"/>
    <w:lvl w:ilvl="0">
      <w:lvlJc w:val="left"/>
      <w:lvlText w:val="•"/>
      <w:numFmt w:val="bullet"/>
      <w:start w:val="1"/>
    </w:lvl>
  </w:abstractNum>
  <w:abstractNum w:abstractNumId="85">
    <w:nsid w:val="3C3B72B2"/>
    <w:multiLevelType w:val="hybridMultilevel"/>
    <w:lvl w:ilvl="0">
      <w:lvlJc w:val="left"/>
      <w:lvlText w:val="•"/>
      <w:numFmt w:val="bullet"/>
      <w:start w:val="1"/>
    </w:lvl>
  </w:abstractNum>
  <w:abstractNum w:abstractNumId="86">
    <w:nsid w:val="155EC4C2"/>
    <w:multiLevelType w:val="hybridMultilevel"/>
    <w:lvl w:ilvl="0">
      <w:lvlJc w:val="left"/>
      <w:lvlText w:val="(%1)"/>
      <w:numFmt w:val="lowerLetter"/>
      <w:start w:val="1"/>
    </w:lvl>
  </w:abstractNum>
  <w:abstractNum w:abstractNumId="87">
    <w:nsid w:val="65D2A137"/>
    <w:multiLevelType w:val="hybridMultilevel"/>
    <w:lvl w:ilvl="0">
      <w:lvlJc w:val="left"/>
      <w:lvlText w:val="(%1)"/>
      <w:numFmt w:val="lowerLetter"/>
      <w:start w:val="1"/>
    </w:lvl>
  </w:abstractNum>
  <w:abstractNum w:abstractNumId="88">
    <w:nsid w:val="6EBB1F2A"/>
    <w:multiLevelType w:val="hybridMultilevel"/>
    <w:lvl w:ilvl="0">
      <w:lvlJc w:val="left"/>
      <w:lvlText w:val="(%1)"/>
      <w:numFmt w:val="lowerLetter"/>
      <w:start w:val="2"/>
    </w:lvl>
  </w:abstractNum>
  <w:abstractNum w:abstractNumId="89">
    <w:nsid w:val="6FBF29CB"/>
    <w:multiLevelType w:val="hybridMultilevel"/>
    <w:lvl w:ilvl="0">
      <w:lvlJc w:val="left"/>
      <w:lvlText w:val="%1."/>
      <w:numFmt w:val="decimal"/>
      <w:start w:val="718"/>
    </w:lvl>
  </w:abstractNum>
  <w:abstractNum w:abstractNumId="90">
    <w:nsid w:val="550B8808"/>
    <w:multiLevelType w:val="hybridMultilevel"/>
    <w:lvl w:ilvl="0">
      <w:lvlJc w:val="left"/>
      <w:lvlText w:val="%1."/>
      <w:numFmt w:val="decimal"/>
      <w:start w:val="6"/>
    </w:lvl>
  </w:abstractNum>
  <w:abstractNum w:abstractNumId="91">
    <w:nsid w:val="34CC3ACF"/>
    <w:multiLevelType w:val="hybridMultilevel"/>
    <w:lvl w:ilvl="0">
      <w:lvlJc w:val="left"/>
      <w:lvlText w:val="•"/>
      <w:numFmt w:val="bullet"/>
      <w:start w:val="1"/>
    </w:lvl>
  </w:abstractNum>
  <w:abstractNum w:abstractNumId="92">
    <w:nsid w:val="4E556261"/>
    <w:multiLevelType w:val="hybridMultilevel"/>
    <w:lvl w:ilvl="0">
      <w:lvlJc w:val="left"/>
      <w:lvlText w:val="•"/>
      <w:numFmt w:val="bullet"/>
      <w:start w:val="1"/>
    </w:lvl>
  </w:abstractNum>
  <w:abstractNum w:abstractNumId="93">
    <w:nsid w:val="4C672FC9"/>
    <w:multiLevelType w:val="hybridMultilevel"/>
    <w:lvl w:ilvl="0">
      <w:lvlJc w:val="left"/>
      <w:lvlText w:val="(%1)"/>
      <w:numFmt w:val="lowerLetter"/>
      <w:start w:val="2"/>
    </w:lvl>
  </w:abstractNum>
  <w:abstractNum w:abstractNumId="94">
    <w:nsid w:val="52A311C3"/>
    <w:multiLevelType w:val="hybridMultilevel"/>
    <w:lvl w:ilvl="0">
      <w:lvlJc w:val="left"/>
      <w:lvlText w:val="*"/>
      <w:numFmt w:val="bullet"/>
      <w:start w:val="1"/>
    </w:lvl>
  </w:abstractNum>
  <w:abstractNum w:abstractNumId="95">
    <w:nsid w:val="44EF6B80"/>
    <w:multiLevelType w:val="hybridMultilevel"/>
    <w:lvl w:ilvl="0">
      <w:lvlJc w:val="left"/>
      <w:lvlText w:val="$"/>
      <w:numFmt w:val="bullet"/>
      <w:start w:val="1"/>
    </w:lvl>
  </w:abstractNum>
  <w:abstractNum w:abstractNumId="96">
    <w:nsid w:val="12FCDE5E"/>
    <w:multiLevelType w:val="hybridMultilevel"/>
    <w:lvl w:ilvl="0">
      <w:lvlJc w:val="left"/>
      <w:lvlText w:val="$"/>
      <w:numFmt w:val="bullet"/>
      <w:start w:val="1"/>
    </w:lvl>
  </w:abstractNum>
  <w:abstractNum w:abstractNumId="97">
    <w:nsid w:val="4A1D606E"/>
    <w:multiLevelType w:val="hybridMultilevel"/>
    <w:lvl w:ilvl="0">
      <w:lvlJc w:val="left"/>
      <w:lvlText w:val="(%1)"/>
      <w:numFmt w:val="decimal"/>
      <w:start w:val="1"/>
    </w:lvl>
  </w:abstractNum>
  <w:abstractNum w:abstractNumId="98">
    <w:nsid w:val="4382503"/>
    <w:multiLevelType w:val="hybridMultilevel"/>
    <w:lvl w:ilvl="0">
      <w:lvlJc w:val="left"/>
      <w:lvlText w:val="(%1)"/>
      <w:numFmt w:val="decimal"/>
      <w:start w:val="2"/>
    </w:lvl>
  </w:abstractNum>
  <w:abstractNum w:abstractNumId="99">
    <w:nsid w:val="59B76E28"/>
    <w:multiLevelType w:val="hybridMultilevel"/>
    <w:lvl w:ilvl="0">
      <w:lvlJc w:val="left"/>
      <w:lvlText w:val="%1."/>
      <w:numFmt w:val="decimal"/>
      <w:start w:val="701"/>
    </w:lvl>
  </w:abstractNum>
  <w:abstractNum w:abstractNumId="100">
    <w:nsid w:val="4252C2DA"/>
    <w:multiLevelType w:val="hybridMultilevel"/>
    <w:lvl w:ilvl="0">
      <w:lvlJc w:val="left"/>
      <w:lvlText w:val="*"/>
      <w:numFmt w:val="bullet"/>
      <w:start w:val="1"/>
    </w:lvl>
  </w:abstractNum>
  <w:abstractNum w:abstractNumId="101">
    <w:nsid w:val="6A92EF4C"/>
    <w:multiLevelType w:val="hybridMultilevel"/>
    <w:lvl w:ilvl="0">
      <w:lvlJc w:val="left"/>
      <w:lvlText w:val="(%1)"/>
      <w:numFmt w:val="decimal"/>
      <w:start w:val="1"/>
    </w:lvl>
  </w:abstractNum>
  <w:abstractNum w:abstractNumId="102">
    <w:nsid w:val="41ED20D7"/>
    <w:multiLevelType w:val="hybridMultilevel"/>
    <w:lvl w:ilvl="0">
      <w:lvlJc w:val="left"/>
      <w:lvlText w:val="%1"/>
      <w:numFmt w:val="decimal"/>
      <w:start w:val="1"/>
    </w:lvl>
    <w:lvl w:ilvl="1">
      <w:lvlJc w:val="left"/>
      <w:lvlText w:val="%2."/>
      <w:numFmt w:val="decimal"/>
      <w:start w:val="1"/>
    </w:lvl>
  </w:abstractNum>
  <w:abstractNum w:abstractNumId="103">
    <w:nsid w:val="E6B3F6A"/>
    <w:multiLevelType w:val="hybridMultilevel"/>
    <w:lvl w:ilvl="0">
      <w:lvlJc w:val="left"/>
      <w:lvlText w:val="(%1)"/>
      <w:numFmt w:val="decimal"/>
      <w:start w:val="1"/>
    </w:lvl>
    <w:lvl w:ilvl="1">
      <w:lvlJc w:val="left"/>
      <w:lvlText w:val="%2."/>
      <w:numFmt w:val="decimal"/>
      <w:start w:val="2"/>
    </w:lvl>
  </w:abstractNum>
  <w:abstractNum w:abstractNumId="104">
    <w:nsid w:val="3EB21819"/>
    <w:multiLevelType w:val="hybridMultilevel"/>
    <w:lvl w:ilvl="0">
      <w:lvlJc w:val="left"/>
      <w:lvlText w:val="%1."/>
      <w:numFmt w:val="decimal"/>
      <w:start w:val="1"/>
    </w:lvl>
    <w:lvl w:ilvl="1">
      <w:lvlJc w:val="left"/>
      <w:lvlText w:val="(%2)"/>
      <w:numFmt w:val="lowerLetter"/>
      <w:start w:val="1"/>
    </w:lvl>
  </w:abstractNum>
  <w:abstractNum w:abstractNumId="105">
    <w:nsid w:val="41531DED"/>
    <w:multiLevelType w:val="hybridMultilevel"/>
    <w:lvl w:ilvl="0">
      <w:lvlJc w:val="left"/>
      <w:lvlText w:val="%1"/>
      <w:numFmt w:val="lowerRoman"/>
      <w:start w:val="1"/>
    </w:lvl>
    <w:lvl w:ilvl="1">
      <w:lvlJc w:val="left"/>
      <w:lvlText w:val="(%2)"/>
      <w:numFmt w:val="lowerLetter"/>
      <w:start w:val="2"/>
    </w:lvl>
  </w:abstractNum>
  <w:abstractNum w:abstractNumId="106">
    <w:nsid w:val="6353CD2"/>
    <w:multiLevelType w:val="hybridMultilevel"/>
    <w:lvl w:ilvl="0">
      <w:lvlJc w:val="left"/>
      <w:lvlText w:val="(%1)"/>
      <w:numFmt w:val="lowerRoman"/>
      <w:start w:val="6"/>
    </w:lvl>
    <w:lvl w:ilvl="1">
      <w:lvlJc w:val="left"/>
      <w:lvlText w:val="(%2)"/>
      <w:numFmt w:val="lowerLetter"/>
      <w:start w:val="3"/>
    </w:lvl>
  </w:abstractNum>
  <w:abstractNum w:abstractNumId="107">
    <w:nsid w:val="683CAAD3"/>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108">
    <w:nsid w:val="313C7C99"/>
    <w:multiLevelType w:val="hybridMultilevel"/>
    <w:lvl w:ilvl="0">
      <w:lvlJc w:val="left"/>
      <w:lvlText w:val="(%1)"/>
      <w:numFmt w:val="upperLetter"/>
      <w:start w:val="1"/>
    </w:lvl>
    <w:lvl w:ilvl="1">
      <w:lvlJc w:val="left"/>
      <w:lvlText w:val="(%2)"/>
      <w:numFmt w:val="lowerLetter"/>
      <w:start w:val="17"/>
    </w:lvl>
    <w:lvl w:ilvl="2">
      <w:lvlJc w:val="left"/>
      <w:lvlText w:val="%3"/>
      <w:numFmt w:val="lowerRoman"/>
      <w:start w:val="1"/>
    </w:lvl>
  </w:abstractNum>
  <w:abstractNum w:abstractNumId="109">
    <w:nsid w:val="519EB94C"/>
    <w:multiLevelType w:val="hybridMultilevel"/>
    <w:lvl w:ilvl="0">
      <w:lvlJc w:val="left"/>
      <w:lvlText w:val="%1"/>
      <w:numFmt w:val="upperLetter"/>
      <w:start w:val="1"/>
    </w:lvl>
    <w:lvl w:ilvl="1">
      <w:lvlJc w:val="left"/>
      <w:lvlText w:val="(%2)"/>
      <w:numFmt w:val="lowerLetter"/>
      <w:start w:val="21"/>
    </w:lvl>
    <w:lvl w:ilvl="2">
      <w:lvlJc w:val="left"/>
      <w:lvlText w:val="(%3)"/>
      <w:numFmt w:val="lowerRoman"/>
      <w:start w:val="1"/>
    </w:lvl>
  </w:abstractNum>
  <w:abstractNum w:abstractNumId="110">
    <w:nsid w:val="39DF257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111">
    <w:nsid w:val="126E008B"/>
    <w:multiLevelType w:val="hybridMultilevel"/>
    <w:lvl w:ilvl="0">
      <w:lvlJc w:val="left"/>
      <w:lvlText w:val="%1"/>
      <w:numFmt w:val="decimal"/>
      <w:start w:val="1"/>
    </w:lvl>
    <w:lvl w:ilvl="1">
      <w:lvlJc w:val="left"/>
      <w:lvlText w:val="(%2)"/>
      <w:numFmt w:val="lowerLetter"/>
      <w:start w:val="25"/>
    </w:lvl>
  </w:abstractNum>
  <w:abstractNum w:abstractNumId="112">
    <w:nsid w:val="34DFBC00"/>
    <w:multiLevelType w:val="hybridMultilevel"/>
    <w:lvl w:ilvl="0">
      <w:lvlJc w:val="left"/>
      <w:lvlText w:val="%1."/>
      <w:numFmt w:val="decimal"/>
      <w:start w:val="2"/>
    </w:lvl>
    <w:lvl w:ilvl="1">
      <w:lvlJc w:val="left"/>
      <w:lvlText w:val="(%2)"/>
      <w:numFmt w:val="lowerLetter"/>
      <w:start w:val="1"/>
    </w:lvl>
  </w:abstractNum>
  <w:abstractNum w:abstractNumId="113">
    <w:nsid w:val="1F9EC32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4">
    <w:nsid w:val="3410ED5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5">
    <w:nsid w:val="23C049A"/>
    <w:multiLevelType w:val="hybridMultilevel"/>
    <w:lvl w:ilvl="0">
      <w:lvlJc w:val="left"/>
      <w:lvlText w:val="(%1)"/>
      <w:numFmt w:val="lowerLetter"/>
      <w:start w:val="3"/>
    </w:lvl>
    <w:lvl w:ilvl="1">
      <w:lvlJc w:val="left"/>
      <w:lvlText w:val="(%2)"/>
      <w:numFmt w:val="lowerRoman"/>
      <w:start w:val="1"/>
    </w:lvl>
  </w:abstractNum>
  <w:abstractNum w:abstractNumId="116">
    <w:nsid w:val="5BDA35D4"/>
    <w:multiLevelType w:val="hybridMultilevel"/>
    <w:lvl w:ilvl="0">
      <w:lvlJc w:val="left"/>
      <w:lvlText w:val="%1."/>
      <w:numFmt w:val="decimal"/>
      <w:start w:val="4"/>
    </w:lvl>
    <w:lvl w:ilvl="1">
      <w:lvlJc w:val="left"/>
      <w:lvlText w:val="(%2)"/>
      <w:numFmt w:val="lowerLetter"/>
      <w:start w:val="1"/>
    </w:lvl>
  </w:abstractNum>
  <w:abstractNum w:abstractNumId="117">
    <w:nsid w:val="496FB21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18">
    <w:nsid w:val="680EA5D1"/>
    <w:multiLevelType w:val="hybridMultilevel"/>
    <w:lvl w:ilvl="0">
      <w:lvlJc w:val="left"/>
      <w:lvlText w:val="(%1)"/>
      <w:numFmt w:val="decimal"/>
      <w:start w:val="2"/>
    </w:lvl>
  </w:abstractNum>
  <w:abstractNum w:abstractNumId="119">
    <w:nsid w:val="4A9554FE"/>
    <w:multiLevelType w:val="hybridMultilevel"/>
    <w:lvl w:ilvl="0">
      <w:lvlJc w:val="left"/>
      <w:lvlText w:val="(%1)"/>
      <w:numFmt w:val="lowerRoman"/>
      <w:start w:val="2"/>
    </w:lvl>
  </w:abstractNum>
  <w:abstractNum w:abstractNumId="120">
    <w:nsid w:val="392EDBE4"/>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21">
    <w:nsid w:val="3D1A2DD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lvl w:ilvl="3">
      <w:lvlJc w:val="left"/>
      <w:lvlText w:val="%4"/>
      <w:numFmt w:val="upperLetter"/>
      <w:start w:val="1"/>
    </w:lvl>
  </w:abstractNum>
  <w:abstractNum w:abstractNumId="122">
    <w:nsid w:val="7F618FCD"/>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23">
    <w:nsid w:val="7843E4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24">
    <w:nsid w:val="9815DA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4"/>
    </w:lvl>
  </w:abstractNum>
  <w:abstractNum w:abstractNumId="125">
    <w:nsid w:val="5204A191"/>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126">
    <w:nsid w:val="4C73A9C6"/>
    <w:multiLevelType w:val="hybridMultilevel"/>
    <w:lvl w:ilvl="0">
      <w:lvlJc w:val="left"/>
      <w:lvlText w:val="(%1)"/>
      <w:numFmt w:val="lowerLetter"/>
      <w:start w:val="8"/>
    </w:lvl>
    <w:lvl w:ilvl="1">
      <w:lvlJc w:val="left"/>
      <w:lvlText w:val="(%2)"/>
      <w:numFmt w:val="lowerRoman"/>
      <w:start w:val="1"/>
    </w:lvl>
  </w:abstractNum>
  <w:abstractNum w:abstractNumId="127">
    <w:nsid w:val="1C7E3C01"/>
    <w:multiLevelType w:val="hybridMultilevel"/>
    <w:lvl w:ilvl="0">
      <w:lvlJc w:val="left"/>
      <w:lvlText w:val="(%1)"/>
      <w:numFmt w:val="lowerLetter"/>
      <w:start w:val="11"/>
    </w:lvl>
  </w:abstractNum>
  <w:abstractNum w:abstractNumId="128">
    <w:nsid w:val="1C2201FF"/>
    <w:multiLevelType w:val="hybridMultilevel"/>
    <w:lvl w:ilvl="0">
      <w:lvlJc w:val="left"/>
      <w:lvlText w:val="(%1)"/>
      <w:numFmt w:val="lowerLetter"/>
      <w:start w:val="12"/>
    </w:lvl>
    <w:lvl w:ilvl="1">
      <w:lvlJc w:val="left"/>
      <w:lvlText w:val="(%2)"/>
      <w:numFmt w:val="lowerLetter"/>
      <w:start w:val="9"/>
    </w:lvl>
  </w:abstractNum>
  <w:abstractNum w:abstractNumId="129">
    <w:nsid w:val="50ABCEC9"/>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30">
    <w:nsid w:val="7635AA2A"/>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131">
    <w:nsid w:val="5E74C4D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32">
    <w:nsid w:val="3B3EBE1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33">
    <w:nsid w:val="3822CB01"/>
    <w:multiLevelType w:val="hybridMultilevel"/>
    <w:lvl w:ilvl="0">
      <w:lvlJc w:val="left"/>
      <w:lvlText w:val="(%1)"/>
      <w:numFmt w:val="decimal"/>
      <w:start w:val="20"/>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34">
    <w:nsid w:val="6CE00443"/>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35">
    <w:nsid w:val="79F0D62F"/>
    <w:multiLevelType w:val="hybridMultilevel"/>
    <w:lvl w:ilvl="0">
      <w:lvlJc w:val="left"/>
      <w:lvlText w:val="(%1)"/>
      <w:numFmt w:val="lowerLetter"/>
      <w:start w:val="5"/>
    </w:lvl>
    <w:lvl w:ilvl="1">
      <w:lvlJc w:val="left"/>
      <w:lvlText w:val="(%2)"/>
      <w:numFmt w:val="lowerRoman"/>
      <w:start w:val="7"/>
    </w:lvl>
    <w:lvl w:ilvl="2">
      <w:lvlJc w:val="left"/>
      <w:lvlText w:val="(%3)"/>
      <w:numFmt w:val="decimal"/>
      <w:start w:val="2"/>
    </w:lvl>
  </w:abstractNum>
  <w:abstractNum w:abstractNumId="136">
    <w:nsid w:val="7975E8EE"/>
    <w:multiLevelType w:val="hybridMultilevel"/>
    <w:lvl w:ilvl="0">
      <w:lvlJc w:val="left"/>
      <w:lvlText w:val="%1"/>
      <w:numFmt w:val="lowerLetter"/>
      <w:start w:val="1"/>
    </w:lvl>
    <w:lvl w:ilvl="1">
      <w:lvlJc w:val="left"/>
      <w:lvlText w:val="(%2)"/>
      <w:numFmt w:val="lowerRoman"/>
      <w:start w:val="9"/>
    </w:lvl>
  </w:abstractNum>
  <w:abstractNum w:abstractNumId="137">
    <w:nsid w:val="73154115"/>
    <w:multiLevelType w:val="hybridMultilevel"/>
    <w:lvl w:ilvl="0">
      <w:lvlJc w:val="left"/>
      <w:lvlText w:val="(%1)"/>
      <w:numFmt w:val="lowerLetter"/>
      <w:start w:val="5"/>
    </w:lvl>
    <w:lvl w:ilvl="1">
      <w:lvlJc w:val="left"/>
      <w:lvlText w:val="%2"/>
      <w:numFmt w:val="lowerRoman"/>
      <w:start w:val="1"/>
    </w:lvl>
  </w:abstractNum>
  <w:abstractNum w:abstractNumId="138">
    <w:nsid w:val="622D810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39">
    <w:nsid w:val="2AB2658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0">
    <w:nsid w:val="44B3FA61"/>
    <w:multiLevelType w:val="hybridMultilevel"/>
    <w:lvl w:ilvl="0">
      <w:lvlJc w:val="left"/>
      <w:lvlText w:val="(%1)"/>
      <w:numFmt w:val="lowerRoman"/>
      <w:start w:val="10"/>
    </w:lvl>
  </w:abstractNum>
  <w:abstractNum w:abstractNumId="141">
    <w:nsid w:val="1C0CA67C"/>
    <w:multiLevelType w:val="hybridMultilevel"/>
    <w:lvl w:ilvl="0">
      <w:lvlJc w:val="left"/>
      <w:lvlText w:val="(%1)"/>
      <w:numFmt w:val="lowerLetter"/>
      <w:start w:val="2"/>
    </w:lvl>
    <w:lvl w:ilvl="1">
      <w:lvlJc w:val="left"/>
      <w:lvlText w:val="(%2)"/>
      <w:numFmt w:val="lowerRoman"/>
      <w:start w:val="1"/>
    </w:lvl>
  </w:abstractNum>
  <w:abstractNum w:abstractNumId="142">
    <w:nsid w:val="3D206613"/>
    <w:multiLevelType w:val="hybridMultilevel"/>
    <w:lvl w:ilvl="0">
      <w:lvlJc w:val="left"/>
      <w:lvlText w:val="(%1)"/>
      <w:numFmt w:val="lowerLetter"/>
      <w:start w:val="3"/>
    </w:lvl>
    <w:lvl w:ilvl="1">
      <w:lvlJc w:val="left"/>
      <w:lvlText w:val="(%2)"/>
      <w:numFmt w:val="lowerLetter"/>
      <w:start w:val="9"/>
    </w:lvl>
  </w:abstractNum>
  <w:abstractNum w:abstractNumId="143">
    <w:nsid w:val="7993B662"/>
    <w:multiLevelType w:val="hybridMultilevel"/>
    <w:lvl w:ilvl="0">
      <w:lvlJc w:val="left"/>
      <w:lvlText w:val="(%1)"/>
      <w:numFmt w:val="lowerRoman"/>
      <w:start w:val="2"/>
    </w:lvl>
  </w:abstractNum>
  <w:abstractNum w:abstractNumId="144">
    <w:nsid w:val="3BAB699E"/>
    <w:multiLevelType w:val="hybridMultilevel"/>
    <w:lvl w:ilvl="0">
      <w:lvlJc w:val="left"/>
      <w:lvlText w:val="(%1)"/>
      <w:numFmt w:val="lowerLetter"/>
      <w:start w:val="4"/>
    </w:lvl>
    <w:lvl w:ilvl="1">
      <w:lvlJc w:val="left"/>
      <w:lvlText w:val="(%2)"/>
      <w:numFmt w:val="lowerRoman"/>
      <w:start w:val="1"/>
    </w:lvl>
  </w:abstractNum>
  <w:abstractNum w:abstractNumId="145">
    <w:nsid w:val="71315369"/>
    <w:multiLevelType w:val="hybridMultilevel"/>
    <w:lvl w:ilvl="0">
      <w:lvlJc w:val="left"/>
      <w:lvlText w:val="%1."/>
      <w:numFmt w:val="decimal"/>
      <w:start w:val="8"/>
    </w:lvl>
  </w:abstractNum>
  <w:abstractNum w:abstractNumId="146">
    <w:nsid w:val="7BCFBAFC"/>
    <w:multiLevelType w:val="hybridMultilevel"/>
    <w:lvl w:ilvl="0">
      <w:lvlJc w:val="left"/>
      <w:lvlText w:val="%1."/>
      <w:numFmt w:val="decimal"/>
      <w:start w:val="1"/>
    </w:lvl>
  </w:abstractNum>
  <w:abstractNum w:abstractNumId="147">
    <w:nsid w:val="17859F72"/>
    <w:multiLevelType w:val="hybridMultilevel"/>
    <w:lvl w:ilvl="0">
      <w:lvlJc w:val="left"/>
      <w:lvlText w:val="(%1)"/>
      <w:numFmt w:val="lowerRoman"/>
      <w:start w:val="1"/>
    </w:lvl>
  </w:abstractNum>
  <w:abstractNum w:abstractNumId="148">
    <w:nsid w:val="3AA10581"/>
    <w:multiLevelType w:val="hybridMultilevel"/>
    <w:lvl w:ilvl="0">
      <w:lvlJc w:val="left"/>
      <w:lvlText w:val="(%1)"/>
      <w:numFmt w:val="lowerRoman"/>
      <w:start w:val="1"/>
    </w:lvl>
  </w:abstractNum>
  <w:abstractNum w:abstractNumId="149">
    <w:nsid w:val="63DE60CD"/>
    <w:multiLevelType w:val="hybridMultilevel"/>
    <w:lvl w:ilvl="0">
      <w:lvlJc w:val="left"/>
      <w:lvlText w:val="(%1)"/>
      <w:numFmt w:val="lowerRoman"/>
      <w:start w:val="1"/>
    </w:lvl>
  </w:abstractNum>
  <w:abstractNum w:abstractNumId="150">
    <w:nsid w:val="621AF471"/>
    <w:multiLevelType w:val="hybridMultilevel"/>
    <w:lvl w:ilvl="0">
      <w:lvlJc w:val="left"/>
      <w:lvlText w:val="(%1)"/>
      <w:numFmt w:val="lowerRoman"/>
      <w:start w:val="1"/>
    </w:lvl>
  </w:abstractNum>
  <w:abstractNum w:abstractNumId="151">
    <w:nsid w:val="73CFE165"/>
    <w:multiLevelType w:val="hybridMultilevel"/>
    <w:lvl w:ilvl="0">
      <w:lvlJc w:val="left"/>
      <w:lvlText w:val="(%1)"/>
      <w:numFmt w:val="lowerRoman"/>
      <w:start w:val="4"/>
    </w:lvl>
  </w:abstractNum>
  <w:abstractNum w:abstractNumId="152">
    <w:nsid w:val="20F88EA6"/>
    <w:multiLevelType w:val="hybridMultilevel"/>
    <w:lvl w:ilvl="0">
      <w:lvlJc w:val="left"/>
      <w:lvlText w:val="(%1)"/>
      <w:numFmt w:val="lowerRoman"/>
      <w:start w:val="1"/>
    </w:lvl>
  </w:abstractNum>
  <w:abstractNum w:abstractNumId="153">
    <w:nsid w:val="617C843E"/>
    <w:multiLevelType w:val="hybridMultilevel"/>
    <w:lvl w:ilvl="0">
      <w:lvlJc w:val="left"/>
      <w:lvlText w:val="(%1)"/>
      <w:numFmt w:val="lowerRoman"/>
      <w:start w:val="3"/>
    </w:lvl>
    <w:lvl w:ilvl="1">
      <w:lvlJc w:val="left"/>
      <w:lvlText w:val="-"/>
      <w:numFmt w:val="bullet"/>
      <w:start w:val="1"/>
    </w:lvl>
  </w:abstractNum>
  <w:abstractNum w:abstractNumId="154">
    <w:nsid w:val="7B541FAB"/>
    <w:multiLevelType w:val="hybridMultilevel"/>
    <w:lvl w:ilvl="0">
      <w:lvlJc w:val="left"/>
      <w:lvlText w:val="%1"/>
      <w:numFmt w:val="lowerLetter"/>
      <w:start w:val="1"/>
    </w:lvl>
    <w:lvl w:ilvl="1">
      <w:lvlJc w:val="left"/>
      <w:lvlText w:val="(%2)"/>
      <w:numFmt w:val="lowerRoman"/>
      <w:start w:val="1"/>
    </w:lvl>
  </w:abstractNum>
  <w:abstractNum w:abstractNumId="155">
    <w:nsid w:val="2A79EC49"/>
    <w:multiLevelType w:val="hybridMultilevel"/>
    <w:lvl w:ilvl="0">
      <w:lvlJc w:val="left"/>
      <w:lvlText w:val="(%1)"/>
      <w:numFmt w:val="lowerLetter"/>
      <w:start w:val="3"/>
    </w:lvl>
    <w:lvl w:ilvl="1">
      <w:lvlJc w:val="left"/>
      <w:lvlText w:val="(%2)"/>
      <w:numFmt w:val="lowerRoman"/>
      <w:start w:val="5"/>
    </w:lvl>
  </w:abstractNum>
  <w:abstractNum w:abstractNumId="156">
    <w:nsid w:val="338125CF"/>
    <w:multiLevelType w:val="hybridMultilevel"/>
    <w:lvl w:ilvl="0">
      <w:lvlJc w:val="left"/>
      <w:lvlText w:val="(%1)"/>
      <w:numFmt w:val="lowerRoman"/>
      <w:start w:val="1"/>
    </w:lvl>
  </w:abstractNum>
  <w:abstractNum w:abstractNumId="157">
    <w:nsid w:val="47C7C971"/>
    <w:multiLevelType w:val="hybridMultilevel"/>
    <w:lvl w:ilvl="0">
      <w:lvlJc w:val="left"/>
      <w:lvlText w:val="(%1)"/>
      <w:numFmt w:val="lowerRoman"/>
      <w:start w:val="1"/>
    </w:lvl>
  </w:abstractNum>
  <w:abstractNum w:abstractNumId="158">
    <w:nsid w:val="46F8284B"/>
    <w:multiLevelType w:val="hybridMultilevel"/>
    <w:lvl w:ilvl="0">
      <w:lvlJc w:val="left"/>
      <w:lvlText w:val="(%1)"/>
      <w:numFmt w:val="lowerRoman"/>
      <w:start w:val="1"/>
    </w:lvl>
    <w:lvl w:ilvl="1">
      <w:lvlJc w:val="left"/>
      <w:lvlText w:val="-"/>
      <w:numFmt w:val="bullet"/>
      <w:start w:val="1"/>
    </w:lvl>
  </w:abstractNum>
  <w:abstractNum w:abstractNumId="159">
    <w:nsid w:val="4FA327CE"/>
    <w:multiLevelType w:val="hybridMultilevel"/>
    <w:lvl w:ilvl="0">
      <w:lvlJc w:val="left"/>
      <w:lvlText w:val="%1"/>
      <w:numFmt w:val="upperLetter"/>
      <w:start w:val="1"/>
    </w:lvl>
    <w:lvl w:ilvl="1">
      <w:lvlJc w:val="left"/>
      <w:lvlText w:val="(%2)"/>
      <w:numFmt w:val="lowerRoman"/>
      <w:start w:val="2"/>
    </w:lvl>
  </w:abstractNum>
  <w:abstractNum w:abstractNumId="160">
    <w:nsid w:val="1873983A"/>
    <w:multiLevelType w:val="hybridMultilevel"/>
    <w:lvl w:ilvl="0">
      <w:lvlJc w:val="left"/>
      <w:lvlText w:val="(%1)"/>
      <w:numFmt w:val="upperLetter"/>
      <w:start w:val="1"/>
    </w:lvl>
    <w:lvl w:ilvl="1">
      <w:lvlJc w:val="left"/>
      <w:lvlText w:val="(%2)"/>
      <w:numFmt w:val="lowerRoman"/>
      <w:start w:val="4"/>
    </w:lvl>
  </w:abstractNum>
  <w:abstractNum w:abstractNumId="161">
    <w:nsid w:val="3D2DD275"/>
    <w:multiLevelType w:val="hybridMultilevel"/>
    <w:lvl w:ilvl="0">
      <w:lvlJc w:val="left"/>
      <w:lvlText w:val="(%1)"/>
      <w:numFmt w:val="lowerLetter"/>
      <w:start w:val="1"/>
    </w:lvl>
  </w:abstractNum>
  <w:abstractNum w:abstractNumId="162">
    <w:nsid w:val="2E17ECA7"/>
    <w:multiLevelType w:val="hybridMultilevel"/>
    <w:lvl w:ilvl="0">
      <w:lvlJc w:val="left"/>
      <w:lvlText w:val="(%1)"/>
      <w:numFmt w:val="lowerLetter"/>
      <w:start w:val="4"/>
    </w:lvl>
  </w:abstractNum>
  <w:abstractNum w:abstractNumId="163">
    <w:nsid w:val="53B2564F"/>
    <w:multiLevelType w:val="hybridMultilevel"/>
    <w:lvl w:ilvl="0">
      <w:lvlJc w:val="left"/>
      <w:lvlText w:val="(%1)"/>
      <w:numFmt w:val="lowerLetter"/>
      <w:start w:val="1"/>
    </w:lvl>
  </w:abstractNum>
  <w:abstractNum w:abstractNumId="164">
    <w:nsid w:val="75509D76"/>
    <w:multiLevelType w:val="hybridMultilevel"/>
    <w:lvl w:ilvl="0">
      <w:lvlJc w:val="left"/>
      <w:lvlText w:val="%1"/>
      <w:numFmt w:val="lowerLetter"/>
      <w:start w:val="1"/>
    </w:lvl>
    <w:lvl w:ilvl="1">
      <w:lvlJc w:val="left"/>
      <w:lvlText w:val="(%2)"/>
      <w:numFmt w:val="lowerLetter"/>
      <w:start w:val="5"/>
    </w:lvl>
  </w:abstractNum>
  <w:abstractNum w:abstractNumId="165">
    <w:nsid w:val="1AF7F0EA"/>
    <w:multiLevelType w:val="hybridMultilevel"/>
    <w:lvl w:ilvl="0">
      <w:lvlJc w:val="left"/>
      <w:lvlText w:val="(%1)"/>
      <w:numFmt w:val="lowerLetter"/>
      <w:start w:val="35"/>
    </w:lvl>
    <w:lvl w:ilvl="1">
      <w:lvlJc w:val="left"/>
      <w:lvlText w:val="%2"/>
      <w:numFmt w:val="lowerLetter"/>
      <w:start w:val="1"/>
    </w:lvl>
  </w:abstractNum>
  <w:abstractNum w:abstractNumId="166">
    <w:nsid w:val="4DA32C7E"/>
    <w:multiLevelType w:val="hybridMultilevel"/>
    <w:lvl w:ilvl="0">
      <w:lvlJc w:val="left"/>
      <w:lvlText w:val="%1"/>
      <w:numFmt w:val="upperLetter"/>
      <w:start w:val="1"/>
    </w:lvl>
    <w:lvl w:ilvl="1">
      <w:lvlJc w:val="left"/>
      <w:lvlText w:val="(%2)"/>
      <w:numFmt w:val="lowerLetter"/>
      <w:start w:val="1"/>
    </w:lvl>
  </w:abstractNum>
  <w:abstractNum w:abstractNumId="167">
    <w:nsid w:val="6EC68664"/>
    <w:multiLevelType w:val="hybridMultilevel"/>
    <w:lvl w:ilvl="0">
      <w:lvlJc w:val="left"/>
      <w:lvlText w:val="(%1)"/>
      <w:numFmt w:val="upperLetter"/>
      <w:start w:val="2"/>
    </w:lvl>
    <w:lvl w:ilvl="1">
      <w:lvlJc w:val="left"/>
      <w:lvlText w:val="%2"/>
      <w:numFmt w:val="lowerLetter"/>
      <w:start w:val="1"/>
    </w:lvl>
  </w:abstractNum>
  <w:abstractNum w:abstractNumId="168">
    <w:nsid w:val="E0D31FF"/>
    <w:multiLevelType w:val="hybridMultilevel"/>
    <w:lvl w:ilvl="0">
      <w:lvlJc w:val="left"/>
      <w:lvlText w:val="%1."/>
      <w:numFmt w:val="decimal"/>
      <w:start w:val="2"/>
    </w:lvl>
  </w:abstractNum>
  <w:abstractNum w:abstractNumId="169">
    <w:nsid w:val="2FD0AD81"/>
    <w:multiLevelType w:val="hybridMultilevel"/>
    <w:lvl w:ilvl="0">
      <w:lvlJc w:val="left"/>
      <w:lvlText w:val="%1."/>
      <w:numFmt w:val="decimal"/>
      <w:start w:val="1"/>
    </w:lvl>
  </w:abstractNum>
  <w:abstractNum w:abstractNumId="170">
    <w:nsid w:val="1978EBEB"/>
    <w:multiLevelType w:val="hybridMultilevel"/>
    <w:lvl w:ilvl="0">
      <w:lvlJc w:val="left"/>
      <w:lvlText w:val="%1."/>
      <w:numFmt w:val="upperLetter"/>
      <w:start w:val="1"/>
    </w:lvl>
  </w:abstractNum>
  <w:abstractNum w:abstractNumId="171">
    <w:nsid w:val="52C12C61"/>
    <w:multiLevelType w:val="hybridMultilevel"/>
    <w:lvl w:ilvl="0">
      <w:lvlJc w:val="left"/>
      <w:lvlText w:val="(%1)"/>
      <w:numFmt w:val="lowerLetter"/>
      <w:start w:val="1"/>
    </w:lvl>
  </w:abstractNum>
  <w:abstractNum w:abstractNumId="172">
    <w:nsid w:val="4BDD53FD"/>
    <w:multiLevelType w:val="hybridMultilevel"/>
    <w:lvl w:ilvl="0">
      <w:lvlJc w:val="left"/>
      <w:lvlText w:val="(%1)"/>
      <w:numFmt w:val="lowerLetter"/>
      <w:start w:val="4"/>
    </w:lvl>
  </w:abstractNum>
  <w:abstractNum w:abstractNumId="173">
    <w:nsid w:val="569951FE"/>
    <w:multiLevelType w:val="hybridMultilevel"/>
    <w:lvl w:ilvl="0">
      <w:lvlJc w:val="left"/>
      <w:lvlText w:val="(%1)"/>
      <w:numFmt w:val="lowerLetter"/>
      <w:start w:val="17"/>
    </w:lvl>
  </w:abstractNum>
  <w:abstractNum w:abstractNumId="174">
    <w:nsid w:val="4C54E2C3"/>
    <w:multiLevelType w:val="hybridMultilevel"/>
    <w:lvl w:ilvl="0">
      <w:lvlJc w:val="left"/>
      <w:lvlText w:val="(%1)"/>
      <w:numFmt w:val="lowerLetter"/>
      <w:start w:val="26"/>
    </w:lvl>
  </w:abstractNum>
  <w:abstractNum w:abstractNumId="175">
    <w:nsid w:val="788BD9B"/>
    <w:multiLevelType w:val="hybridMultilevel"/>
    <w:lvl w:ilvl="0">
      <w:lvlJc w:val="left"/>
      <w:lvlText w:val="(%1)"/>
      <w:numFmt w:val="lowerLetter"/>
      <w:start w:val="27"/>
    </w:lvl>
  </w:abstractNum>
  <w:abstractNum w:abstractNumId="176">
    <w:nsid w:val="47CAA567"/>
    <w:multiLevelType w:val="hybridMultilevel"/>
    <w:lvl w:ilvl="0">
      <w:lvlJc w:val="left"/>
      <w:lvlText w:val="(%1)"/>
      <w:numFmt w:val="lowerLetter"/>
      <w:start w:val="1"/>
    </w:lvl>
    <w:lvl w:ilvl="1">
      <w:lvlJc w:val="left"/>
      <w:lvlText w:val="(%2)"/>
      <w:numFmt w:val="lowerRoman"/>
      <w:start w:val="1"/>
    </w:lvl>
  </w:abstractNum>
  <w:abstractNum w:abstractNumId="177">
    <w:nsid w:val="48249DBF"/>
    <w:multiLevelType w:val="hybridMultilevel"/>
    <w:lvl w:ilvl="0">
      <w:lvlJc w:val="left"/>
      <w:lvlText w:val="%1"/>
      <w:numFmt w:val="lowerLetter"/>
      <w:start w:val="1"/>
    </w:lvl>
    <w:lvl w:ilvl="1">
      <w:lvlJc w:val="left"/>
      <w:lvlText w:val="(%2)"/>
      <w:numFmt w:val="lowerRoman"/>
      <w:start w:val="4"/>
    </w:lvl>
  </w:abstractNum>
  <w:abstractNum w:abstractNumId="178">
    <w:nsid w:val="1F0E5D0D"/>
    <w:multiLevelType w:val="hybridMultilevel"/>
    <w:lvl w:ilvl="0">
      <w:lvlJc w:val="left"/>
      <w:lvlText w:val="(%1)"/>
      <w:numFmt w:val="lowerLetter"/>
      <w:start w:val="3"/>
    </w:lvl>
    <w:lvl w:ilvl="1">
      <w:lvlJc w:val="left"/>
      <w:lvlText w:val="%2"/>
      <w:numFmt w:val="lowerRoman"/>
      <w:start w:val="1"/>
    </w:lvl>
  </w:abstractNum>
  <w:abstractNum w:abstractNumId="179">
    <w:nsid w:val="26BAAE9"/>
    <w:multiLevelType w:val="hybridMultilevel"/>
    <w:lvl w:ilvl="0">
      <w:lvlJc w:val="left"/>
      <w:lvlText w:val="(%1)"/>
      <w:numFmt w:val="lowerLetter"/>
      <w:start w:val="1"/>
    </w:lvl>
    <w:lvl w:ilvl="1">
      <w:lvlJc w:val="left"/>
      <w:lvlText w:val="(%2)"/>
      <w:numFmt w:val="lowerRoman"/>
      <w:start w:val="1"/>
    </w:lvl>
  </w:abstractNum>
  <w:abstractNum w:abstractNumId="180">
    <w:nsid w:val="2C02FE8C"/>
    <w:multiLevelType w:val="hybridMultilevel"/>
    <w:lvl w:ilvl="0">
      <w:lvlJc w:val="left"/>
      <w:lvlText w:val="(%1)"/>
      <w:numFmt w:val="lowerLetter"/>
      <w:start w:val="3"/>
    </w:lvl>
  </w:abstractNum>
  <w:abstractNum w:abstractNumId="181">
    <w:nsid w:val="129517E"/>
    <w:multiLevelType w:val="hybridMultilevel"/>
    <w:lvl w:ilvl="0">
      <w:lvlJc w:val="left"/>
      <w:lvlText w:val="(%1)"/>
      <w:numFmt w:val="lowerLetter"/>
      <w:start w:val="1"/>
    </w:lvl>
  </w:abstractNum>
  <w:abstractNum w:abstractNumId="182">
    <w:nsid w:val="763B8C4E"/>
    <w:multiLevelType w:val="hybridMultilevel"/>
    <w:lvl w:ilvl="0">
      <w:lvlJc w:val="left"/>
      <w:lvlText w:val="(%1)"/>
      <w:numFmt w:val="lowerRoman"/>
      <w:start w:val="1"/>
    </w:lvl>
  </w:abstractNum>
  <w:abstractNum w:abstractNumId="183">
    <w:nsid w:val="4CFB8D32"/>
    <w:multiLevelType w:val="hybridMultilevel"/>
    <w:lvl w:ilvl="0">
      <w:lvlJc w:val="left"/>
      <w:lvlText w:val="%1"/>
      <w:numFmt w:val="lowerLetter"/>
      <w:start w:val="1"/>
    </w:lvl>
    <w:lvl w:ilvl="1">
      <w:lvlJc w:val="left"/>
      <w:lvlText w:val="(%2)"/>
      <w:numFmt w:val="lowerRoman"/>
      <w:start w:val="2"/>
    </w:lvl>
  </w:abstractNum>
  <w:abstractNum w:abstractNumId="184">
    <w:nsid w:val="62A5D5BD"/>
    <w:multiLevelType w:val="hybridMultilevel"/>
    <w:lvl w:ilvl="0">
      <w:lvlJc w:val="left"/>
      <w:lvlText w:val="(%1)"/>
      <w:numFmt w:val="lowerLetter"/>
      <w:start w:val="3"/>
    </w:lvl>
    <w:lvl w:ilvl="1">
      <w:lvlJc w:val="left"/>
      <w:lvlText w:val="%2"/>
      <w:numFmt w:val="lowerRoman"/>
      <w:start w:val="1"/>
    </w:lvl>
  </w:abstractNum>
  <w:abstractNum w:abstractNumId="185">
    <w:nsid w:val="718FABF9"/>
    <w:multiLevelType w:val="hybridMultilevel"/>
    <w:lvl w:ilvl="0">
      <w:lvlJc w:val="left"/>
      <w:lvlText w:val="(%1)"/>
      <w:numFmt w:val="lowerLetter"/>
      <w:start w:val="1"/>
    </w:lvl>
  </w:abstractNum>
  <w:abstractNum w:abstractNumId="186">
    <w:nsid w:val="7775797C"/>
    <w:multiLevelType w:val="hybridMultilevel"/>
    <w:lvl w:ilvl="0">
      <w:lvlJc w:val="left"/>
      <w:lvlText w:val="(%1)"/>
      <w:numFmt w:val="lowerLetter"/>
      <w:start w:val="5"/>
    </w:lvl>
  </w:abstractNum>
  <w:abstractNum w:abstractNumId="187">
    <w:nsid w:val="1626FB8C"/>
    <w:multiLevelType w:val="hybridMultilevel"/>
    <w:lvl w:ilvl="0">
      <w:lvlJc w:val="left"/>
      <w:lvlText w:val="(%1)"/>
      <w:numFmt w:val="lowerLetter"/>
      <w:start w:val="1"/>
    </w:lvl>
  </w:abstractNum>
  <w:abstractNum w:abstractNumId="188">
    <w:nsid w:val="3957756A"/>
    <w:multiLevelType w:val="hybridMultilevel"/>
    <w:lvl w:ilvl="0">
      <w:lvlJc w:val="left"/>
      <w:lvlText w:val="(%1)"/>
      <w:numFmt w:val="lowerLetter"/>
      <w:start w:val="2"/>
    </w:lvl>
  </w:abstractNum>
  <w:abstractNum w:abstractNumId="189">
    <w:nsid w:val="3E6DA1C7"/>
    <w:multiLevelType w:val="hybridMultilevel"/>
    <w:lvl w:ilvl="0">
      <w:lvlJc w:val="left"/>
      <w:lvlText w:val="(%1)"/>
      <w:numFmt w:val="lowerLetter"/>
      <w:start w:val="5"/>
    </w:lvl>
  </w:abstractNum>
  <w:abstractNum w:abstractNumId="190">
    <w:nsid w:val="65CA235B"/>
    <w:multiLevelType w:val="hybridMultilevel"/>
    <w:lvl w:ilvl="0">
      <w:lvlJc w:val="left"/>
      <w:lvlText w:val="(%1)"/>
      <w:numFmt w:val="lowerLetter"/>
      <w:start w:val="1"/>
    </w:lvl>
    <w:lvl w:ilvl="1">
      <w:lvlJc w:val="left"/>
      <w:lvlText w:val="(%2)"/>
      <w:numFmt w:val="lowerRoman"/>
      <w:start w:val="1"/>
    </w:lvl>
  </w:abstractNum>
  <w:abstractNum w:abstractNumId="191">
    <w:nsid w:val="51CB0DA4"/>
    <w:multiLevelType w:val="hybridMultilevel"/>
    <w:lvl w:ilvl="0">
      <w:lvlJc w:val="left"/>
      <w:lvlText w:val="(%1)"/>
      <w:numFmt w:val="lowerLetter"/>
      <w:start w:val="2"/>
    </w:lvl>
  </w:abstractNum>
  <w:abstractNum w:abstractNumId="192">
    <w:nsid w:val="7B9B743C"/>
    <w:multiLevelType w:val="hybridMultilevel"/>
    <w:lvl w:ilvl="0">
      <w:lvlJc w:val="left"/>
      <w:lvlText w:val="(%1)"/>
      <w:numFmt w:val="lowerLetter"/>
      <w:start w:val="4"/>
    </w:lvl>
  </w:abstractNum>
  <w:abstractNum w:abstractNumId="193">
    <w:nsid w:val="13E21002"/>
    <w:multiLevelType w:val="hybridMultilevel"/>
    <w:lvl w:ilvl="0">
      <w:lvlJc w:val="left"/>
      <w:lvlText w:val="(%1)"/>
      <w:numFmt w:val="lowerLetter"/>
      <w:start w:val="1"/>
    </w:lvl>
  </w:abstractNum>
  <w:abstractNum w:abstractNumId="194">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5">
    <w:nsid w:val="70EC11B2"/>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196">
    <w:nsid w:val="2EDA00ED"/>
    <w:multiLevelType w:val="hybridMultilevel"/>
    <w:lvl w:ilvl="0">
      <w:lvlJc w:val="left"/>
      <w:lvlText w:val="%1"/>
      <w:numFmt w:val="lowerLetter"/>
      <w:start w:val="1"/>
    </w:lvl>
    <w:lvl w:ilvl="1">
      <w:lvlJc w:val="left"/>
      <w:lvlText w:val="(%2)"/>
      <w:numFmt w:val="lowerRoman"/>
      <w:start w:val="2"/>
    </w:lvl>
  </w:abstractNum>
  <w:abstractNum w:abstractNumId="197">
    <w:nsid w:val="73209072"/>
    <w:multiLevelType w:val="hybridMultilevel"/>
    <w:lvl w:ilvl="0">
      <w:lvlJc w:val="left"/>
      <w:lvlText w:val="(%1)"/>
      <w:numFmt w:val="lowerLetter"/>
      <w:start w:val="2"/>
    </w:lvl>
    <w:lvl w:ilvl="1">
      <w:lvlJc w:val="left"/>
      <w:lvlText w:val="%2"/>
      <w:numFmt w:val="lowerRoman"/>
      <w:start w:val="1"/>
    </w:lvl>
  </w:abstractNum>
  <w:abstractNum w:abstractNumId="198">
    <w:nsid w:val="5FB29816"/>
    <w:multiLevelType w:val="hybridMultilevel"/>
    <w:lvl w:ilvl="0">
      <w:lvlJc w:val="left"/>
      <w:lvlText w:val="(%1)"/>
      <w:numFmt w:val="lowerLetter"/>
      <w:start w:val="1"/>
    </w:lvl>
    <w:lvl w:ilvl="1">
      <w:lvlJc w:val="left"/>
      <w:lvlText w:val="(%2)"/>
      <w:numFmt w:val="lowerRoman"/>
      <w:start w:val="1"/>
    </w:lvl>
  </w:abstractNum>
  <w:abstractNum w:abstractNumId="199">
    <w:nsid w:val="3CE732EC"/>
    <w:multiLevelType w:val="hybridMultilevel"/>
    <w:lvl w:ilvl="0">
      <w:lvlJc w:val="left"/>
      <w:lvlText w:val="%1"/>
      <w:numFmt w:val="lowerLetter"/>
      <w:start w:val="1"/>
    </w:lvl>
    <w:lvl w:ilvl="1">
      <w:lvlJc w:val="left"/>
      <w:lvlText w:val="(%2)"/>
      <w:numFmt w:val="lowerRoman"/>
      <w:start w:val="4"/>
    </w:lvl>
  </w:abstractNum>
  <w:abstractNum w:abstractNumId="200">
    <w:nsid w:val="22F13DF3"/>
    <w:multiLevelType w:val="hybridMultilevel"/>
    <w:lvl w:ilvl="0">
      <w:lvlJc w:val="left"/>
      <w:lvlText w:val="(%1)"/>
      <w:numFmt w:val="lowerLetter"/>
      <w:start w:val="2"/>
    </w:lvl>
    <w:lvl w:ilvl="1">
      <w:lvlJc w:val="left"/>
      <w:lvlText w:val="%2"/>
      <w:numFmt w:val="lowerRoman"/>
      <w:start w:val="1"/>
    </w:lvl>
  </w:abstractNum>
  <w:abstractNum w:abstractNumId="201">
    <w:nsid w:val="792B8401"/>
    <w:multiLevelType w:val="hybridMultilevel"/>
    <w:lvl w:ilvl="0">
      <w:lvlJc w:val="left"/>
      <w:lvlText w:val="(%1)"/>
      <w:numFmt w:val="lowerLetter"/>
      <w:start w:val="1"/>
    </w:lvl>
  </w:abstractNum>
  <w:abstractNum w:abstractNumId="202">
    <w:nsid w:val="FA85F4D"/>
    <w:multiLevelType w:val="hybridMultilevel"/>
    <w:lvl w:ilvl="0">
      <w:lvlJc w:val="left"/>
      <w:lvlText w:val="(%1)"/>
      <w:numFmt w:val="lowerRoman"/>
      <w:start w:val="1"/>
    </w:lvl>
  </w:abstractNum>
  <w:abstractNum w:abstractNumId="203">
    <w:nsid w:val="6ECE91F0"/>
    <w:multiLevelType w:val="hybridMultilevel"/>
    <w:lvl w:ilvl="0">
      <w:lvlJc w:val="left"/>
      <w:lvlText w:val="("/>
      <w:numFmt w:val="bullet"/>
      <w:start w:val="1"/>
    </w:lvl>
  </w:abstractNum>
  <w:abstractNum w:abstractNumId="204">
    <w:nsid w:val="4FC4D600"/>
    <w:multiLevelType w:val="hybridMultilevel"/>
    <w:lvl w:ilvl="0">
      <w:lvlJc w:val="left"/>
      <w:lvlText w:val="%1."/>
      <w:numFmt w:val="decimal"/>
      <w:start w:val="1"/>
    </w:lvl>
    <w:lvl w:ilvl="1">
      <w:lvlJc w:val="left"/>
      <w:lvlText w:val="("/>
      <w:numFmt w:val="bullet"/>
      <w:start w:val="1"/>
    </w:lvl>
  </w:abstractNum>
  <w:abstractNum w:abstractNumId="205">
    <w:nsid w:val="5BFD4210"/>
    <w:multiLevelType w:val="hybridMultilevel"/>
    <w:lvl w:ilvl="0">
      <w:lvlJc w:val="left"/>
      <w:lvlText w:val="("/>
      <w:numFmt w:val="bullet"/>
      <w:start w:val="1"/>
    </w:lvl>
  </w:abstractNum>
  <w:abstractNum w:abstractNumId="206">
    <w:nsid w:val="76574F8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7">
    <w:nsid w:val="178F7B67"/>
    <w:multiLevelType w:val="hybridMultilevel"/>
    <w:lvl w:ilvl="0">
      <w:lvlJc w:val="left"/>
      <w:lvlText w:val="(%1)"/>
      <w:numFmt w:val="lowerRoman"/>
      <w:start w:val="2"/>
    </w:lvl>
  </w:abstractNum>
  <w:abstractNum w:abstractNumId="208">
    <w:nsid w:val="2421DFCF"/>
    <w:multiLevelType w:val="hybridMultilevel"/>
    <w:lvl w:ilvl="0">
      <w:lvlJc w:val="left"/>
      <w:lvlText w:val="(%1)"/>
      <w:numFmt w:val="lowerLetter"/>
      <w:start w:val="7"/>
    </w:lvl>
  </w:abstractNum>
  <w:abstractNum w:abstractNumId="209">
    <w:nsid w:val="1565AC99"/>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10">
    <w:nsid w:val="19FB2650"/>
    <w:multiLevelType w:val="hybridMultilevel"/>
    <w:lvl w:ilvl="0">
      <w:lvlJc w:val="left"/>
      <w:lvlText w:val="(%1)"/>
      <w:numFmt w:val="lowerLetter"/>
      <w:start w:val="35"/>
    </w:lvl>
    <w:lvl w:ilvl="1">
      <w:lvlJc w:val="left"/>
      <w:lvlText w:val="(%2)"/>
      <w:numFmt w:val="lowerLetter"/>
      <w:start w:val="18"/>
    </w:lvl>
    <w:lvl w:ilvl="2">
      <w:lvlJc w:val="left"/>
      <w:lvlText w:val="(%3)"/>
      <w:numFmt w:val="lowerLetter"/>
      <w:start w:val="9"/>
    </w:lvl>
  </w:abstractNum>
  <w:abstractNum w:abstractNumId="211">
    <w:nsid w:val="5024DE5B"/>
    <w:multiLevelType w:val="hybridMultilevel"/>
    <w:lvl w:ilvl="0">
      <w:lvlJc w:val="left"/>
      <w:lvlText w:val="%1"/>
      <w:numFmt w:val="lowerLetter"/>
      <w:start w:val="1"/>
    </w:lvl>
    <w:lvl w:ilvl="1">
      <w:lvlJc w:val="left"/>
      <w:lvlText w:val="(%2)"/>
      <w:numFmt w:val="lowerRoman"/>
      <w:start w:val="2"/>
    </w:lvl>
  </w:abstractNum>
  <w:abstractNum w:abstractNumId="212">
    <w:nsid w:val="168EFE17"/>
    <w:multiLevelType w:val="hybridMultilevel"/>
    <w:lvl w:ilvl="0">
      <w:lvlJc w:val="left"/>
      <w:lvlText w:val="(%1)"/>
      <w:numFmt w:val="lowerLetter"/>
      <w:start w:val="19"/>
    </w:lvl>
    <w:lvl w:ilvl="1">
      <w:lvlJc w:val="left"/>
      <w:lvlText w:val="%2"/>
      <w:numFmt w:val="lowerRoman"/>
      <w:start w:val="1"/>
    </w:lvl>
  </w:abstractNum>
  <w:abstractNum w:abstractNumId="213">
    <w:nsid w:val="1036B29F"/>
    <w:multiLevelType w:val="hybridMultilevel"/>
    <w:lvl w:ilvl="0">
      <w:lvlJc w:val="left"/>
      <w:lvlText w:val="(%1)"/>
      <w:numFmt w:val="lowerLetter"/>
      <w:start w:val="27"/>
    </w:lvl>
  </w:abstractNum>
  <w:abstractNum w:abstractNumId="214">
    <w:nsid w:val="1D206B8E"/>
    <w:multiLevelType w:val="hybridMultilevel"/>
    <w:lvl w:ilvl="0">
      <w:lvlJc w:val="left"/>
      <w:lvlText w:val="(%1)"/>
      <w:numFmt w:val="lowerLetter"/>
      <w:start w:val="29"/>
    </w:lvl>
    <w:lvl w:ilvl="1">
      <w:lvlJc w:val="left"/>
      <w:lvlText w:val="(%2)"/>
      <w:numFmt w:val="lowerRoman"/>
      <w:start w:val="1"/>
    </w:lvl>
  </w:abstractNum>
  <w:abstractNum w:abstractNumId="215">
    <w:nsid w:val="7934D3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upperLetter"/>
      <w:start w:val="1"/>
    </w:lvl>
  </w:abstractNum>
  <w:abstractNum w:abstractNumId="216">
    <w:nsid w:val="1C65E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17">
    <w:nsid w:val="1495E50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18">
    <w:nsid w:val="F5BCF61"/>
    <w:multiLevelType w:val="hybridMultilevel"/>
    <w:lvl w:ilvl="0">
      <w:lvlJc w:val="left"/>
      <w:lvlText w:val="%1"/>
      <w:numFmt w:val="lowerLetter"/>
      <w:start w:val="1"/>
    </w:lvl>
    <w:lvl w:ilvl="1">
      <w:lvlJc w:val="left"/>
      <w:lvlText w:val="(%2)"/>
      <w:numFmt w:val="lowerLetter"/>
      <w:start w:val="35"/>
    </w:lvl>
  </w:abstractNum>
  <w:abstractNum w:abstractNumId="219">
    <w:nsid w:val="3B1DD403"/>
    <w:multiLevelType w:val="hybridMultilevel"/>
    <w:lvl w:ilvl="0">
      <w:lvlJc w:val="left"/>
      <w:lvlText w:val="(%1)"/>
      <w:numFmt w:val="lowerLetter"/>
      <w:start w:val="2"/>
    </w:lvl>
    <w:lvl w:ilvl="1">
      <w:lvlJc w:val="left"/>
      <w:lvlText w:val="(%2)"/>
      <w:numFmt w:val="lowerLetter"/>
      <w:start w:val="9"/>
    </w:lvl>
  </w:abstractNum>
  <w:abstractNum w:abstractNumId="220">
    <w:nsid w:val="530386D1"/>
    <w:multiLevelType w:val="hybridMultilevel"/>
    <w:lvl w:ilvl="0">
      <w:lvlJc w:val="left"/>
      <w:lvlText w:val="(%1)"/>
      <w:numFmt w:val="lowerRoman"/>
      <w:start w:val="2"/>
    </w:lvl>
  </w:abstractNum>
  <w:abstractNum w:abstractNumId="221">
    <w:nsid w:val="7525F2BC"/>
    <w:multiLevelType w:val="hybridMultilevel"/>
    <w:lvl w:ilvl="0">
      <w:lvlJc w:val="left"/>
      <w:lvlText w:val="(%1)"/>
      <w:numFmt w:val="lowerRoman"/>
      <w:start w:val="8"/>
    </w:lvl>
  </w:abstractNum>
  <w:abstractNum w:abstractNumId="222">
    <w:nsid w:val="CE8E1A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9"/>
    </w:lvl>
  </w:abstractNum>
  <w:abstractNum w:abstractNumId="223">
    <w:nsid w:val="4E9EFB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4">
    <w:nsid w:val="90802B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25">
    <w:nsid w:val="3266459B"/>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226">
    <w:nsid w:val="3F8B0CB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7">
    <w:nsid w:val="37E203AB"/>
    <w:multiLevelType w:val="hybridMultilevel"/>
    <w:lvl w:ilvl="0">
      <w:lvlJc w:val="left"/>
      <w:lvlText w:val="%1"/>
      <w:numFmt w:val="decimal"/>
      <w:start w:val="1"/>
    </w:lvl>
    <w:lvl w:ilvl="1">
      <w:lvlJc w:val="left"/>
      <w:lvlText w:val="(%2)"/>
      <w:numFmt w:val="lowerLetter"/>
      <w:start w:val="2"/>
    </w:lvl>
  </w:abstractNum>
  <w:abstractNum w:abstractNumId="228">
    <w:nsid w:val="2586D60E"/>
    <w:multiLevelType w:val="hybridMultilevel"/>
    <w:lvl w:ilvl="0">
      <w:lvlJc w:val="left"/>
      <w:lvlText w:val="(%1)"/>
      <w:numFmt w:val="decimal"/>
      <w:start w:val="10"/>
    </w:lvl>
    <w:lvl w:ilvl="1">
      <w:lvlJc w:val="left"/>
      <w:lvlText w:val="(%2)"/>
      <w:numFmt w:val="lowerLetter"/>
      <w:start w:val="6"/>
    </w:lvl>
  </w:abstractNum>
  <w:abstractNum w:abstractNumId="229">
    <w:nsid w:val="1F3DA4D5"/>
    <w:multiLevelType w:val="hybridMultilevel"/>
    <w:lvl w:ilvl="0">
      <w:lvlJc w:val="left"/>
      <w:lvlText w:val="(%1)"/>
      <w:numFmt w:val="lowerRoman"/>
      <w:start w:val="1"/>
    </w:lvl>
  </w:abstractNum>
  <w:abstractNum w:abstractNumId="230">
    <w:nsid w:val="74C9369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1">
    <w:nsid w:val="48781401"/>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32">
    <w:nsid w:val="186928D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33">
    <w:nsid w:val="47195E5"/>
    <w:multiLevelType w:val="hybridMultilevel"/>
    <w:lvl w:ilvl="0">
      <w:lvlJc w:val="left"/>
      <w:lvlText w:val="%1"/>
      <w:numFmt w:val="decimal"/>
      <w:start w:val="1"/>
    </w:lvl>
    <w:lvl w:ilvl="1">
      <w:lvlJc w:val="left"/>
      <w:lvlText w:val="(%2)"/>
      <w:numFmt w:val="lowerLetter"/>
      <w:start w:val="10"/>
    </w:lvl>
  </w:abstractNum>
  <w:abstractNum w:abstractNumId="234">
    <w:nsid w:val="3746A5F2"/>
    <w:multiLevelType w:val="hybridMultilevel"/>
    <w:lvl w:ilvl="0">
      <w:lvlJc w:val="left"/>
      <w:lvlText w:val="%1."/>
      <w:numFmt w:val="decimal"/>
      <w:start w:val="7"/>
    </w:lvl>
    <w:lvl w:ilvl="1">
      <w:lvlJc w:val="left"/>
      <w:lvlText w:val="(%2)"/>
      <w:numFmt w:val="lowerLetter"/>
      <w:start w:val="1"/>
    </w:lvl>
  </w:abstractNum>
  <w:abstractNum w:abstractNumId="235">
    <w:nsid w:val="682DFED6"/>
    <w:multiLevelType w:val="hybridMultilevel"/>
    <w:lvl w:ilvl="0">
      <w:lvlJc w:val="left"/>
      <w:lvlText w:val="(%1)"/>
      <w:numFmt w:val="lowerLetter"/>
      <w:start w:val="2"/>
    </w:lvl>
  </w:abstractNum>
  <w:abstractNum w:abstractNumId="236">
    <w:nsid w:val="606ED7F6"/>
    <w:multiLevelType w:val="hybridMultilevel"/>
    <w:lvl w:ilvl="0">
      <w:lvlJc w:val="left"/>
      <w:lvlText w:val="%1."/>
      <w:numFmt w:val="decimal"/>
      <w:start w:val="8"/>
    </w:lvl>
    <w:lvl w:ilvl="1">
      <w:lvlJc w:val="left"/>
      <w:lvlText w:val="(%2)"/>
      <w:numFmt w:val="lowerLetter"/>
      <w:start w:val="1"/>
    </w:lvl>
  </w:abstractNum>
  <w:abstractNum w:abstractNumId="237">
    <w:nsid w:val="2D9DF57D"/>
    <w:multiLevelType w:val="hybridMultilevel"/>
    <w:lvl w:ilvl="0">
      <w:lvlJc w:val="left"/>
      <w:lvlText w:val="(%1)"/>
      <w:numFmt w:val="lowerLetter"/>
      <w:start w:val="2"/>
    </w:lvl>
  </w:abstractNum>
  <w:abstractNum w:abstractNumId="238">
    <w:nsid w:val="7FBD7A3E"/>
    <w:multiLevelType w:val="hybridMultilevel"/>
    <w:lvl w:ilvl="0">
      <w:lvlJc w:val="left"/>
      <w:lvlText w:val="%1."/>
      <w:numFmt w:val="decimal"/>
      <w:start w:val="10"/>
    </w:lvl>
    <w:lvl w:ilvl="1">
      <w:lvlJc w:val="left"/>
      <w:lvlText w:val="(%2)"/>
      <w:numFmt w:val="lowerLetter"/>
      <w:start w:val="1"/>
    </w:lvl>
  </w:abstractNum>
  <w:abstractNum w:abstractNumId="239">
    <w:nsid w:val="490B7C5"/>
    <w:multiLevelType w:val="hybridMultilevel"/>
    <w:lvl w:ilvl="0">
      <w:lvlJc w:val="left"/>
      <w:lvlText w:val="%1"/>
      <w:numFmt w:val="lowerLetter"/>
      <w:start w:val="1"/>
    </w:lvl>
    <w:lvl w:ilvl="1">
      <w:lvlJc w:val="left"/>
      <w:lvlText w:val="(%2)"/>
      <w:numFmt w:val="lowerLetter"/>
      <w:start w:val="2"/>
    </w:lvl>
  </w:abstractNum>
  <w:abstractNum w:abstractNumId="240">
    <w:nsid w:val="4303A216"/>
    <w:multiLevelType w:val="hybridMultilevel"/>
    <w:lvl w:ilvl="0">
      <w:lvlJc w:val="left"/>
      <w:lvlText w:val="(%1)"/>
      <w:numFmt w:val="lowerLetter"/>
      <w:start w:val="9"/>
    </w:lvl>
    <w:lvl w:ilvl="1">
      <w:lvlJc w:val="left"/>
      <w:lvlText w:val="%2"/>
      <w:numFmt w:val="lowerLetter"/>
      <w:start w:val="1"/>
    </w:lvl>
  </w:abstractNum>
  <w:abstractNum w:abstractNumId="241">
    <w:nsid w:val="19B8A08E"/>
    <w:multiLevelType w:val="hybridMultilevel"/>
    <w:lvl w:ilvl="0">
      <w:lvlJc w:val="left"/>
      <w:lvlText w:val="%1"/>
      <w:numFmt w:val="decimal"/>
      <w:start w:val="1"/>
    </w:lvl>
    <w:lvl w:ilvl="1">
      <w:lvlJc w:val="left"/>
      <w:lvlText w:val="(%2)"/>
      <w:numFmt w:val="lowerLetter"/>
      <w:start w:val="4"/>
    </w:lvl>
  </w:abstractNum>
  <w:abstractNum w:abstractNumId="242">
    <w:nsid w:val="54B59621"/>
    <w:multiLevelType w:val="hybridMultilevel"/>
    <w:lvl w:ilvl="0">
      <w:lvlJc w:val="left"/>
      <w:lvlText w:val="%1."/>
      <w:numFmt w:val="decimal"/>
      <w:start w:val="13"/>
    </w:lvl>
    <w:lvl w:ilvl="1">
      <w:lvlJc w:val="left"/>
      <w:lvlText w:val="(%2)"/>
      <w:numFmt w:val="lowerLetter"/>
      <w:start w:val="1"/>
    </w:lvl>
  </w:abstractNum>
  <w:abstractNum w:abstractNumId="243">
    <w:nsid w:val="5992A02E"/>
    <w:multiLevelType w:val="hybridMultilevel"/>
    <w:lvl w:ilvl="0">
      <w:lvlJc w:val="left"/>
      <w:lvlText w:val="%1"/>
      <w:numFmt w:val="decimal"/>
      <w:start w:val="1"/>
    </w:lvl>
    <w:lvl w:ilvl="1">
      <w:lvlJc w:val="left"/>
      <w:lvlText w:val="(%2)"/>
      <w:numFmt w:val="lowerLetter"/>
      <w:start w:val="2"/>
    </w:lvl>
  </w:abstractNum>
  <w:abstractNum w:abstractNumId="244">
    <w:nsid w:val="29EF532D"/>
    <w:multiLevelType w:val="hybridMultilevel"/>
    <w:lvl w:ilvl="0">
      <w:lvlJc w:val="left"/>
      <w:lvlText w:val="%1."/>
      <w:numFmt w:val="decimal"/>
      <w:start w:val="16"/>
    </w:lvl>
    <w:lvl w:ilvl="1">
      <w:lvlJc w:val="left"/>
      <w:lvlText w:val="%2"/>
      <w:numFmt w:val="lowerLetter"/>
      <w:start w:val="1"/>
    </w:lvl>
  </w:abstractNum>
  <w:abstractNum w:abstractNumId="245">
    <w:nsid w:val="71D601AF"/>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246">
    <w:nsid w:val="52C77402"/>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2"/>
    </w:lvl>
  </w:abstractNum>
  <w:abstractNum w:abstractNumId="247">
    <w:nsid w:val="2BB5B1C6"/>
    <w:multiLevelType w:val="hybridMultilevel"/>
    <w:lvl w:ilvl="0">
      <w:lvlJc w:val="left"/>
      <w:lvlText w:val="%1"/>
      <w:numFmt w:val="decimal"/>
      <w:start w:val="1"/>
    </w:lvl>
    <w:lvl w:ilvl="1">
      <w:lvlJc w:val="left"/>
      <w:lvlText w:val="%2."/>
      <w:numFmt w:val="decimal"/>
      <w:start w:val="20"/>
    </w:lvl>
  </w:abstractNum>
  <w:abstractNum w:abstractNumId="248">
    <w:nsid w:val="66BE6B9"/>
    <w:multiLevelType w:val="hybridMultilevel"/>
    <w:lvl w:ilvl="0">
      <w:lvlJc w:val="left"/>
      <w:lvlText w:val="(%1)"/>
      <w:numFmt w:val="decimal"/>
      <w:start w:val="500"/>
    </w:lvl>
    <w:lvl w:ilvl="1">
      <w:lvlJc w:val="left"/>
      <w:lvlText w:val="%2"/>
      <w:numFmt w:val="decimal"/>
      <w:start w:val="1"/>
    </w:lvl>
  </w:abstractNum>
  <w:abstractNum w:abstractNumId="249">
    <w:nsid w:val="62234363"/>
    <w:multiLevelType w:val="hybridMultilevel"/>
    <w:lvl w:ilvl="0">
      <w:lvlJc w:val="left"/>
      <w:lvlText w:val="(%1)"/>
      <w:numFmt w:val="decimal"/>
      <w:start w:val="6"/>
    </w:lvl>
    <w:lvl w:ilvl="1">
      <w:lvlJc w:val="left"/>
      <w:lvlText w:val="%2"/>
      <w:numFmt w:val="decimal"/>
      <w:start w:val="1"/>
    </w:lvl>
  </w:abstractNum>
  <w:abstractNum w:abstractNumId="250">
    <w:nsid w:val="66D385C9"/>
    <w:multiLevelType w:val="hybridMultilevel"/>
    <w:lvl w:ilvl="0">
      <w:lvlJc w:val="left"/>
      <w:lvlText w:val="%1."/>
      <w:numFmt w:val="decimal"/>
      <w:start w:val="1"/>
    </w:lvl>
  </w:abstractNum>
  <w:abstractNum w:abstractNumId="251">
    <w:nsid w:val="596F6D8A"/>
    <w:multiLevelType w:val="hybridMultilevel"/>
    <w:lvl w:ilvl="0">
      <w:lvlJc w:val="left"/>
      <w:lvlText w:val="%1"/>
      <w:numFmt w:val="decimal"/>
      <w:start w:val="1"/>
    </w:lvl>
    <w:lvl w:ilvl="1">
      <w:lvlJc w:val="left"/>
      <w:lvlText w:val="(%2)"/>
      <w:numFmt w:val="lowerLetter"/>
      <w:start w:val="1"/>
    </w:lvl>
  </w:abstractNum>
  <w:abstractNum w:abstractNumId="252">
    <w:nsid w:val="5749361F"/>
    <w:multiLevelType w:val="hybridMultilevel"/>
    <w:lvl w:ilvl="0">
      <w:lvlJc w:val="left"/>
      <w:lvlText w:val="%1."/>
      <w:numFmt w:val="decimal"/>
      <w:start w:val="4"/>
    </w:lvl>
    <w:lvl w:ilvl="1">
      <w:lvlJc w:val="left"/>
      <w:lvlText w:val="(%2)"/>
      <w:numFmt w:val="lowerLetter"/>
      <w:start w:val="35"/>
    </w:lvl>
  </w:abstractNum>
  <w:abstractNum w:abstractNumId="253">
    <w:nsid w:val="73BC6770"/>
    <w:multiLevelType w:val="hybridMultilevel"/>
    <w:lvl w:ilvl="0">
      <w:lvlJc w:val="left"/>
      <w:lvlText w:val="%1."/>
      <w:numFmt w:val="decimal"/>
      <w:start w:val="5"/>
    </w:lvl>
  </w:abstractNum>
  <w:abstractNum w:abstractNumId="254">
    <w:nsid w:val="280E6897"/>
    <w:multiLevelType w:val="hybridMultilevel"/>
    <w:lvl w:ilvl="0">
      <w:lvlJc w:val="left"/>
      <w:lvlText w:val="(%1)"/>
      <w:numFmt w:val="lowerLetter"/>
      <w:start w:val="1"/>
    </w:lvl>
  </w:abstractNum>
  <w:abstractNum w:abstractNumId="255">
    <w:nsid w:val="605138DE"/>
    <w:multiLevelType w:val="hybridMultilevel"/>
    <w:lvl w:ilvl="0">
      <w:lvlJc w:val="left"/>
      <w:lvlText w:val="(%1)"/>
      <w:numFmt w:val="lowerLetter"/>
      <w:start w:val="1"/>
    </w:lvl>
  </w:abstractNum>
  <w:abstractNum w:abstractNumId="256">
    <w:nsid w:val="2622AD0C"/>
    <w:multiLevelType w:val="hybridMultilevel"/>
    <w:lvl w:ilvl="0">
      <w:lvlJc w:val="left"/>
      <w:lvlText w:val="(%1)"/>
      <w:numFmt w:val="lowerLetter"/>
      <w:start w:val="4"/>
    </w:lvl>
  </w:abstractNum>
  <w:abstractNum w:abstractNumId="257">
    <w:nsid w:val="67997556"/>
    <w:multiLevelType w:val="hybridMultilevel"/>
    <w:lvl w:ilvl="0">
      <w:lvlJc w:val="left"/>
      <w:lvlText w:val="(%1)"/>
      <w:numFmt w:val="lowerLetter"/>
      <w:start w:val="7"/>
    </w:lvl>
  </w:abstractNum>
  <w:abstractNum w:abstractNumId="258">
    <w:nsid w:val="18333C89"/>
    <w:multiLevelType w:val="hybridMultilevel"/>
    <w:lvl w:ilvl="0">
      <w:lvlJc w:val="left"/>
      <w:lvlText w:val="(%1)"/>
      <w:numFmt w:val="lowerLetter"/>
      <w:start w:val="1"/>
    </w:lvl>
  </w:abstractNum>
  <w:abstractNum w:abstractNumId="259">
    <w:nsid w:val="4BA9831A"/>
    <w:multiLevelType w:val="hybridMultilevel"/>
    <w:lvl w:ilvl="0">
      <w:lvlJc w:val="left"/>
      <w:lvlText w:val="(%1)"/>
      <w:numFmt w:val="lowerLetter"/>
      <w:start w:val="3"/>
    </w:lvl>
  </w:abstractNum>
  <w:abstractNum w:abstractNumId="260">
    <w:nsid w:val="6D71A2B"/>
    <w:multiLevelType w:val="hybridMultilevel"/>
    <w:lvl w:ilvl="0">
      <w:lvlJc w:val="left"/>
      <w:lvlText w:val="(%1)"/>
      <w:numFmt w:val="lowerLetter"/>
      <w:start w:val="7"/>
    </w:lvl>
  </w:abstractNum>
  <w:abstractNum w:abstractNumId="261">
    <w:nsid w:val="CFC7321"/>
    <w:multiLevelType w:val="hybridMultilevel"/>
    <w:lvl w:ilvl="0">
      <w:lvlJc w:val="left"/>
      <w:lvlText w:val="(%1)"/>
      <w:numFmt w:val="lowerLetter"/>
      <w:start w:val="1"/>
    </w:lvl>
    <w:lvl w:ilvl="1">
      <w:lvlJc w:val="left"/>
      <w:lvlText w:val="(%2)"/>
      <w:numFmt w:val="lowerRoman"/>
      <w:start w:val="1"/>
    </w:lvl>
  </w:abstractNum>
  <w:abstractNum w:abstractNumId="262">
    <w:nsid w:val="1421971B"/>
    <w:multiLevelType w:val="hybridMultilevel"/>
    <w:lvl w:ilvl="0">
      <w:lvlJc w:val="left"/>
      <w:lvlText w:val="%1"/>
      <w:numFmt w:val="lowerLetter"/>
      <w:start w:val="1"/>
    </w:lvl>
    <w:lvl w:ilvl="1">
      <w:lvlJc w:val="left"/>
      <w:lvlText w:val="(%2)"/>
      <w:numFmt w:val="lowerRoman"/>
      <w:start w:val="5"/>
    </w:lvl>
  </w:abstractNum>
  <w:abstractNum w:abstractNumId="263">
    <w:nsid w:val="1F404301"/>
    <w:multiLevelType w:val="hybridMultilevel"/>
    <w:lvl w:ilvl="0">
      <w:lvlJc w:val="left"/>
      <w:lvlText w:val="(%1)"/>
      <w:numFmt w:val="lowerLetter"/>
      <w:start w:val="2"/>
    </w:lvl>
    <w:lvl w:ilvl="1">
      <w:lvlJc w:val="left"/>
      <w:lvlText w:val="%2"/>
      <w:numFmt w:val="lowerRoman"/>
      <w:start w:val="1"/>
    </w:lvl>
  </w:abstractNum>
  <w:abstractNum w:abstractNumId="264">
    <w:nsid w:val="116E0907"/>
    <w:multiLevelType w:val="hybridMultilevel"/>
    <w:lvl w:ilvl="0">
      <w:lvlJc w:val="left"/>
      <w:lvlText w:val="(%1)"/>
      <w:numFmt w:val="lowerLetter"/>
      <w:start w:val="4"/>
    </w:lvl>
  </w:abstractNum>
  <w:abstractNum w:abstractNumId="265">
    <w:nsid w:val="4B683D0D"/>
    <w:multiLevelType w:val="hybridMultilevel"/>
    <w:lvl w:ilvl="0">
      <w:lvlJc w:val="left"/>
      <w:lvlText w:val="(%1)"/>
      <w:numFmt w:val="lowerLetter"/>
      <w:start w:val="1"/>
    </w:lvl>
  </w:abstractNum>
  <w:abstractNum w:abstractNumId="266">
    <w:nsid w:val="76E41D8"/>
    <w:multiLevelType w:val="hybridMultilevel"/>
    <w:lvl w:ilvl="0">
      <w:lvlJc w:val="left"/>
      <w:lvlText w:val="(%1)"/>
      <w:numFmt w:val="lowerLetter"/>
      <w:start w:val="1"/>
    </w:lvl>
  </w:abstractNum>
  <w:abstractNum w:abstractNumId="267">
    <w:nsid w:val="71DCE0FD"/>
    <w:multiLevelType w:val="hybridMultilevel"/>
    <w:lvl w:ilvl="0">
      <w:lvlJc w:val="left"/>
      <w:lvlText w:val="(%1)"/>
      <w:numFmt w:val="lowerLetter"/>
      <w:start w:val="5"/>
    </w:lvl>
  </w:abstractNum>
  <w:abstractNum w:abstractNumId="268">
    <w:nsid w:val="7906328B"/>
    <w:multiLevelType w:val="hybridMultilevel"/>
    <w:lvl w:ilvl="0">
      <w:lvlJc w:val="left"/>
      <w:lvlText w:val="(%1)"/>
      <w:numFmt w:val="lowerLetter"/>
      <w:start w:val="1"/>
    </w:lvl>
  </w:abstractNum>
  <w:abstractNum w:abstractNumId="269">
    <w:nsid w:val="72BBC16"/>
    <w:multiLevelType w:val="hybridMultilevel"/>
    <w:lvl w:ilvl="0">
      <w:lvlJc w:val="left"/>
      <w:lvlText w:val="(%1)"/>
      <w:numFmt w:val="lowerLetter"/>
      <w:start w:val="5"/>
    </w:lvl>
  </w:abstractNum>
  <w:abstractNum w:abstractNumId="270">
    <w:nsid w:val="766D98C2"/>
    <w:multiLevelType w:val="hybridMultilevel"/>
    <w:lvl w:ilvl="0">
      <w:lvlJc w:val="left"/>
      <w:lvlText w:val="(%1)"/>
      <w:numFmt w:val="lowerLetter"/>
      <w:start w:val="16"/>
    </w:lvl>
  </w:abstractNum>
  <w:abstractNum w:abstractNumId="271">
    <w:nsid w:val="3C09D4A1"/>
    <w:multiLevelType w:val="hybridMultilevel"/>
    <w:lvl w:ilvl="0">
      <w:lvlJc w:val="left"/>
      <w:lvlText w:val="(%1)"/>
      <w:numFmt w:val="lowerLetter"/>
      <w:start w:val="19"/>
    </w:lvl>
  </w:abstractNum>
  <w:abstractNum w:abstractNumId="272">
    <w:nsid w:val="20E45CA4"/>
    <w:multiLevelType w:val="hybridMultilevel"/>
    <w:lvl w:ilvl="0">
      <w:lvlJc w:val="left"/>
      <w:lvlText w:val="(%1)"/>
      <w:numFmt w:val="lowerLetter"/>
      <w:start w:val="21"/>
    </w:lvl>
  </w:abstractNum>
  <w:abstractNum w:abstractNumId="273">
    <w:nsid w:val="4B232EE3"/>
    <w:multiLevelType w:val="hybridMultilevel"/>
    <w:lvl w:ilvl="0">
      <w:lvlJc w:val="left"/>
      <w:lvlText w:val="(%1)"/>
      <w:numFmt w:val="lowerLetter"/>
      <w:start w:val="23"/>
    </w:lvl>
  </w:abstractNum>
  <w:abstractNum w:abstractNumId="274">
    <w:nsid w:val="159C74CF"/>
    <w:multiLevelType w:val="hybridMultilevel"/>
    <w:lvl w:ilvl="0">
      <w:lvlJc w:val="left"/>
      <w:lvlText w:val="(%1)"/>
      <w:numFmt w:val="lowerLetter"/>
      <w:start w:val="1"/>
    </w:lvl>
  </w:abstractNum>
  <w:abstractNum w:abstractNumId="275">
    <w:nsid w:val="4AD3AFD2"/>
    <w:multiLevelType w:val="hybridMultilevel"/>
    <w:lvl w:ilvl="0">
      <w:lvlJc w:val="left"/>
      <w:lvlText w:val="*"/>
      <w:numFmt w:val="bullet"/>
      <w:start w:val="1"/>
    </w:lvl>
  </w:abstractNum>
  <w:abstractNum w:abstractNumId="276">
    <w:nsid w:val="3CF93092"/>
    <w:multiLevelType w:val="hybridMultilevel"/>
    <w:lvl w:ilvl="0">
      <w:lvlJc w:val="left"/>
      <w:lvlText w:val="*"/>
      <w:numFmt w:val="bullet"/>
      <w:start w:val="1"/>
    </w:lvl>
  </w:abstractNum>
  <w:abstractNum w:abstractNumId="277">
    <w:nsid w:val="6863E8D2"/>
    <w:multiLevelType w:val="hybridMultilevel"/>
    <w:lvl w:ilvl="0">
      <w:lvlJc w:val="left"/>
      <w:lvlText w:val="%1."/>
      <w:numFmt w:val="decimal"/>
      <w:start w:val="1"/>
    </w:lvl>
  </w:abstractNum>
  <w:abstractNum w:abstractNumId="278">
    <w:nsid w:val="76896198"/>
    <w:multiLevelType w:val="hybridMultilevel"/>
    <w:lvl w:ilvl="0">
      <w:lvlJc w:val="left"/>
      <w:lvlText w:val="%1."/>
      <w:numFmt w:val="decimal"/>
      <w:start w:val="2"/>
    </w:lvl>
    <w:lvl w:ilvl="1">
      <w:lvlJc w:val="left"/>
      <w:lvlText w:val="(%2)"/>
      <w:numFmt w:val="lowerLetter"/>
      <w:start w:val="1"/>
    </w:lvl>
  </w:abstractNum>
  <w:abstractNum w:abstractNumId="279">
    <w:nsid w:val="4365174B"/>
    <w:multiLevelType w:val="hybridMultilevel"/>
    <w:lvl w:ilvl="0">
      <w:lvlJc w:val="left"/>
      <w:lvlText w:val="%1"/>
      <w:numFmt w:val="decimal"/>
      <w:start w:val="1"/>
    </w:lvl>
    <w:lvl w:ilvl="1">
      <w:lvlJc w:val="left"/>
      <w:lvlText w:val="(%2)"/>
      <w:numFmt w:val="lowerLetter"/>
      <w:start w:val="3"/>
    </w:lvl>
  </w:abstractNum>
  <w:abstractNum w:abstractNumId="280">
    <w:nsid w:val="4A872C35"/>
    <w:multiLevelType w:val="hybridMultilevel"/>
    <w:lvl w:ilvl="0">
      <w:lvlJc w:val="left"/>
      <w:lvlText w:val="%1."/>
      <w:numFmt w:val="decimal"/>
      <w:start w:val="3"/>
    </w:lvl>
    <w:lvl w:ilvl="1">
      <w:lvlJc w:val="left"/>
      <w:lvlText w:val="%2"/>
      <w:numFmt w:val="lowerLetter"/>
      <w:start w:val="1"/>
    </w:lvl>
  </w:abstractNum>
  <w:abstractNum w:abstractNumId="281">
    <w:nsid w:val="5D5CE761"/>
    <w:multiLevelType w:val="hybridMultilevel"/>
    <w:lvl w:ilvl="0">
      <w:lvlJc w:val="left"/>
      <w:lvlText w:val="%1."/>
      <w:numFmt w:val="decimal"/>
      <w:start w:val="5"/>
    </w:lvl>
    <w:lvl w:ilvl="1">
      <w:lvlJc w:val="left"/>
      <w:lvlText w:val="(%2)"/>
      <w:numFmt w:val="lowerLetter"/>
      <w:start w:val="1"/>
    </w:lvl>
  </w:abstractNum>
  <w:abstractNum w:abstractNumId="282">
    <w:nsid w:val="1CD484D5"/>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83">
    <w:nsid w:val="21D06255"/>
    <w:multiLevelType w:val="hybridMultilevel"/>
    <w:lvl w:ilvl="0">
      <w:lvlJc w:val="left"/>
      <w:lvlText w:val="(%1)"/>
      <w:numFmt w:val="decimal"/>
      <w:start w:val="1"/>
    </w:lvl>
    <w:lvl w:ilvl="1">
      <w:lvlJc w:val="left"/>
      <w:lvlText w:val="%2."/>
      <w:numFmt w:val="decimal"/>
      <w:start w:val="8"/>
    </w:lvl>
    <w:lvl w:ilvl="2">
      <w:lvlJc w:val="left"/>
      <w:lvlText w:val="(%3)"/>
      <w:numFmt w:val="lowerLetter"/>
      <w:start w:val="3"/>
    </w:lvl>
  </w:abstractNum>
  <w:abstractNum w:abstractNumId="284">
    <w:nsid w:val="51194ED1"/>
    <w:multiLevelType w:val="hybridMultilevel"/>
    <w:lvl w:ilvl="0">
      <w:lvlJc w:val="left"/>
      <w:lvlText w:val="(%1)"/>
      <w:numFmt w:val="lowerRoman"/>
      <w:start w:val="1"/>
    </w:lvl>
  </w:abstractNum>
  <w:abstractNum w:abstractNumId="285">
    <w:nsid w:val="44E2ED6C"/>
    <w:multiLevelType w:val="hybridMultilevel"/>
    <w:lvl w:ilvl="0">
      <w:lvlJc w:val="left"/>
      <w:lvlText w:val="%1."/>
      <w:numFmt w:val="decimal"/>
      <w:start w:val="11"/>
    </w:lvl>
    <w:lvl w:ilvl="1">
      <w:lvlJc w:val="left"/>
      <w:lvlText w:val="(%2)"/>
      <w:numFmt w:val="lowerLetter"/>
      <w:start w:val="1"/>
    </w:lvl>
  </w:abstractNum>
  <w:abstractNum w:abstractNumId="286">
    <w:nsid w:val="2219B33"/>
    <w:multiLevelType w:val="hybridMultilevel"/>
    <w:lvl w:ilvl="0">
      <w:lvlJc w:val="left"/>
      <w:lvlText w:val="%1"/>
      <w:numFmt w:val="decimal"/>
      <w:start w:val="1"/>
    </w:lvl>
    <w:lvl w:ilvl="1">
      <w:lvlJc w:val="left"/>
      <w:lvlText w:val="(%2)"/>
      <w:numFmt w:val="lowerLetter"/>
      <w:start w:val="8"/>
    </w:lvl>
  </w:abstractNum>
  <w:abstractNum w:abstractNumId="287">
    <w:nsid w:val="773BFBDD"/>
    <w:multiLevelType w:val="hybridMultilevel"/>
    <w:lvl w:ilvl="0">
      <w:lvlJc w:val="left"/>
      <w:lvlText w:val="%1."/>
      <w:numFmt w:val="decimal"/>
      <w:start w:val="14"/>
    </w:lvl>
    <w:lvl w:ilvl="1">
      <w:lvlJc w:val="left"/>
      <w:lvlText w:val="%2"/>
      <w:numFmt w:val="lowerLetter"/>
      <w:start w:val="1"/>
    </w:lvl>
  </w:abstractNum>
  <w:abstractNum w:abstractNumId="288">
    <w:nsid w:val="2C7C62C2"/>
    <w:multiLevelType w:val="hybridMultilevel"/>
    <w:lvl w:ilvl="0">
      <w:lvlJc w:val="left"/>
      <w:lvlText w:val="%1."/>
      <w:numFmt w:val="decimal"/>
      <w:start w:val="2"/>
    </w:lvl>
    <w:lvl w:ilvl="1">
      <w:lvlJc w:val="left"/>
      <w:lvlText w:val="(%2)"/>
      <w:numFmt w:val="lowerLetter"/>
      <w:start w:val="1"/>
    </w:lvl>
  </w:abstractNum>
  <w:abstractNum w:abstractNumId="289">
    <w:nsid w:val="1A54D7BC"/>
    <w:multiLevelType w:val="hybridMultilevel"/>
    <w:lvl w:ilvl="0">
      <w:lvlJc w:val="left"/>
      <w:lvlText w:val="%1"/>
      <w:numFmt w:val="decimal"/>
      <w:start w:val="1"/>
    </w:lvl>
    <w:lvl w:ilvl="1">
      <w:lvlJc w:val="left"/>
      <w:lvlText w:val="(%2)"/>
      <w:numFmt w:val="lowerLetter"/>
      <w:start w:val="2"/>
    </w:lvl>
  </w:abstractNum>
  <w:abstractNum w:abstractNumId="290">
    <w:nsid w:val="42E57EF7"/>
    <w:multiLevelType w:val="hybridMultilevel"/>
    <w:lvl w:ilvl="0">
      <w:lvlJc w:val="left"/>
      <w:lvlText w:val="(%1)"/>
      <w:numFmt w:val="decimal"/>
      <w:start w:val="120"/>
    </w:lvl>
    <w:lvl w:ilvl="1">
      <w:lvlJc w:val="left"/>
      <w:lvlText w:val="(%2)"/>
      <w:numFmt w:val="lowerLetter"/>
      <w:start w:val="6"/>
    </w:lvl>
  </w:abstractNum>
  <w:abstractNum w:abstractNumId="291">
    <w:nsid w:val="33537CED"/>
    <w:multiLevelType w:val="hybridMultilevel"/>
    <w:lvl w:ilvl="0">
      <w:lvlJc w:val="left"/>
      <w:lvlText w:val="%1."/>
      <w:numFmt w:val="decimal"/>
      <w:start w:val="6"/>
    </w:lvl>
  </w:abstractNum>
  <w:abstractNum w:abstractNumId="292">
    <w:nsid w:val="27514ADE"/>
    <w:multiLevelType w:val="hybridMultilevel"/>
    <w:lvl w:ilvl="0">
      <w:lvlJc w:val="left"/>
      <w:lvlText w:val="%1."/>
      <w:numFmt w:val="decimal"/>
      <w:start w:val="7"/>
    </w:lvl>
    <w:lvl w:ilvl="1">
      <w:lvlJc w:val="left"/>
      <w:lvlText w:val="(%2)"/>
      <w:numFmt w:val="lowerLetter"/>
      <w:start w:val="1"/>
    </w:lvl>
  </w:abstractNum>
  <w:abstractNum w:abstractNumId="293">
    <w:nsid w:val="57071613"/>
    <w:multiLevelType w:val="hybridMultilevel"/>
    <w:lvl w:ilvl="0">
      <w:lvlJc w:val="left"/>
      <w:lvlText w:val="(%1)"/>
      <w:numFmt w:val="lowerLetter"/>
      <w:start w:val="2"/>
    </w:lvl>
  </w:abstractNum>
  <w:abstractNum w:abstractNumId="294">
    <w:nsid w:val="5293BFEF"/>
    <w:multiLevelType w:val="hybridMultilevel"/>
    <w:lvl w:ilvl="0">
      <w:lvlJc w:val="left"/>
      <w:lvlText w:val="%1."/>
      <w:numFmt w:val="decimal"/>
      <w:start w:val="8"/>
    </w:lvl>
  </w:abstractNum>
  <w:abstractNum w:abstractNumId="295">
    <w:nsid w:val="38BF53E5"/>
    <w:multiLevelType w:val="hybridMultilevel"/>
    <w:lvl w:ilvl="0">
      <w:lvlJc w:val="left"/>
      <w:lvlText w:val="(%1)"/>
      <w:numFmt w:val="lowerLetter"/>
      <w:start w:val="1"/>
    </w:lvl>
  </w:abstractNum>
  <w:abstractNum w:abstractNumId="296">
    <w:nsid w:val="226F5320"/>
    <w:multiLevelType w:val="hybridMultilevel"/>
    <w:lvl w:ilvl="0">
      <w:lvlJc w:val="left"/>
      <w:lvlText w:val="(%1)"/>
      <w:numFmt w:val="lowerLetter"/>
      <w:start w:val="35"/>
    </w:lvl>
    <w:lvl w:ilvl="1">
      <w:lvlJc w:val="left"/>
      <w:lvlText w:val="(%2)"/>
      <w:numFmt w:val="lowerLetter"/>
      <w:start w:val="4"/>
    </w:lvl>
  </w:abstractNum>
  <w:abstractNum w:abstractNumId="297">
    <w:nsid w:val="5A0201C7"/>
    <w:multiLevelType w:val="hybridMultilevel"/>
    <w:lvl w:ilvl="0">
      <w:lvlJc w:val="left"/>
      <w:lvlText w:val="%1."/>
      <w:numFmt w:val="decimal"/>
      <w:start w:val="1"/>
    </w:lvl>
  </w:abstractNum>
  <w:abstractNum w:abstractNumId="298">
    <w:nsid w:val="2A9C34E2"/>
    <w:multiLevelType w:val="hybridMultilevel"/>
    <w:lvl w:ilvl="0">
      <w:lvlJc w:val="left"/>
      <w:lvlText w:val="(%1)"/>
      <w:numFmt w:val="lowerLetter"/>
      <w:start w:val="1"/>
    </w:lvl>
  </w:abstractNum>
  <w:abstractNum w:abstractNumId="299">
    <w:nsid w:val="1B7585AB"/>
    <w:multiLevelType w:val="hybridMultilevel"/>
    <w:lvl w:ilvl="0">
      <w:lvlJc w:val="left"/>
      <w:lvlText w:val="•"/>
      <w:numFmt w:val="bullet"/>
      <w:start w:val="1"/>
    </w:lvl>
    <w:lvl w:ilvl="1">
      <w:lvlJc w:val="left"/>
      <w:lvlText w:val="•"/>
      <w:numFmt w:val="bullet"/>
      <w:start w:val="1"/>
    </w:lvl>
  </w:abstractNum>
  <w:abstractNum w:abstractNumId="300">
    <w:nsid w:val="612DBDDD"/>
    <w:multiLevelType w:val="hybridMultilevel"/>
    <w:lvl w:ilvl="0">
      <w:lvlJc w:val="left"/>
      <w:lvlText w:val="%1."/>
      <w:numFmt w:val="decimal"/>
      <w:start w:val="4"/>
    </w:lvl>
    <w:lvl w:ilvl="1">
      <w:lvlJc w:val="left"/>
      <w:lvlText w:val="•"/>
      <w:numFmt w:val="bullet"/>
      <w:start w:val="1"/>
    </w:lvl>
  </w:abstractNum>
  <w:abstractNum w:abstractNumId="301">
    <w:nsid w:val="2109CDA4"/>
    <w:multiLevelType w:val="hybridMultilevel"/>
    <w:lvl w:ilvl="0">
      <w:lvlJc w:val="left"/>
      <w:lvlText w:val="%1."/>
      <w:numFmt w:val="decimal"/>
      <w:start w:val="8"/>
    </w:lvl>
  </w:abstractNum>
  <w:abstractNum w:abstractNumId="302">
    <w:nsid w:val="577F5A4D"/>
    <w:multiLevelType w:val="hybridMultilevel"/>
    <w:lvl w:ilvl="0">
      <w:lvlJc w:val="left"/>
      <w:lvlText w:val="%1."/>
      <w:numFmt w:val="decimal"/>
      <w:start w:val="9"/>
    </w:lvl>
  </w:abstractNum>
  <w:abstractNum w:abstractNumId="303">
    <w:nsid w:val="2121A81"/>
    <w:multiLevelType w:val="hybridMultilevel"/>
    <w:lvl w:ilvl="0">
      <w:lvlJc w:val="left"/>
      <w:lvlText w:val="%1."/>
      <w:numFmt w:val="decimal"/>
      <w:start w:val="1"/>
    </w:lvl>
  </w:abstractNum>
  <w:abstractNum w:abstractNumId="304">
    <w:nsid w:val="6C2CFC88"/>
    <w:multiLevelType w:val="hybridMultilevel"/>
    <w:lvl w:ilvl="0">
      <w:lvlJc w:val="left"/>
      <w:lvlText w:val="(%1)"/>
      <w:numFmt w:val="lowerLetter"/>
      <w:start w:val="1"/>
    </w:lvl>
  </w:abstractNum>
  <w:abstractNum w:abstractNumId="305">
    <w:nsid w:val="6D1BCF1C"/>
    <w:multiLevelType w:val="hybridMultilevel"/>
    <w:lvl w:ilvl="0">
      <w:lvlJc w:val="left"/>
      <w:lvlText w:val="•"/>
      <w:numFmt w:val="bullet"/>
      <w:start w:val="1"/>
    </w:lvl>
    <w:lvl w:ilvl="1">
      <w:lvlJc w:val="left"/>
      <w:lvlText w:val="•"/>
      <w:numFmt w:val="bullet"/>
      <w:start w:val="1"/>
    </w:lvl>
  </w:abstractNum>
  <w:abstractNum w:abstractNumId="306">
    <w:nsid w:val="4CE5CA53"/>
    <w:multiLevelType w:val="hybridMultilevel"/>
    <w:lvl w:ilvl="0">
      <w:lvlJc w:val="left"/>
      <w:lvlText w:val="•"/>
      <w:numFmt w:val="bullet"/>
      <w:start w:val="1"/>
    </w:lvl>
  </w:abstractNum>
  <w:abstractNum w:abstractNumId="307">
    <w:nsid w:val="29262D1A"/>
    <w:multiLevelType w:val="hybridMultilevel"/>
    <w:lvl w:ilvl="0">
      <w:lvlJc w:val="left"/>
      <w:lvlText w:val="%1."/>
      <w:numFmt w:val="decimal"/>
      <w:start w:val="4"/>
    </w:lvl>
    <w:lvl w:ilvl="1">
      <w:lvlJc w:val="left"/>
      <w:lvlText w:val="•"/>
      <w:numFmt w:val="bullet"/>
      <w:start w:val="1"/>
    </w:lvl>
  </w:abstractNum>
  <w:abstractNum w:abstractNumId="308">
    <w:nsid w:val="557FB7EE"/>
    <w:multiLevelType w:val="hybridMultilevel"/>
    <w:lvl w:ilvl="0">
      <w:lvlJc w:val="left"/>
      <w:lvlText w:val="%1."/>
      <w:numFmt w:val="decimal"/>
      <w:start w:val="8"/>
    </w:lvl>
  </w:abstractNum>
  <w:abstractNum w:abstractNumId="309">
    <w:nsid w:val="436F2BEB"/>
    <w:multiLevelType w:val="hybridMultilevel"/>
    <w:lvl w:ilvl="0">
      <w:lvlJc w:val="left"/>
      <w:lvlText w:val="%1."/>
      <w:numFmt w:val="decimal"/>
      <w:start w:val="9"/>
    </w:lvl>
  </w:abstractNum>
  <w:abstractNum w:abstractNumId="310">
    <w:nsid w:val="6C8B4466"/>
    <w:multiLevelType w:val="hybridMultilevel"/>
    <w:lvl w:ilvl="0">
      <w:lvlJc w:val="left"/>
      <w:lvlText w:val="%1."/>
      <w:numFmt w:val="decimal"/>
      <w:start w:val="1"/>
    </w:lvl>
  </w:abstractNum>
  <w:abstractNum w:abstractNumId="311">
    <w:nsid w:val="2006E424"/>
    <w:multiLevelType w:val="hybridMultilevel"/>
    <w:lvl w:ilvl="0">
      <w:lvlJc w:val="left"/>
      <w:lvlText w:val="(%1)"/>
      <w:numFmt w:val="lowerLetter"/>
      <w:start w:val="1"/>
    </w:lvl>
  </w:abstractNum>
  <w:abstractNum w:abstractNumId="312">
    <w:nsid w:val="20CC134C"/>
    <w:multiLevelType w:val="hybridMultilevel"/>
    <w:lvl w:ilvl="0">
      <w:lvlJc w:val="left"/>
      <w:lvlText w:val="•"/>
      <w:numFmt w:val="bullet"/>
      <w:start w:val="1"/>
    </w:lvl>
    <w:lvl w:ilvl="1">
      <w:lvlJc w:val="left"/>
      <w:lvlText w:val="•"/>
      <w:numFmt w:val="bullet"/>
      <w:start w:val="1"/>
    </w:lvl>
  </w:abstractNum>
  <w:abstractNum w:abstractNumId="313">
    <w:nsid w:val="95FC93B"/>
    <w:multiLevelType w:val="hybridMultilevel"/>
    <w:lvl w:ilvl="0">
      <w:lvlJc w:val="left"/>
      <w:lvlText w:val="•"/>
      <w:numFmt w:val="bullet"/>
      <w:start w:val="1"/>
    </w:lvl>
  </w:abstractNum>
  <w:abstractNum w:abstractNumId="314">
    <w:nsid w:val="41D74679"/>
    <w:multiLevelType w:val="hybridMultilevel"/>
    <w:lvl w:ilvl="0">
      <w:lvlJc w:val="left"/>
      <w:lvlText w:val="%1."/>
      <w:numFmt w:val="decimal"/>
      <w:start w:val="4"/>
    </w:lvl>
    <w:lvl w:ilvl="1">
      <w:lvlJc w:val="left"/>
      <w:lvlText w:val="•"/>
      <w:numFmt w:val="bullet"/>
      <w:start w:val="1"/>
    </w:lvl>
  </w:abstractNum>
  <w:abstractNum w:abstractNumId="315">
    <w:nsid w:val="71E5621E"/>
    <w:multiLevelType w:val="hybridMultilevel"/>
    <w:lvl w:ilvl="0">
      <w:lvlJc w:val="left"/>
      <w:lvlText w:val="%1."/>
      <w:numFmt w:val="decimal"/>
      <w:start w:val="8"/>
    </w:lvl>
  </w:abstractNum>
  <w:abstractNum w:abstractNumId="316">
    <w:nsid w:val="4E42B6A8"/>
    <w:multiLevelType w:val="hybridMultilevel"/>
    <w:lvl w:ilvl="0">
      <w:lvlJc w:val="left"/>
      <w:lvlText w:val="%1."/>
      <w:numFmt w:val="decimal"/>
      <w:start w:val="9"/>
    </w:lvl>
  </w:abstractNum>
  <w:abstractNum w:abstractNumId="317">
    <w:nsid w:val="43F8E1AC"/>
    <w:multiLevelType w:val="hybridMultilevel"/>
    <w:lvl w:ilvl="0">
      <w:lvlJc w:val="left"/>
      <w:lvlText w:val="%1."/>
      <w:numFmt w:val="decimal"/>
      <w:start w:val="1"/>
    </w:lvl>
  </w:abstractNum>
  <w:abstractNum w:abstractNumId="318">
    <w:nsid w:val="69215DFB"/>
    <w:multiLevelType w:val="hybridMultilevel"/>
    <w:lvl w:ilvl="0">
      <w:lvlJc w:val="left"/>
      <w:lvlText w:val="(%1)"/>
      <w:numFmt w:val="lowerLetter"/>
      <w:start w:val="1"/>
    </w:lvl>
  </w:abstractNum>
  <w:abstractNum w:abstractNumId="319">
    <w:nsid w:val="7ABF196A"/>
    <w:multiLevelType w:val="hybridMultilevel"/>
    <w:lvl w:ilvl="0">
      <w:lvlJc w:val="left"/>
      <w:lvlText w:val="•"/>
      <w:numFmt w:val="bullet"/>
      <w:start w:val="1"/>
    </w:lvl>
    <w:lvl w:ilvl="1">
      <w:lvlJc w:val="left"/>
      <w:lvlText w:val="•"/>
      <w:numFmt w:val="bullet"/>
      <w:start w:val="1"/>
    </w:lvl>
  </w:abstractNum>
  <w:abstractNum w:abstractNumId="320">
    <w:nsid w:val="5E4DB968"/>
    <w:multiLevelType w:val="hybridMultilevel"/>
    <w:lvl w:ilvl="0">
      <w:lvlJc w:val="left"/>
      <w:lvlText w:val="•"/>
      <w:numFmt w:val="bullet"/>
      <w:start w:val="1"/>
    </w:lvl>
  </w:abstractNum>
  <w:abstractNum w:abstractNumId="321">
    <w:nsid w:val="2C06DCF3"/>
    <w:multiLevelType w:val="hybridMultilevel"/>
    <w:lvl w:ilvl="0">
      <w:lvlJc w:val="left"/>
      <w:lvlText w:val="%1."/>
      <w:numFmt w:val="decimal"/>
      <w:start w:val="4"/>
    </w:lvl>
    <w:lvl w:ilvl="1">
      <w:lvlJc w:val="left"/>
      <w:lvlText w:val="•"/>
      <w:numFmt w:val="bullet"/>
      <w:start w:val="1"/>
    </w:lvl>
  </w:abstractNum>
  <w:abstractNum w:abstractNumId="322">
    <w:nsid w:val="2E129658"/>
    <w:multiLevelType w:val="hybridMultilevel"/>
    <w:lvl w:ilvl="0">
      <w:lvlJc w:val="left"/>
      <w:lvlText w:val="%1."/>
      <w:numFmt w:val="decimal"/>
      <w:start w:val="8"/>
    </w:lvl>
  </w:abstractNum>
  <w:abstractNum w:abstractNumId="323">
    <w:nsid w:val="59F0446"/>
    <w:multiLevelType w:val="hybridMultilevel"/>
    <w:lvl w:ilvl="0">
      <w:lvlJc w:val="left"/>
      <w:lvlText w:val="%1."/>
      <w:numFmt w:val="decimal"/>
      <w:start w:val="9"/>
    </w:lvl>
  </w:abstractNum>
  <w:abstractNum w:abstractNumId="324">
    <w:nsid w:val="30DF306"/>
    <w:multiLevelType w:val="hybridMultilevel"/>
    <w:lvl w:ilvl="0">
      <w:lvlJc w:val="left"/>
      <w:lvlText w:val="%1."/>
      <w:numFmt w:val="decimal"/>
      <w:start w:val="1"/>
    </w:lvl>
  </w:abstractNum>
  <w:abstractNum w:abstractNumId="325">
    <w:nsid w:val="A65647"/>
    <w:multiLevelType w:val="hybridMultilevel"/>
    <w:lvl w:ilvl="0">
      <w:lvlJc w:val="left"/>
      <w:lvlText w:val="(%1)"/>
      <w:numFmt w:val="lowerLetter"/>
      <w:start w:val="1"/>
    </w:lvl>
  </w:abstractNum>
  <w:abstractNum w:abstractNumId="326">
    <w:nsid w:val="3E5E582B"/>
    <w:multiLevelType w:val="hybridMultilevel"/>
    <w:lvl w:ilvl="0">
      <w:lvlJc w:val="left"/>
      <w:lvlText w:val="•"/>
      <w:numFmt w:val="bullet"/>
      <w:start w:val="1"/>
    </w:lvl>
    <w:lvl w:ilvl="1">
      <w:lvlJc w:val="left"/>
      <w:lvlText w:val="•"/>
      <w:numFmt w:val="bullet"/>
      <w:start w:val="1"/>
    </w:lvl>
  </w:abstractNum>
  <w:abstractNum w:abstractNumId="327">
    <w:nsid w:val="257D4626"/>
    <w:multiLevelType w:val="hybridMultilevel"/>
    <w:lvl w:ilvl="0">
      <w:lvlJc w:val="left"/>
      <w:lvlText w:val="•"/>
      <w:numFmt w:val="bullet"/>
      <w:start w:val="1"/>
    </w:lvl>
  </w:abstractNum>
  <w:abstractNum w:abstractNumId="328">
    <w:nsid w:val="5AA8580E"/>
    <w:multiLevelType w:val="hybridMultilevel"/>
    <w:lvl w:ilvl="0">
      <w:lvlJc w:val="left"/>
      <w:lvlText w:val="%1."/>
      <w:numFmt w:val="decimal"/>
      <w:start w:val="4"/>
    </w:lvl>
    <w:lvl w:ilvl="1">
      <w:lvlJc w:val="left"/>
      <w:lvlText w:val="•"/>
      <w:numFmt w:val="bullet"/>
      <w:start w:val="1"/>
    </w:lvl>
  </w:abstractNum>
  <w:abstractNum w:abstractNumId="329">
    <w:nsid w:val="68FA8D0D"/>
    <w:multiLevelType w:val="hybridMultilevel"/>
    <w:lvl w:ilvl="0">
      <w:lvlJc w:val="left"/>
      <w:lvlText w:val="%1."/>
      <w:numFmt w:val="decimal"/>
      <w:start w:val="8"/>
    </w:lvl>
  </w:abstractNum>
  <w:abstractNum w:abstractNumId="330">
    <w:nsid w:val="40F2CBD2"/>
    <w:multiLevelType w:val="hybridMultilevel"/>
    <w:lvl w:ilvl="0">
      <w:lvlJc w:val="left"/>
      <w:lvlText w:val="%1."/>
      <w:numFmt w:val="decimal"/>
      <w:start w:val="9"/>
    </w:lvl>
  </w:abstractNum>
  <w:abstractNum w:abstractNumId="331">
    <w:nsid w:val="3BD615EB"/>
    <w:multiLevelType w:val="hybridMultilevel"/>
    <w:lvl w:ilvl="0">
      <w:lvlJc w:val="left"/>
      <w:lvlText w:val="%1."/>
      <w:numFmt w:val="decimal"/>
      <w:start w:val="5"/>
    </w:lvl>
  </w:abstractNum>
  <w:abstractNum w:abstractNumId="332">
    <w:nsid w:val="A045AB2"/>
    <w:multiLevelType w:val="hybridMultilevel"/>
    <w:lvl w:ilvl="0">
      <w:lvlJc w:val="left"/>
      <w:lvlText w:val="%1."/>
      <w:numFmt w:val="decimal"/>
      <w:start w:val="6"/>
    </w:lvl>
  </w:abstractNum>
  <w:abstractNum w:abstractNumId="333">
    <w:nsid w:val="1872261F"/>
    <w:multiLevelType w:val="hybridMultilevel"/>
    <w:lvl w:ilvl="0">
      <w:lvlJc w:val="left"/>
      <w:lvlText w:val="%1."/>
      <w:numFmt w:val="decimal"/>
      <w:start w:val="9"/>
    </w:lvl>
  </w:abstractNum>
  <w:abstractNum w:abstractNumId="334">
    <w:nsid w:val="3DE8306C"/>
    <w:multiLevelType w:val="hybridMultilevel"/>
    <w:lvl w:ilvl="0">
      <w:lvlJc w:val="left"/>
      <w:lvlText w:val="%1."/>
      <w:numFmt w:val="decimal"/>
      <w:start w:val="14"/>
    </w:lvl>
  </w:abstractNum>
  <w:abstractNum w:abstractNumId="335">
    <w:nsid w:val="7631573A"/>
    <w:multiLevelType w:val="hybridMultilevel"/>
    <w:lvl w:ilvl="0">
      <w:lvlJc w:val="left"/>
      <w:lvlText w:val="%1."/>
      <w:numFmt w:val="decimal"/>
      <w:start w:val="1"/>
    </w:lvl>
    <w:lvl w:ilvl="1">
      <w:lvlJc w:val="left"/>
      <w:lvlText w:val="(%2)"/>
      <w:numFmt w:val="lowerLetter"/>
      <w:start w:val="1"/>
    </w:lvl>
  </w:abstractNum>
  <w:abstractNum w:abstractNumId="336">
    <w:nsid w:val="58DF53B"/>
    <w:multiLevelType w:val="hybridMultilevel"/>
    <w:lvl w:ilvl="0">
      <w:lvlJc w:val="left"/>
      <w:lvlText w:val="%1"/>
      <w:numFmt w:val="decimal"/>
      <w:start w:val="1"/>
    </w:lvl>
    <w:lvl w:ilvl="1">
      <w:lvlJc w:val="left"/>
      <w:lvlText w:val="(%2)"/>
      <w:numFmt w:val="lowerLetter"/>
      <w:start w:val="4"/>
    </w:lvl>
  </w:abstractNum>
  <w:abstractNum w:abstractNumId="337">
    <w:nsid w:val="ACDFAC0"/>
    <w:multiLevelType w:val="hybridMultilevel"/>
    <w:lvl w:ilvl="0">
      <w:lvlJc w:val="left"/>
      <w:lvlText w:val="%1"/>
      <w:numFmt w:val="decimal"/>
      <w:start w:val="600"/>
    </w:lvl>
    <w:lvl w:ilvl="1">
      <w:lvlJc w:val="left"/>
      <w:lvlText w:val="%2"/>
      <w:numFmt w:val="lowerLetter"/>
      <w:start w:val="1"/>
    </w:lvl>
  </w:abstractNum>
  <w:abstractNum w:abstractNumId="338">
    <w:nsid w:val="1F578454"/>
    <w:multiLevelType w:val="hybridMultilevel"/>
    <w:lvl w:ilvl="0">
      <w:lvlJc w:val="left"/>
      <w:lvlText w:val="%1."/>
      <w:numFmt w:val="decimal"/>
      <w:start w:val="2"/>
    </w:lvl>
    <w:lvl w:ilvl="1">
      <w:lvlJc w:val="left"/>
      <w:lvlText w:val="(%2)"/>
      <w:numFmt w:val="lowerLetter"/>
      <w:start w:val="1"/>
    </w:lvl>
  </w:abstractNum>
  <w:abstractNum w:abstractNumId="339">
    <w:nsid w:val="5B0DAD2A"/>
    <w:multiLevelType w:val="hybridMultilevel"/>
    <w:lvl w:ilvl="0">
      <w:lvlJc w:val="left"/>
      <w:lvlText w:val="%1"/>
      <w:numFmt w:val="decimal"/>
      <w:start w:val="1"/>
    </w:lvl>
    <w:lvl w:ilvl="1">
      <w:lvlJc w:val="left"/>
      <w:lvlText w:val="(%2)"/>
      <w:numFmt w:val="lowerLetter"/>
      <w:start w:val="4"/>
    </w:lvl>
  </w:abstractNum>
  <w:abstractNum w:abstractNumId="340">
    <w:nsid w:val="4E3D26AB"/>
    <w:multiLevelType w:val="hybridMultilevel"/>
    <w:lvl w:ilvl="0">
      <w:lvlJc w:val="left"/>
      <w:lvlText w:val="%1."/>
      <w:numFmt w:val="decimal"/>
      <w:start w:val="3"/>
    </w:lvl>
    <w:lvl w:ilvl="1">
      <w:lvlJc w:val="left"/>
      <w:lvlText w:val="(%2)"/>
      <w:numFmt w:val="lowerLetter"/>
      <w:start w:val="1"/>
    </w:lvl>
  </w:abstractNum>
  <w:abstractNum w:abstractNumId="341">
    <w:nsid w:val="BE2C8B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2">
    <w:nsid w:val="7B14914E"/>
    <w:multiLevelType w:val="hybridMultilevel"/>
    <w:lvl w:ilvl="0">
      <w:lvlJc w:val="left"/>
      <w:lvlText w:val="(%1)"/>
      <w:numFmt w:val="lowerRoman"/>
      <w:start w:val="2"/>
    </w:lvl>
  </w:abstractNum>
  <w:abstractNum w:abstractNumId="343">
    <w:nsid w:val="6F0939F8"/>
    <w:multiLevelType w:val="hybridMultilevel"/>
    <w:lvl w:ilvl="0">
      <w:lvlJc w:val="left"/>
      <w:lvlText w:val="(%1)"/>
      <w:numFmt w:val="upperLetter"/>
      <w:start w:val="1"/>
    </w:lvl>
  </w:abstractNum>
  <w:abstractNum w:abstractNumId="344">
    <w:nsid w:val="154291F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6"/>
    </w:lvl>
  </w:abstractNum>
  <w:abstractNum w:abstractNumId="345">
    <w:nsid w:val="3CEBD7C7"/>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346">
    <w:nsid w:val="60EE9C16"/>
    <w:multiLevelType w:val="hybridMultilevel"/>
    <w:lvl w:ilvl="0">
      <w:lvlJc w:val="left"/>
      <w:lvlText w:val="(%1)"/>
      <w:numFmt w:val="lowerRoman"/>
      <w:start w:val="4"/>
    </w:lvl>
    <w:lvl w:ilvl="1">
      <w:lvlJc w:val="left"/>
      <w:lvlText w:val="(%2)"/>
      <w:numFmt w:val="lowerLetter"/>
      <w:start w:val="6"/>
    </w:lvl>
    <w:lvl w:ilvl="2">
      <w:lvlJc w:val="left"/>
      <w:lvlText w:val="%3"/>
      <w:numFmt w:val="upperLetter"/>
      <w:start w:val="1"/>
    </w:lvl>
  </w:abstractNum>
  <w:abstractNum w:abstractNumId="347">
    <w:nsid w:val="6385489E"/>
    <w:multiLevelType w:val="hybridMultilevel"/>
    <w:lvl w:ilvl="0">
      <w:lvlJc w:val="left"/>
      <w:lvlText w:val="(%1)"/>
      <w:numFmt w:val="lowerLetter"/>
      <w:start w:val="8"/>
    </w:lvl>
  </w:abstractNum>
  <w:abstractNum w:abstractNumId="348">
    <w:nsid w:val="E4B973"/>
    <w:multiLevelType w:val="hybridMultilevel"/>
    <w:lvl w:ilvl="0">
      <w:lvlJc w:val="left"/>
      <w:lvlText w:val="%1"/>
      <w:numFmt w:val="decimal"/>
      <w:start w:val="1"/>
    </w:lvl>
    <w:lvl w:ilvl="1">
      <w:lvlJc w:val="left"/>
      <w:lvlText w:val="(%2)"/>
      <w:numFmt w:val="lowerLetter"/>
      <w:start w:val="12"/>
    </w:lvl>
  </w:abstractNum>
  <w:abstractNum w:abstractNumId="349">
    <w:nsid w:val="4A0FFA11"/>
    <w:multiLevelType w:val="hybridMultilevel"/>
    <w:lvl w:ilvl="0">
      <w:lvlJc w:val="left"/>
      <w:lvlText w:val="%1."/>
      <w:numFmt w:val="decimal"/>
      <w:start w:val="4"/>
    </w:lvl>
    <w:lvl w:ilvl="1">
      <w:lvlJc w:val="left"/>
      <w:lvlText w:val="(%2)"/>
      <w:numFmt w:val="lowerLetter"/>
      <w:start w:val="1"/>
    </w:lvl>
  </w:abstractNum>
  <w:abstractNum w:abstractNumId="350">
    <w:nsid w:val="5E446208"/>
    <w:multiLevelType w:val="hybridMultilevel"/>
    <w:lvl w:ilvl="0">
      <w:lvlJc w:val="left"/>
      <w:lvlText w:val="%1"/>
      <w:numFmt w:val="decimal"/>
      <w:start w:val="1"/>
    </w:lvl>
    <w:lvl w:ilvl="1">
      <w:lvlJc w:val="left"/>
      <w:lvlText w:val="(%2)"/>
      <w:numFmt w:val="lowerLetter"/>
      <w:start w:val="3"/>
    </w:lvl>
  </w:abstractNum>
  <w:abstractNum w:abstractNumId="351">
    <w:nsid w:val="5F3272DB"/>
    <w:multiLevelType w:val="hybridMultilevel"/>
    <w:lvl w:ilvl="0">
      <w:lvlJc w:val="left"/>
      <w:lvlText w:val="%1."/>
      <w:numFmt w:val="decimal"/>
      <w:start w:val="5"/>
    </w:lvl>
    <w:lvl w:ilvl="1">
      <w:lvlJc w:val="left"/>
      <w:lvlText w:val="(%2)"/>
      <w:numFmt w:val="lowerLetter"/>
      <w:start w:val="1"/>
    </w:lvl>
  </w:abstractNum>
  <w:abstractNum w:abstractNumId="352">
    <w:nsid w:val="7616D704"/>
    <w:multiLevelType w:val="hybridMultilevel"/>
    <w:lvl w:ilvl="0">
      <w:lvlJc w:val="left"/>
      <w:lvlText w:val="%1"/>
      <w:numFmt w:val="decimal"/>
      <w:start w:val="1"/>
    </w:lvl>
    <w:lvl w:ilvl="1">
      <w:lvlJc w:val="left"/>
      <w:lvlText w:val="(%2)"/>
      <w:numFmt w:val="lowerLetter"/>
      <w:start w:val="3"/>
    </w:lvl>
  </w:abstractNum>
  <w:abstractNum w:abstractNumId="353">
    <w:nsid w:val="C56F860"/>
    <w:multiLevelType w:val="hybridMultilevel"/>
    <w:lvl w:ilvl="0">
      <w:lvlJc w:val="left"/>
      <w:lvlText w:val="%1."/>
      <w:numFmt w:val="decimal"/>
      <w:start w:val="6"/>
    </w:lvl>
    <w:lvl w:ilvl="1">
      <w:lvlJc w:val="left"/>
      <w:lvlText w:val="(%2)"/>
      <w:numFmt w:val="lowerLetter"/>
      <w:start w:val="1"/>
    </w:lvl>
  </w:abstractNum>
  <w:abstractNum w:abstractNumId="354">
    <w:nsid w:val="64D17722"/>
    <w:multiLevelType w:val="hybridMultilevel"/>
    <w:lvl w:ilvl="0">
      <w:lvlJc w:val="left"/>
      <w:lvlText w:val="%1"/>
      <w:numFmt w:val="upperLetter"/>
      <w:start w:val="1"/>
    </w:lvl>
    <w:lvl w:ilvl="1">
      <w:lvlJc w:val="left"/>
      <w:lvlText w:val="(%2)"/>
      <w:numFmt w:val="lowerLetter"/>
      <w:start w:val="5"/>
    </w:lvl>
  </w:abstractNum>
  <w:abstractNum w:abstractNumId="355">
    <w:nsid w:val="7924CA0A"/>
    <w:multiLevelType w:val="hybridMultilevel"/>
    <w:lvl w:ilvl="0">
      <w:lvlJc w:val="left"/>
      <w:lvlText w:val="(%1)"/>
      <w:numFmt w:val="upperLetter"/>
      <w:start w:val="1"/>
    </w:lvl>
    <w:lvl w:ilvl="1">
      <w:lvlJc w:val="left"/>
      <w:lvlText w:val="%2"/>
      <w:numFmt w:val="lowerLetter"/>
      <w:start w:val="1"/>
    </w:lvl>
  </w:abstractNum>
  <w:abstractNum w:abstractNumId="356">
    <w:nsid w:val="CFD4EA7"/>
    <w:multiLevelType w:val="hybridMultilevel"/>
    <w:lvl w:ilvl="0">
      <w:lvlJc w:val="left"/>
      <w:lvlText w:val="(%1)"/>
      <w:numFmt w:val="lowerRoman"/>
      <w:start w:val="1"/>
    </w:lvl>
  </w:abstractNum>
  <w:abstractNum w:abstractNumId="357">
    <w:nsid w:val="232FCF4D"/>
    <w:multiLevelType w:val="hybridMultilevel"/>
    <w:lvl w:ilvl="0">
      <w:lvlJc w:val="left"/>
      <w:lvlText w:val="%1."/>
      <w:numFmt w:val="decimal"/>
      <w:start w:val="7"/>
    </w:lvl>
    <w:lvl w:ilvl="1">
      <w:lvlJc w:val="left"/>
      <w:lvlText w:val="(%2)"/>
      <w:numFmt w:val="lowerLetter"/>
      <w:start w:val="1"/>
    </w:lvl>
  </w:abstractNum>
  <w:abstractNum w:abstractNumId="358">
    <w:nsid w:val="1EA21031"/>
    <w:multiLevelType w:val="hybridMultilevel"/>
    <w:lvl w:ilvl="0">
      <w:lvlJc w:val="left"/>
      <w:lvlText w:val="%1"/>
      <w:numFmt w:val="decimal"/>
      <w:start w:val="1"/>
    </w:lvl>
    <w:lvl w:ilvl="1">
      <w:lvlJc w:val="left"/>
      <w:lvlText w:val="(%2)"/>
      <w:numFmt w:val="lowerLetter"/>
      <w:start w:val="5"/>
    </w:lvl>
  </w:abstractNum>
  <w:abstractNum w:abstractNumId="359">
    <w:nsid w:val="67A5A6B5"/>
    <w:multiLevelType w:val="hybridMultilevel"/>
    <w:lvl w:ilvl="0">
      <w:lvlJc w:val="left"/>
      <w:lvlText w:val="%1."/>
      <w:numFmt w:val="decimal"/>
      <w:start w:val="8"/>
    </w:lvl>
    <w:lvl w:ilvl="1">
      <w:lvlJc w:val="left"/>
      <w:lvlText w:val="(%2)"/>
      <w:numFmt w:val="lowerLetter"/>
      <w:start w:val="1"/>
    </w:lvl>
  </w:abstractNum>
  <w:abstractNum w:abstractNumId="360">
    <w:nsid w:val="C2A5C5B"/>
    <w:multiLevelType w:val="hybridMultilevel"/>
    <w:lvl w:ilvl="0">
      <w:lvlJc w:val="left"/>
      <w:lvlText w:val="(%1)"/>
      <w:numFmt w:val="lowerLetter"/>
      <w:start w:val="4"/>
    </w:lvl>
    <w:lvl w:ilvl="1">
      <w:lvlJc w:val="left"/>
      <w:lvlText w:val="(%2)"/>
      <w:numFmt w:val="lowerRoman"/>
      <w:start w:val="1"/>
    </w:lvl>
  </w:abstractNum>
  <w:abstractNum w:abstractNumId="361">
    <w:nsid w:val="5F94DC03"/>
    <w:multiLevelType w:val="hybridMultilevel"/>
    <w:lvl w:ilvl="0">
      <w:lvlJc w:val="left"/>
      <w:lvlText w:val="%1"/>
      <w:numFmt w:val="decimal"/>
      <w:start w:val="1"/>
    </w:lvl>
    <w:lvl w:ilvl="1">
      <w:lvlJc w:val="left"/>
      <w:lvlText w:val="(%2)"/>
      <w:numFmt w:val="lowerLetter"/>
      <w:start w:val="5"/>
    </w:lvl>
  </w:abstractNum>
  <w:abstractNum w:abstractNumId="362">
    <w:nsid w:val="237BBCA0"/>
    <w:multiLevelType w:val="hybridMultilevel"/>
    <w:lvl w:ilvl="0">
      <w:lvlJc w:val="left"/>
      <w:lvlText w:val="%1."/>
      <w:numFmt w:val="decimal"/>
      <w:start w:val="9"/>
    </w:lvl>
    <w:lvl w:ilvl="1">
      <w:lvlJc w:val="left"/>
      <w:lvlText w:val="(%2)"/>
      <w:numFmt w:val="lowerLetter"/>
      <w:start w:val="1"/>
    </w:lvl>
  </w:abstractNum>
  <w:abstractNum w:abstractNumId="363">
    <w:nsid w:val="162EB70D"/>
    <w:multiLevelType w:val="hybridMultilevel"/>
    <w:lvl w:ilvl="0">
      <w:lvlJc w:val="left"/>
      <w:lvlText w:val="(%1)"/>
      <w:numFmt w:val="lowerLetter"/>
      <w:start w:val="35"/>
    </w:lvl>
    <w:lvl w:ilvl="1">
      <w:lvlJc w:val="left"/>
      <w:lvlText w:val="(%2)"/>
      <w:numFmt w:val="lowerLetter"/>
      <w:start w:val="2"/>
    </w:lvl>
  </w:abstractNum>
  <w:abstractNum w:abstractNumId="364">
    <w:nsid w:val="78070222"/>
    <w:multiLevelType w:val="hybridMultilevel"/>
    <w:lvl w:ilvl="0">
      <w:lvlJc w:val="left"/>
      <w:lvlText w:val="%1."/>
      <w:numFmt w:val="decimal"/>
      <w:start w:val="10"/>
    </w:lvl>
  </w:abstractNum>
  <w:abstractNum w:abstractNumId="365">
    <w:nsid w:val="6163ED0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6">
    <w:nsid w:val="C600E47"/>
    <w:multiLevelType w:val="hybridMultilevel"/>
    <w:lvl w:ilvl="0">
      <w:lvlJc w:val="left"/>
      <w:lvlText w:val="(%1)"/>
      <w:numFmt w:val="lowerRoman"/>
      <w:start w:val="6"/>
    </w:lvl>
  </w:abstractNum>
  <w:abstractNum w:abstractNumId="367">
    <w:nsid w:val="7D94F75D"/>
    <w:multiLevelType w:val="hybridMultilevel"/>
    <w:lvl w:ilvl="0">
      <w:lvlJc w:val="left"/>
      <w:lvlText w:val="%1"/>
      <w:numFmt w:val="decimal"/>
      <w:start w:val="1"/>
    </w:lvl>
    <w:lvl w:ilvl="1">
      <w:lvlJc w:val="left"/>
      <w:lvlText w:val="(%2)"/>
      <w:numFmt w:val="lowerLetter"/>
      <w:start w:val="5"/>
    </w:lvl>
  </w:abstractNum>
  <w:abstractNum w:abstractNumId="368">
    <w:nsid w:val="6C31E7CD"/>
    <w:multiLevelType w:val="hybridMultilevel"/>
    <w:lvl w:ilvl="0">
      <w:lvlJc w:val="left"/>
      <w:lvlText w:val="(%1)"/>
      <w:numFmt w:val="decimal"/>
      <w:start w:val="10"/>
    </w:lvl>
    <w:lvl w:ilvl="1">
      <w:lvlJc w:val="left"/>
      <w:lvlText w:val="(%2)"/>
      <w:numFmt w:val="lowerLetter"/>
      <w:start w:val="6"/>
    </w:lvl>
  </w:abstractNum>
  <w:abstractNum w:abstractNumId="369">
    <w:nsid w:val="2BB7929B"/>
    <w:multiLevelType w:val="hybridMultilevel"/>
    <w:lvl w:ilvl="0">
      <w:lvlJc w:val="left"/>
      <w:lvlText w:val="%1."/>
      <w:numFmt w:val="decimal"/>
      <w:start w:val="12"/>
    </w:lvl>
    <w:lvl w:ilvl="1">
      <w:lvlJc w:val="left"/>
      <w:lvlText w:val="(%2)"/>
      <w:numFmt w:val="lowerLetter"/>
      <w:start w:val="1"/>
    </w:lvl>
  </w:abstractNum>
  <w:abstractNum w:abstractNumId="370">
    <w:nsid w:val="58A2A487"/>
    <w:multiLevelType w:val="hybridMultilevel"/>
    <w:lvl w:ilvl="0">
      <w:lvlJc w:val="left"/>
      <w:lvlText w:val="(%1)"/>
      <w:numFmt w:val="lowerLetter"/>
      <w:start w:val="2"/>
    </w:lvl>
    <w:lvl w:ilvl="1">
      <w:lvlJc w:val="left"/>
      <w:lvlText w:val="(%2)"/>
      <w:numFmt w:val="lowerRoman"/>
      <w:start w:val="1"/>
    </w:lvl>
  </w:abstractNum>
  <w:abstractNum w:abstractNumId="371">
    <w:nsid w:val="3A6F0E78"/>
    <w:multiLevelType w:val="hybridMultilevel"/>
    <w:lvl w:ilvl="0">
      <w:lvlJc w:val="left"/>
      <w:lvlText w:val="%1"/>
      <w:numFmt w:val="decimal"/>
      <w:start w:val="1"/>
    </w:lvl>
    <w:lvl w:ilvl="1">
      <w:lvlJc w:val="left"/>
      <w:lvlText w:val="(%2)"/>
      <w:numFmt w:val="lowerLetter"/>
      <w:start w:val="3"/>
    </w:lvl>
  </w:abstractNum>
  <w:abstractNum w:abstractNumId="372">
    <w:nsid w:val="379A5B56"/>
    <w:multiLevelType w:val="hybridMultilevel"/>
    <w:lvl w:ilvl="0">
      <w:lvlJc w:val="left"/>
      <w:lvlText w:val="(%1)"/>
      <w:numFmt w:val="decimal"/>
      <w:start w:val="3"/>
    </w:lvl>
    <w:lvl w:ilvl="1">
      <w:lvlJc w:val="left"/>
      <w:lvlText w:val="(%2)"/>
      <w:numFmt w:val="lowerLetter"/>
      <w:start w:val="6"/>
    </w:lvl>
  </w:abstractNum>
  <w:abstractNum w:abstractNumId="373">
    <w:nsid w:val="53B735D5"/>
    <w:multiLevelType w:val="hybridMultilevel"/>
    <w:lvl w:ilvl="0">
      <w:lvlJc w:val="left"/>
      <w:lvlText w:val="%1"/>
      <w:numFmt w:val="decimal"/>
      <w:start w:val="1"/>
    </w:lvl>
    <w:lvl w:ilvl="1">
      <w:lvlJc w:val="left"/>
      <w:lvlText w:val="(%2)"/>
      <w:numFmt w:val="lowerLetter"/>
      <w:start w:val="8"/>
    </w:lvl>
  </w:abstractNum>
  <w:abstractNum w:abstractNumId="374">
    <w:nsid w:val="29784870"/>
    <w:multiLevelType w:val="hybridMultilevel"/>
    <w:lvl w:ilvl="0">
      <w:lvlJc w:val="left"/>
      <w:lvlText w:val="%1."/>
      <w:numFmt w:val="decimal"/>
      <w:start w:val="13"/>
    </w:lvl>
    <w:lvl w:ilvl="1">
      <w:lvlJc w:val="left"/>
      <w:lvlText w:val="%2"/>
      <w:numFmt w:val="lowerLetter"/>
      <w:start w:val="1"/>
    </w:lvl>
  </w:abstractNum>
  <w:abstractNum w:abstractNumId="375">
    <w:nsid w:val="4CDCED4C"/>
    <w:multiLevelType w:val="hybridMultilevel"/>
    <w:lvl w:ilvl="0">
      <w:lvlJc w:val="left"/>
      <w:lvlText w:val="%1."/>
      <w:numFmt w:val="decimal"/>
      <w:start w:val="14"/>
    </w:lvl>
    <w:lvl w:ilvl="1">
      <w:lvlJc w:val="left"/>
      <w:lvlText w:val="(%2)"/>
      <w:numFmt w:val="lowerLetter"/>
      <w:start w:val="1"/>
    </w:lvl>
  </w:abstractNum>
  <w:abstractNum w:abstractNumId="376">
    <w:nsid w:val="10A30D9C"/>
    <w:multiLevelType w:val="hybridMultilevel"/>
    <w:lvl w:ilvl="0">
      <w:lvlJc w:val="left"/>
      <w:lvlText w:val="%1."/>
      <w:numFmt w:val="decimal"/>
      <w:start w:val="16"/>
    </w:lvl>
    <w:lvl w:ilvl="1">
      <w:lvlJc w:val="left"/>
      <w:lvlText w:val="(%2)"/>
      <w:numFmt w:val="lowerLetter"/>
      <w:start w:val="1"/>
    </w:lvl>
  </w:abstractNum>
  <w:abstractNum w:abstractNumId="377">
    <w:nsid w:val="A66E486"/>
    <w:multiLevelType w:val="hybridMultilevel"/>
    <w:lvl w:ilvl="0">
      <w:lvlJc w:val="left"/>
      <w:lvlText w:val="%1"/>
      <w:numFmt w:val="decimal"/>
      <w:start w:val="1"/>
    </w:lvl>
    <w:lvl w:ilvl="1">
      <w:lvlJc w:val="left"/>
      <w:lvlText w:val="(%2)"/>
      <w:numFmt w:val="lowerLetter"/>
      <w:start w:val="4"/>
    </w:lvl>
  </w:abstractNum>
  <w:abstractNum w:abstractNumId="378">
    <w:nsid w:val="306235EA"/>
    <w:multiLevelType w:val="hybridMultilevel"/>
    <w:lvl w:ilvl="0">
      <w:lvlJc w:val="left"/>
      <w:lvlText w:val="%1."/>
      <w:numFmt w:val="decimal"/>
      <w:start w:val="17"/>
    </w:lvl>
    <w:lvl w:ilvl="1">
      <w:lvlJc w:val="left"/>
      <w:lvlText w:val="(%2)"/>
      <w:numFmt w:val="lowerLetter"/>
      <w:start w:val="1"/>
    </w:lvl>
  </w:abstractNum>
  <w:abstractNum w:abstractNumId="379">
    <w:nsid w:val="1187C70F"/>
    <w:multiLevelType w:val="hybridMultilevel"/>
    <w:lvl w:ilvl="0">
      <w:lvlJc w:val="left"/>
      <w:lvlText w:val="%1."/>
      <w:numFmt w:val="decimal"/>
      <w:start w:val="18"/>
    </w:lvl>
    <w:lvl w:ilvl="1">
      <w:lvlJc w:val="left"/>
      <w:lvlText w:val="(%2)"/>
      <w:numFmt w:val="lowerLetter"/>
      <w:start w:val="1"/>
    </w:lvl>
  </w:abstractNum>
  <w:abstractNum w:abstractNumId="380">
    <w:nsid w:val="5476DE98"/>
    <w:multiLevelType w:val="hybridMultilevel"/>
    <w:lvl w:ilvl="0">
      <w:lvlJc w:val="left"/>
      <w:lvlText w:val="%1"/>
      <w:numFmt w:val="decimal"/>
      <w:start w:val="1"/>
    </w:lvl>
    <w:lvl w:ilvl="1">
      <w:lvlJc w:val="left"/>
      <w:lvlText w:val="(%2)"/>
      <w:numFmt w:val="lowerLetter"/>
      <w:start w:val="3"/>
    </w:lvl>
  </w:abstractNum>
  <w:abstractNum w:abstractNumId="381">
    <w:nsid w:val="EA697F2"/>
    <w:multiLevelType w:val="hybridMultilevel"/>
    <w:lvl w:ilvl="0">
      <w:lvlJc w:val="left"/>
      <w:lvlText w:val="%1."/>
      <w:numFmt w:val="decimal"/>
      <w:start w:val="19"/>
    </w:lvl>
    <w:lvl w:ilvl="1">
      <w:lvlJc w:val="left"/>
      <w:lvlText w:val="(%2)"/>
      <w:numFmt w:val="lowerLetter"/>
      <w:start w:val="1"/>
    </w:lvl>
  </w:abstractNum>
  <w:abstractNum w:abstractNumId="382">
    <w:nsid w:val="70BA39EB"/>
    <w:multiLevelType w:val="hybridMultilevel"/>
    <w:lvl w:ilvl="0">
      <w:lvlJc w:val="left"/>
      <w:lvlText w:val="(%1)"/>
      <w:numFmt w:val="lowerLetter"/>
      <w:start w:val="3"/>
    </w:lvl>
  </w:abstractNum>
  <w:abstractNum w:abstractNumId="383">
    <w:nsid w:val="4A8DB59C"/>
    <w:multiLevelType w:val="hybridMultilevel"/>
    <w:lvl w:ilvl="0">
      <w:lvlJc w:val="left"/>
      <w:lvlText w:val="(%1)"/>
      <w:numFmt w:val="lowerLetter"/>
      <w:start w:val="7"/>
    </w:lvl>
    <w:lvl w:ilvl="1">
      <w:lvlJc w:val="left"/>
      <w:lvlText w:val="(%2)"/>
      <w:numFmt w:val="lowerRoman"/>
      <w:start w:val="1"/>
    </w:lvl>
  </w:abstractNum>
  <w:abstractNum w:abstractNumId="384">
    <w:nsid w:val="1AFD9053"/>
    <w:multiLevelType w:val="hybridMultilevel"/>
    <w:lvl w:ilvl="0">
      <w:lvlJc w:val="left"/>
      <w:lvlText w:val="(%1)"/>
      <w:numFmt w:val="lowerLetter"/>
      <w:start w:val="12"/>
    </w:lvl>
  </w:abstractNum>
  <w:abstractNum w:abstractNumId="385">
    <w:nsid w:val="558BB10D"/>
    <w:multiLevelType w:val="hybridMultilevel"/>
    <w:lvl w:ilvl="0">
      <w:lvlJc w:val="left"/>
      <w:lvlText w:val="(%1)"/>
      <w:numFmt w:val="lowerLetter"/>
      <w:start w:val="21"/>
    </w:lvl>
  </w:abstractNum>
  <w:abstractNum w:abstractNumId="386">
    <w:nsid w:val="43B27FA7"/>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387">
    <w:nsid w:val="27FADEFA"/>
    <w:multiLevelType w:val="hybridMultilevel"/>
    <w:lvl w:ilvl="0">
      <w:lvlJc w:val="left"/>
      <w:lvlText w:val="%1"/>
      <w:numFmt w:val="decimal"/>
      <w:start w:val="1"/>
    </w:lvl>
    <w:lvl w:ilvl="1">
      <w:lvlJc w:val="left"/>
      <w:lvlText w:val="(%2)"/>
      <w:numFmt w:val="lowerLetter"/>
      <w:start w:val="33"/>
    </w:lvl>
  </w:abstractNum>
  <w:abstractNum w:abstractNumId="388">
    <w:nsid w:val="78BB805A"/>
    <w:multiLevelType w:val="hybridMultilevel"/>
    <w:lvl w:ilvl="0">
      <w:lvlJc w:val="left"/>
      <w:lvlText w:val="(%1)"/>
      <w:numFmt w:val="decimal"/>
      <w:start w:val="3"/>
    </w:lvl>
    <w:lvl w:ilvl="1">
      <w:lvlJc w:val="left"/>
      <w:lvlText w:val="%2"/>
      <w:numFmt w:val="lowerLetter"/>
      <w:start w:val="1"/>
    </w:lvl>
  </w:abstractNum>
  <w:abstractNum w:abstractNumId="389">
    <w:nsid w:val="62548FD8"/>
    <w:multiLevelType w:val="hybridMultilevel"/>
    <w:lvl w:ilvl="0">
      <w:lvlJc w:val="left"/>
      <w:lvlText w:val="(%1)"/>
      <w:numFmt w:val="lowerLetter"/>
      <w:start w:val="2"/>
    </w:lvl>
  </w:abstractNum>
  <w:abstractNum w:abstractNumId="390">
    <w:nsid w:val="FA085B0"/>
    <w:multiLevelType w:val="hybridMultilevel"/>
    <w:lvl w:ilvl="0">
      <w:lvlJc w:val="left"/>
      <w:lvlText w:val="%1"/>
      <w:numFmt w:val="upperLetter"/>
      <w:start w:val="1"/>
    </w:lvl>
    <w:lvl w:ilvl="1">
      <w:lvlJc w:val="left"/>
      <w:lvlText w:val="(%2)"/>
      <w:numFmt w:val="lowerLetter"/>
      <w:start w:val="1"/>
    </w:lvl>
  </w:abstractNum>
  <w:abstractNum w:abstractNumId="391">
    <w:nsid w:val="4E5DCB5"/>
    <w:multiLevelType w:val="hybridMultilevel"/>
    <w:lvl w:ilvl="0">
      <w:lvlJc w:val="left"/>
      <w:lvlText w:val="(%1)"/>
      <w:numFmt w:val="upperLetter"/>
      <w:start w:val="2"/>
    </w:lvl>
    <w:lvl w:ilvl="1">
      <w:lvlJc w:val="left"/>
      <w:lvlText w:val="(%2)"/>
      <w:numFmt w:val="lowerLetter"/>
      <w:start w:val="2"/>
    </w:lvl>
  </w:abstractNum>
  <w:abstractNum w:abstractNumId="392">
    <w:nsid w:val="41E96BDB"/>
    <w:multiLevelType w:val="hybridMultilevel"/>
    <w:lvl w:ilvl="0">
      <w:lvlJc w:val="left"/>
      <w:lvlText w:val="%1"/>
      <w:numFmt w:val="decimal"/>
      <w:start w:val="1"/>
    </w:lvl>
    <w:lvl w:ilvl="1">
      <w:lvlJc w:val="left"/>
      <w:lvlText w:val="(%2)"/>
      <w:numFmt w:val="lowerLetter"/>
      <w:start w:val="3"/>
    </w:lvl>
  </w:abstractNum>
  <w:abstractNum w:abstractNumId="393">
    <w:nsid w:val="331C4250"/>
    <w:multiLevelType w:val="hybridMultilevel"/>
    <w:lvl w:ilvl="0">
      <w:lvlJc w:val="left"/>
      <w:lvlText w:val="(%1)"/>
      <w:numFmt w:val="decimal"/>
      <w:start w:val="60"/>
    </w:lvl>
    <w:lvl w:ilvl="1">
      <w:lvlJc w:val="left"/>
      <w:lvlText w:val="%2"/>
      <w:numFmt w:val="lowerLetter"/>
      <w:start w:val="1"/>
    </w:lvl>
  </w:abstractNum>
  <w:abstractNum w:abstractNumId="394">
    <w:nsid w:val="1B1493C2"/>
    <w:multiLevelType w:val="hybridMultilevel"/>
    <w:lvl w:ilvl="0">
      <w:lvlJc w:val="left"/>
      <w:lvlText w:val="%1."/>
      <w:numFmt w:val="decimal"/>
      <w:start w:val="1"/>
    </w:lvl>
    <w:lvl w:ilvl="1">
      <w:lvlJc w:val="left"/>
      <w:lvlText w:val="(%2)"/>
      <w:numFmt w:val="lowerLetter"/>
      <w:start w:val="1"/>
    </w:lvl>
  </w:abstractNum>
  <w:abstractNum w:abstractNumId="395">
    <w:nsid w:val="39F06DFD"/>
    <w:multiLevelType w:val="hybridMultilevel"/>
    <w:lvl w:ilvl="0">
      <w:lvlJc w:val="left"/>
      <w:lvlText w:val="%1."/>
      <w:numFmt w:val="decimal"/>
      <w:start w:val="1"/>
    </w:lvl>
  </w:abstractNum>
  <w:abstractNum w:abstractNumId="396">
    <w:nsid w:val="14802F5D"/>
    <w:multiLevelType w:val="hybridMultilevel"/>
    <w:lvl w:ilvl="0">
      <w:lvlJc w:val="left"/>
      <w:lvlText w:val="%1."/>
      <w:numFmt w:val="decimal"/>
      <w:start w:val="7"/>
    </w:lvl>
  </w:abstractNum>
  <w:abstractNum w:abstractNumId="397">
    <w:nsid w:val="2774A209"/>
    <w:multiLevelType w:val="hybridMultilevel"/>
    <w:lvl w:ilvl="0">
      <w:lvlJc w:val="left"/>
      <w:lvlText w:val="%1."/>
      <w:numFmt w:val="decimal"/>
      <w:start w:val="16"/>
    </w:lvl>
  </w:abstractNum>
  <w:abstractNum w:abstractNumId="398">
    <w:nsid w:val="3785655A"/>
    <w:multiLevelType w:val="hybridMultilevel"/>
    <w:lvl w:ilvl="0">
      <w:lvlJc w:val="left"/>
      <w:lvlText w:val="%1."/>
      <w:numFmt w:val="decimal"/>
      <w:start w:val="28"/>
    </w:lvl>
  </w:abstractNum>
  <w:abstractNum w:abstractNumId="399">
    <w:nsid w:val="B2172A"/>
    <w:multiLevelType w:val="hybridMultilevel"/>
    <w:lvl w:ilvl="0">
      <w:lvlJc w:val="left"/>
      <w:lvlText w:val="%1."/>
      <w:numFmt w:val="decimal"/>
      <w:start w:val="8"/>
    </w:lvl>
  </w:abstractNum>
  <w:abstractNum w:abstractNumId="400">
    <w:nsid w:val="532C34A5"/>
    <w:multiLevelType w:val="hybridMultilevel"/>
    <w:lvl w:ilvl="0">
      <w:lvlJc w:val="left"/>
      <w:lvlText w:val="%1."/>
      <w:numFmt w:val="decimal"/>
      <w:start w:val="4"/>
    </w:lvl>
  </w:abstractNum>
  <w:abstractNum w:abstractNumId="401">
    <w:nsid w:val="102809E2"/>
    <w:multiLevelType w:val="hybridMultilevel"/>
    <w:lvl w:ilvl="0">
      <w:lvlJc w:val="left"/>
      <w:lvlText w:val="%1"/>
      <w:numFmt w:val="lowerLetter"/>
      <w:start w:val="1"/>
    </w:lvl>
    <w:lvl w:ilvl="1">
      <w:lvlJc w:val="left"/>
      <w:lvlText w:val="(%2)"/>
      <w:numFmt w:val="lowerLetter"/>
      <w:start w:val="1"/>
    </w:lvl>
  </w:abstractNum>
  <w:abstractNum w:abstractNumId="402">
    <w:nsid w:val="3B2125A3"/>
    <w:multiLevelType w:val="hybridMultilevel"/>
    <w:lvl w:ilvl="0">
      <w:lvlJc w:val="left"/>
      <w:lvlText w:val="(%1)"/>
      <w:numFmt w:val="lowerLetter"/>
      <w:start w:val="9"/>
    </w:lvl>
    <w:lvl w:ilvl="1">
      <w:lvlJc w:val="left"/>
      <w:lvlText w:val="(%2)"/>
      <w:numFmt w:val="lowerLetter"/>
      <w:start w:val="3"/>
    </w:lvl>
  </w:abstractNum>
  <w:abstractNum w:abstractNumId="403">
    <w:nsid w:val="AC68FFB"/>
    <w:multiLevelType w:val="hybridMultilevel"/>
    <w:lvl w:ilvl="0">
      <w:lvlJc w:val="left"/>
      <w:lvlText w:val="(%1)"/>
      <w:numFmt w:val="lowerLetter"/>
      <w:start w:val="5"/>
    </w:lvl>
  </w:abstractNum>
  <w:abstractNum w:abstractNumId="404">
    <w:nsid w:val="63DF3FB7"/>
    <w:multiLevelType w:val="hybridMultilevel"/>
    <w:lvl w:ilvl="0">
      <w:lvlJc w:val="left"/>
      <w:lvlText w:val="%1"/>
      <w:numFmt w:val="decimal"/>
      <w:start w:val="1"/>
    </w:lvl>
    <w:lvl w:ilvl="1">
      <w:lvlJc w:val="left"/>
      <w:lvlText w:val="(%2)"/>
      <w:numFmt w:val="lowerLetter"/>
      <w:start w:val="1"/>
    </w:lvl>
  </w:abstractNum>
  <w:abstractNum w:abstractNumId="405">
    <w:nsid w:val="64996E13"/>
    <w:multiLevelType w:val="hybridMultilevel"/>
    <w:lvl w:ilvl="0">
      <w:lvlJc w:val="left"/>
      <w:lvlText w:val="(%1)"/>
      <w:numFmt w:val="decimal"/>
      <w:start w:val="5"/>
    </w:lvl>
    <w:lvl w:ilvl="1">
      <w:lvlJc w:val="left"/>
      <w:lvlText w:val="(%2)"/>
      <w:numFmt w:val="lowerLetter"/>
      <w:start w:val="4"/>
    </w:lvl>
  </w:abstractNum>
  <w:abstractNum w:abstractNumId="406">
    <w:nsid w:val="57A37D47"/>
    <w:multiLevelType w:val="hybridMultilevel"/>
    <w:lvl w:ilvl="0">
      <w:lvlJc w:val="left"/>
      <w:lvlText w:val="(%1)"/>
      <w:numFmt w:val="lowerLetter"/>
      <w:start w:val="5"/>
    </w:lvl>
  </w:abstractNum>
  <w:abstractNum w:abstractNumId="407">
    <w:nsid w:val="74824D54"/>
    <w:multiLevelType w:val="hybridMultilevel"/>
    <w:lvl w:ilvl="0">
      <w:lvlJc w:val="left"/>
      <w:lvlText w:val="(%1)"/>
      <w:numFmt w:val="lowerLetter"/>
      <w:start w:val="1"/>
    </w:lvl>
  </w:abstractNum>
  <w:abstractNum w:abstractNumId="408">
    <w:nsid w:val="6F00529A"/>
    <w:multiLevelType w:val="hybridMultilevel"/>
    <w:lvl w:ilvl="0">
      <w:lvlJc w:val="left"/>
      <w:lvlText w:val="%1."/>
      <w:numFmt w:val="decimal"/>
      <w:start w:val="1"/>
    </w:lvl>
    <w:lvl w:ilvl="1">
      <w:lvlJc w:val="left"/>
      <w:lvlText w:val="(%2)"/>
      <w:numFmt w:val="lowerLetter"/>
      <w:start w:val="1"/>
    </w:lvl>
  </w:abstractNum>
  <w:abstractNum w:abstractNumId="409">
    <w:nsid w:val="805B331"/>
    <w:multiLevelType w:val="hybridMultilevel"/>
    <w:lvl w:ilvl="0">
      <w:lvlJc w:val="left"/>
      <w:lvlText w:val="%1."/>
      <w:numFmt w:val="decimal"/>
      <w:start w:val="3"/>
    </w:lvl>
    <w:lvl w:ilvl="1">
      <w:lvlJc w:val="left"/>
      <w:lvlText w:val="(%2)"/>
      <w:numFmt w:val="lowerLetter"/>
      <w:start w:val="1"/>
    </w:lvl>
  </w:abstractNum>
  <w:abstractNum w:abstractNumId="410">
    <w:nsid w:val="60A1463"/>
    <w:multiLevelType w:val="hybridMultilevel"/>
    <w:lvl w:ilvl="0">
      <w:lvlJc w:val="left"/>
      <w:lvlText w:val="(%1)"/>
      <w:numFmt w:val="lowerLetter"/>
      <w:start w:val="2"/>
    </w:lvl>
  </w:abstractNum>
  <w:abstractNum w:abstractNumId="411">
    <w:nsid w:val="43773132"/>
    <w:multiLevelType w:val="hybridMultilevel"/>
    <w:lvl w:ilvl="0">
      <w:lvlJc w:val="left"/>
      <w:lvlText w:val="(%1)"/>
      <w:numFmt w:val="lowerLetter"/>
      <w:start w:val="3"/>
    </w:lvl>
  </w:abstractNum>
  <w:abstractNum w:abstractNumId="412">
    <w:nsid w:val="16AC4B23"/>
    <w:multiLevelType w:val="hybridMultilevel"/>
    <w:lvl w:ilvl="0">
      <w:lvlJc w:val="left"/>
      <w:lvlText w:val="*"/>
      <w:numFmt w:val="bullet"/>
      <w:start w:val="1"/>
    </w:lvl>
    <w:lvl w:ilvl="1">
      <w:lvlJc w:val="left"/>
      <w:lvlText w:val="(%2)"/>
      <w:numFmt w:val="lowerLetter"/>
      <w:start w:val="4"/>
    </w:lvl>
  </w:abstractNum>
  <w:abstractNum w:abstractNumId="413">
    <w:nsid w:val="76C44E4E"/>
    <w:multiLevelType w:val="hybridMultilevel"/>
    <w:lvl w:ilvl="0">
      <w:lvlJc w:val="left"/>
      <w:lvlText w:val="*"/>
      <w:numFmt w:val="bullet"/>
      <w:start w:val="1"/>
    </w:lvl>
  </w:abstractNum>
  <w:abstractNum w:abstractNumId="414">
    <w:nsid w:val="E04E6CE"/>
    <w:multiLevelType w:val="hybridMultilevel"/>
    <w:lvl w:ilvl="0">
      <w:lvlJc w:val="left"/>
      <w:lvlText w:val="%1."/>
      <w:numFmt w:val="decimal"/>
      <w:start w:val="6"/>
    </w:lvl>
    <w:lvl w:ilvl="1">
      <w:lvlJc w:val="left"/>
      <w:lvlText w:val="(%2)"/>
      <w:numFmt w:val="lowerLetter"/>
      <w:start w:val="1"/>
    </w:lvl>
  </w:abstractNum>
  <w:abstractNum w:abstractNumId="415">
    <w:nsid w:val="31A9DB76"/>
    <w:multiLevelType w:val="hybridMultilevel"/>
    <w:lvl w:ilvl="0">
      <w:lvlJc w:val="left"/>
      <w:lvlText w:val="%1"/>
      <w:numFmt w:val="decimal"/>
      <w:start w:val="1"/>
    </w:lvl>
    <w:lvl w:ilvl="1">
      <w:lvlJc w:val="left"/>
      <w:lvlText w:val="(%2)"/>
      <w:numFmt w:val="lowerLetter"/>
      <w:start w:val="4"/>
    </w:lvl>
  </w:abstractNum>
  <w:abstractNum w:abstractNumId="416">
    <w:nsid w:val="4C4FFF5B"/>
    <w:multiLevelType w:val="hybridMultilevel"/>
    <w:lvl w:ilvl="0">
      <w:lvlJc w:val="left"/>
      <w:lvlText w:val="%1."/>
      <w:numFmt w:val="decimal"/>
      <w:start w:val="7"/>
    </w:lvl>
    <w:lvl w:ilvl="1">
      <w:lvlJc w:val="left"/>
      <w:lvlText w:val="%2"/>
      <w:numFmt w:val="lowerLetter"/>
      <w:start w:val="1"/>
    </w:lvl>
  </w:abstractNum>
  <w:abstractNum w:abstractNumId="417">
    <w:nsid w:val="51B76675"/>
    <w:multiLevelType w:val="hybridMultilevel"/>
    <w:lvl w:ilvl="0">
      <w:lvlJc w:val="left"/>
      <w:lvlText w:val="%1."/>
      <w:numFmt w:val="decimal"/>
      <w:start w:val="8"/>
    </w:lvl>
    <w:lvl w:ilvl="1">
      <w:lvlJc w:val="left"/>
      <w:lvlText w:val="(%2)"/>
      <w:numFmt w:val="lowerLetter"/>
      <w:start w:val="1"/>
    </w:lvl>
  </w:abstractNum>
  <w:abstractNum w:abstractNumId="418">
    <w:nsid w:val="59A4BA71"/>
    <w:multiLevelType w:val="hybridMultilevel"/>
    <w:lvl w:ilvl="0">
      <w:lvlJc w:val="left"/>
      <w:lvlText w:val="%1"/>
      <w:numFmt w:val="decimal"/>
      <w:start w:val="1"/>
    </w:lvl>
    <w:lvl w:ilvl="1">
      <w:lvlJc w:val="left"/>
      <w:lvlText w:val="(%2)"/>
      <w:numFmt w:val="lowerLetter"/>
      <w:start w:val="2"/>
    </w:lvl>
  </w:abstractNum>
  <w:abstractNum w:abstractNumId="419">
    <w:nsid w:val="450B7FB6"/>
    <w:multiLevelType w:val="hybridMultilevel"/>
    <w:lvl w:ilvl="0">
      <w:lvlJc w:val="left"/>
      <w:lvlText w:val="%1."/>
      <w:numFmt w:val="decimal"/>
      <w:start w:val="10"/>
    </w:lvl>
    <w:lvl w:ilvl="1">
      <w:lvlJc w:val="left"/>
      <w:lvlText w:val="%2"/>
      <w:numFmt w:val="lowerLetter"/>
      <w:start w:val="1"/>
    </w:lvl>
  </w:abstractNum>
  <w:abstractNum w:abstractNumId="420">
    <w:nsid w:val="340BF64D"/>
    <w:multiLevelType w:val="hybridMultilevel"/>
    <w:lvl w:ilvl="0">
      <w:lvlJc w:val="left"/>
      <w:lvlText w:val="(%1)"/>
      <w:numFmt w:val="decimal"/>
      <w:start w:val="5"/>
    </w:lvl>
  </w:abstractNum>
  <w:abstractNum w:abstractNumId="421">
    <w:nsid w:val="69454021"/>
    <w:multiLevelType w:val="hybridMultilevel"/>
    <w:lvl w:ilvl="0">
      <w:lvlJc w:val="left"/>
      <w:lvlText w:val="%1."/>
      <w:numFmt w:val="decimal"/>
      <w:start w:val="12"/>
    </w:lvl>
    <w:lvl w:ilvl="1">
      <w:lvlJc w:val="left"/>
      <w:lvlText w:val="(%2)"/>
      <w:numFmt w:val="lowerLetter"/>
      <w:start w:val="1"/>
    </w:lvl>
  </w:abstractNum>
  <w:abstractNum w:abstractNumId="422">
    <w:nsid w:val="49F15C6B"/>
    <w:multiLevelType w:val="hybridMultilevel"/>
    <w:lvl w:ilvl="0">
      <w:lvlJc w:val="left"/>
      <w:lvlText w:val="(%1)"/>
      <w:numFmt w:val="lowerLetter"/>
      <w:start w:val="3"/>
    </w:lvl>
  </w:abstractNum>
  <w:abstractNum w:abstractNumId="423">
    <w:nsid w:val="75F56228"/>
    <w:multiLevelType w:val="hybridMultilevel"/>
    <w:lvl w:ilvl="0">
      <w:lvlJc w:val="left"/>
      <w:lvlText w:val="(%1)"/>
      <w:numFmt w:val="lowerLetter"/>
      <w:start w:val="4"/>
    </w:lvl>
  </w:abstractNum>
  <w:abstractNum w:abstractNumId="424">
    <w:nsid w:val="1C618271"/>
    <w:multiLevelType w:val="hybridMultilevel"/>
    <w:lvl w:ilvl="0">
      <w:lvlJc w:val="left"/>
      <w:lvlText w:val="(%1)"/>
      <w:numFmt w:val="decimal"/>
      <w:start w:val="1"/>
    </w:lvl>
  </w:abstractNum>
  <w:abstractNum w:abstractNumId="425">
    <w:nsid w:val="6505F02E"/>
    <w:multiLevelType w:val="hybridMultilevel"/>
    <w:lvl w:ilvl="0">
      <w:lvlJc w:val="left"/>
      <w:lvlText w:val="%1"/>
      <w:numFmt w:val="decimal"/>
      <w:start w:val="1"/>
    </w:lvl>
    <w:lvl w:ilvl="1">
      <w:lvlJc w:val="left"/>
      <w:lvlText w:val="(%2)"/>
      <w:numFmt w:val="lowerLetter"/>
      <w:start w:val="5"/>
    </w:lvl>
  </w:abstractNum>
  <w:abstractNum w:abstractNumId="426">
    <w:nsid w:val="2FE5D025"/>
    <w:multiLevelType w:val="hybridMultilevel"/>
    <w:lvl w:ilvl="0">
      <w:lvlJc w:val="left"/>
      <w:lvlText w:val="%1."/>
      <w:numFmt w:val="decimal"/>
      <w:start w:val="13"/>
    </w:lvl>
    <w:lvl w:ilvl="1">
      <w:lvlJc w:val="left"/>
      <w:lvlText w:val="%2"/>
      <w:numFmt w:val="lowerLetter"/>
      <w:start w:val="1"/>
    </w:lvl>
  </w:abstractNum>
  <w:abstractNum w:abstractNumId="427">
    <w:nsid w:val="30E1B1CF"/>
    <w:multiLevelType w:val="hybridMultilevel"/>
    <w:lvl w:ilvl="0">
      <w:lvlJc w:val="left"/>
      <w:lvlText w:val="%1."/>
      <w:numFmt w:val="decimal"/>
      <w:start w:val="14"/>
    </w:lvl>
  </w:abstractNum>
  <w:abstractNum w:abstractNumId="428">
    <w:nsid w:val="C7A9237"/>
    <w:multiLevelType w:val="hybridMultilevel"/>
    <w:lvl w:ilvl="0">
      <w:lvlJc w:val="left"/>
      <w:lvlText w:val="%1."/>
      <w:numFmt w:val="decimal"/>
      <w:start w:val="20"/>
    </w:lvl>
  </w:abstractNum>
  <w:abstractNum w:abstractNumId="429">
    <w:nsid w:val="676B3580"/>
    <w:multiLevelType w:val="hybridMultilevel"/>
    <w:lvl w:ilvl="0">
      <w:lvlJc w:val="left"/>
      <w:lvlText w:val="%1."/>
      <w:numFmt w:val="decimal"/>
      <w:start w:val="23"/>
    </w:lvl>
  </w:abstractNum>
  <w:abstractNum w:abstractNumId="430">
    <w:nsid w:val="3193C8F9"/>
    <w:multiLevelType w:val="hybridMultilevel"/>
    <w:lvl w:ilvl="0">
      <w:lvlJc w:val="left"/>
      <w:lvlText w:val="%1."/>
      <w:numFmt w:val="decimal"/>
      <w:start w:val="24"/>
    </w:lvl>
  </w:abstractNum>
  <w:abstractNum w:abstractNumId="431">
    <w:nsid w:val="5FA6C6DC"/>
    <w:multiLevelType w:val="hybridMultilevel"/>
    <w:lvl w:ilvl="0">
      <w:lvlJc w:val="left"/>
      <w:lvlText w:val="(%1)"/>
      <w:numFmt w:val="lowerLetter"/>
      <w:start w:val="1"/>
    </w:lvl>
  </w:abstractNum>
  <w:abstractNum w:abstractNumId="432">
    <w:nsid w:val="77933F62"/>
    <w:multiLevelType w:val="hybridMultilevel"/>
    <w:lvl w:ilvl="0">
      <w:lvlJc w:val="left"/>
      <w:lvlText w:val="(%1)"/>
      <w:numFmt w:val="decimal"/>
      <w:start w:val="30"/>
    </w:lvl>
  </w:abstractNum>
  <w:abstractNum w:abstractNumId="433">
    <w:nsid w:val="6CB4EE9C"/>
    <w:multiLevelType w:val="hybridMultilevel"/>
    <w:lvl w:ilvl="0">
      <w:lvlJc w:val="left"/>
      <w:lvlText w:val="(%1)"/>
      <w:numFmt w:val="lowerLetter"/>
      <w:start w:val="2"/>
    </w:lvl>
  </w:abstractNum>
  <w:abstractNum w:abstractNumId="434">
    <w:nsid w:val="6A6D56D7"/>
    <w:multiLevelType w:val="hybridMultilevel"/>
    <w:lvl w:ilvl="0">
      <w:lvlJc w:val="left"/>
      <w:lvlText w:val="(%1)"/>
      <w:numFmt w:val="lowerLetter"/>
      <w:start w:val="3"/>
    </w:lvl>
  </w:abstractNum>
  <w:abstractNum w:abstractNumId="435">
    <w:nsid w:val="5B727F19"/>
    <w:multiLevelType w:val="hybridMultilevel"/>
    <w:lvl w:ilvl="0">
      <w:lvlJc w:val="left"/>
      <w:lvlText w:val="(%1)"/>
      <w:numFmt w:val="lowerLetter"/>
      <w:start w:val="1"/>
    </w:lvl>
  </w:abstractNum>
  <w:abstractNum w:abstractNumId="436">
    <w:nsid w:val="514E5CB0"/>
    <w:multiLevelType w:val="hybridMultilevel"/>
    <w:lvl w:ilvl="0">
      <w:lvlJc w:val="left"/>
      <w:lvlText w:val="(%1)"/>
      <w:numFmt w:val="lowerLetter"/>
      <w:start w:val="4"/>
    </w:lvl>
  </w:abstractNum>
  <w:abstractNum w:abstractNumId="437">
    <w:nsid w:val="4210D41E"/>
    <w:multiLevelType w:val="hybridMultilevel"/>
    <w:lvl w:ilvl="0">
      <w:lvlJc w:val="left"/>
      <w:lvlText w:val="(%1)"/>
      <w:numFmt w:val="lowerLetter"/>
      <w:start w:val="6"/>
    </w:lvl>
    <w:lvl w:ilvl="1">
      <w:lvlJc w:val="left"/>
      <w:lvlText w:val="(%2)"/>
      <w:numFmt w:val="lowerRoman"/>
      <w:start w:val="1"/>
    </w:lvl>
  </w:abstractNum>
  <w:abstractNum w:abstractNumId="438">
    <w:nsid w:val="4FF4CC6D"/>
    <w:multiLevelType w:val="hybridMultilevel"/>
    <w:lvl w:ilvl="0">
      <w:lvlJc w:val="left"/>
      <w:lvlText w:val="%1."/>
      <w:numFmt w:val="decimal"/>
      <w:start w:val="1"/>
    </w:lvl>
  </w:abstractNum>
  <w:abstractNum w:abstractNumId="439">
    <w:nsid w:val="404EAF4A"/>
    <w:multiLevelType w:val="hybridMultilevel"/>
    <w:lvl w:ilvl="0">
      <w:lvlJc w:val="left"/>
      <w:lvlText w:val="/"/>
      <w:numFmt w:val="bullet"/>
      <w:start w:val="1"/>
    </w:lvl>
  </w:abstractNum>
  <w:abstractNum w:abstractNumId="440">
    <w:nsid w:val="4A16874F"/>
    <w:multiLevelType w:val="hybridMultilevel"/>
    <w:lvl w:ilvl="0">
      <w:lvlJc w:val="left"/>
      <w:lvlText w:val="%1"/>
      <w:numFmt w:val="decimal"/>
      <w:start w:val="1"/>
    </w:lvl>
    <w:lvl w:ilvl="1">
      <w:lvlJc w:val="left"/>
      <w:lvlText w:val="(%2)"/>
      <w:numFmt w:val="lowerLetter"/>
      <w:start w:val="1"/>
    </w:lvl>
  </w:abstractNum>
  <w:abstractNum w:abstractNumId="441">
    <w:nsid w:val="55FEE0D1"/>
    <w:multiLevelType w:val="hybridMultilevel"/>
    <w:lvl w:ilvl="0">
      <w:lvlJc w:val="left"/>
      <w:lvlText w:val="(%1)"/>
      <w:numFmt w:val="decimal"/>
      <w:start w:val="12"/>
    </w:lvl>
    <w:lvl w:ilvl="1">
      <w:lvlJc w:val="left"/>
      <w:lvlText w:val="(%2)"/>
      <w:numFmt w:val="lowerLetter"/>
      <w:start w:val="2"/>
    </w:lvl>
  </w:abstractNum>
  <w:abstractNum w:abstractNumId="442">
    <w:nsid w:val="3C5E07C"/>
    <w:multiLevelType w:val="hybridMultilevel"/>
    <w:lvl w:ilvl="0">
      <w:lvlJc w:val="left"/>
      <w:lvlText w:val="(%1)"/>
      <w:numFmt w:val="decimal"/>
      <w:start w:val="30"/>
    </w:lvl>
    <w:lvl w:ilvl="1">
      <w:lvlJc w:val="left"/>
      <w:lvlText w:val="(%2)"/>
      <w:numFmt w:val="lowerLetter"/>
      <w:start w:val="5"/>
    </w:lvl>
  </w:abstractNum>
  <w:abstractNum w:abstractNumId="443">
    <w:nsid w:val="60C2D273"/>
    <w:multiLevelType w:val="hybridMultilevel"/>
    <w:lvl w:ilvl="0">
      <w:lvlJc w:val="left"/>
      <w:lvlText w:val="(%1)"/>
      <w:numFmt w:val="lowerLetter"/>
      <w:start w:val="6"/>
    </w:lvl>
  </w:abstractNum>
  <w:abstractNum w:abstractNumId="444">
    <w:nsid w:val="4CC32F1F"/>
    <w:multiLevelType w:val="hybridMultilevel"/>
    <w:lvl w:ilvl="0">
      <w:lvlJc w:val="left"/>
      <w:lvlText w:val="%1"/>
      <w:numFmt w:val="decimal"/>
      <w:start w:val="1"/>
    </w:lvl>
    <w:lvl w:ilvl="1">
      <w:lvlJc w:val="left"/>
      <w:lvlText w:val="(%2)"/>
      <w:numFmt w:val="lowerLetter"/>
      <w:start w:val="1"/>
    </w:lvl>
  </w:abstractNum>
  <w:abstractNum w:abstractNumId="445">
    <w:nsid w:val="11CAC74A"/>
    <w:multiLevelType w:val="hybridMultilevel"/>
    <w:lvl w:ilvl="0">
      <w:lvlJc w:val="left"/>
      <w:lvlText w:val="(%1)"/>
      <w:numFmt w:val="decimal"/>
      <w:start w:val="5"/>
    </w:lvl>
    <w:lvl w:ilvl="1">
      <w:lvlJc w:val="left"/>
      <w:lvlText w:val="(%2)"/>
      <w:numFmt w:val="lowerLetter"/>
      <w:start w:val="4"/>
    </w:lvl>
  </w:abstractNum>
  <w:abstractNum w:abstractNumId="446">
    <w:nsid w:val="126CAD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2020-03-14T18:28:34Z</dcterms:created>
  <dcterms:modified xsi:type="dcterms:W3CDTF">2020-03-14T18:28:34Z</dcterms:modified>
</cp:coreProperties>
</file>