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0001773301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64"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Zoom Video Communications,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001-38865</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55 Almaden Boulevard, 6th Floor</w:t>
      </w:r>
    </w:p>
    <w:p>
      <w:pPr>
        <w:spacing w:after="0" w:line="33" w:lineRule="exact"/>
        <w:rPr>
          <w:sz w:val="24"/>
          <w:szCs w:val="24"/>
          <w:color w:val="auto"/>
        </w:rPr>
      </w:pPr>
    </w:p>
    <w:p>
      <w:pPr>
        <w:spacing w:after="0"/>
        <w:rPr>
          <w:sz w:val="20"/>
          <w:szCs w:val="20"/>
          <w:color w:val="auto"/>
        </w:rPr>
      </w:pPr>
      <w:r>
        <w:rPr>
          <w:rFonts w:ascii="Arial" w:cs="Arial" w:eastAsia="Arial" w:hAnsi="Arial"/>
          <w:sz w:val="22"/>
          <w:szCs w:val="22"/>
          <w:color w:val="auto"/>
        </w:rPr>
        <w:t>San Jose</w:t>
      </w:r>
    </w:p>
    <w:p>
      <w:pPr>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95113</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888-799-9666</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Aparna Bawa</w:t>
      </w:r>
    </w:p>
    <w:p>
      <w:pPr>
        <w:spacing w:after="0" w:line="44" w:lineRule="exact"/>
        <w:rPr>
          <w:sz w:val="24"/>
          <w:szCs w:val="24"/>
          <w:color w:val="auto"/>
        </w:rPr>
      </w:pPr>
    </w:p>
    <w:p>
      <w:pPr>
        <w:sectPr>
          <w:pgSz w:w="11900" w:h="16838" w:orient="portrait"/>
          <w:cols w:equalWidth="0" w:num="2">
            <w:col w:w="6600" w:space="720"/>
            <w:col w:w="392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30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Affiliate</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9"/>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322" w:lineRule="exact"/>
        <w:rPr>
          <w:sz w:val="24"/>
          <w:szCs w:val="24"/>
          <w:color w:val="auto"/>
        </w:rPr>
      </w:pPr>
    </w:p>
    <w:p>
      <w:pPr>
        <w:ind w:left="40"/>
        <w:spacing w:after="0"/>
        <w:rPr>
          <w:sz w:val="20"/>
          <w:szCs w:val="20"/>
          <w:color w:val="auto"/>
        </w:rPr>
      </w:pPr>
      <w:r>
        <w:rPr>
          <w:rFonts w:ascii="Arial" w:cs="Arial" w:eastAsia="Arial" w:hAnsi="Arial"/>
          <w:sz w:val="22"/>
          <w:szCs w:val="22"/>
          <w:color w:val="auto"/>
        </w:rPr>
        <w:t>Class A 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jc w:val="center"/>
        <w:ind w:left="-19"/>
        <w:spacing w:after="0"/>
        <w:rPr>
          <w:sz w:val="20"/>
          <w:szCs w:val="20"/>
          <w:color w:val="auto"/>
        </w:rPr>
      </w:pPr>
      <w:r>
        <w:rPr>
          <w:rFonts w:ascii="Arial" w:cs="Arial" w:eastAsia="Arial" w:hAnsi="Arial"/>
          <w:sz w:val="22"/>
          <w:szCs w:val="22"/>
          <w:b w:val="1"/>
          <w:bCs w:val="1"/>
          <w:color w:val="auto"/>
        </w:rPr>
        <w:t>Name and Address of</w:t>
      </w:r>
    </w:p>
    <w:p>
      <w:pPr>
        <w:spacing w:after="0" w:line="14" w:lineRule="exact"/>
        <w:rPr>
          <w:sz w:val="24"/>
          <w:szCs w:val="24"/>
          <w:color w:val="auto"/>
        </w:rPr>
      </w:pPr>
    </w:p>
    <w:p>
      <w:pPr>
        <w:jc w:val="center"/>
        <w:ind w:left="-19"/>
        <w:spacing w:after="0"/>
        <w:rPr>
          <w:sz w:val="20"/>
          <w:szCs w:val="20"/>
          <w:color w:val="auto"/>
        </w:rPr>
      </w:pPr>
      <w:r>
        <w:rPr>
          <w:rFonts w:ascii="Arial" w:cs="Arial" w:eastAsia="Arial" w:hAnsi="Arial"/>
          <w:sz w:val="22"/>
          <w:szCs w:val="22"/>
          <w:b w:val="1"/>
          <w:bCs w:val="1"/>
          <w:color w:val="auto"/>
        </w:rPr>
        <w:t>the Broker</w:t>
      </w:r>
    </w:p>
    <w:p>
      <w:pPr>
        <w:spacing w:after="0" w:line="269" w:lineRule="exact"/>
        <w:rPr>
          <w:sz w:val="24"/>
          <w:szCs w:val="24"/>
          <w:color w:val="auto"/>
        </w:rPr>
      </w:pPr>
    </w:p>
    <w:p>
      <w:pPr>
        <w:spacing w:after="0" w:line="236" w:lineRule="auto"/>
        <w:rPr>
          <w:sz w:val="20"/>
          <w:szCs w:val="20"/>
          <w:color w:val="auto"/>
        </w:rPr>
      </w:pPr>
      <w:r>
        <w:rPr>
          <w:rFonts w:ascii="Arial" w:cs="Arial" w:eastAsia="Arial" w:hAnsi="Arial"/>
          <w:sz w:val="22"/>
          <w:szCs w:val="22"/>
          <w:color w:val="auto"/>
        </w:rPr>
        <w:t>JP Morgan Securities LLC 390 Madison Avenue 6th Floor</w:t>
      </w:r>
    </w:p>
    <w:p>
      <w:pPr>
        <w:spacing w:after="0" w:line="1" w:lineRule="exact"/>
        <w:rPr>
          <w:sz w:val="24"/>
          <w:szCs w:val="24"/>
          <w:color w:val="auto"/>
        </w:rPr>
      </w:pPr>
    </w:p>
    <w:p>
      <w:pPr>
        <w:jc w:val="center"/>
        <w:ind w:right="260"/>
        <w:spacing w:after="0"/>
        <w:rPr>
          <w:sz w:val="20"/>
          <w:szCs w:val="20"/>
          <w:color w:val="auto"/>
        </w:rPr>
      </w:pPr>
      <w:r>
        <w:rPr>
          <w:rFonts w:ascii="Arial" w:cs="Arial" w:eastAsia="Arial" w:hAnsi="Arial"/>
          <w:sz w:val="21"/>
          <w:szCs w:val="21"/>
          <w:color w:val="auto"/>
        </w:rPr>
        <w:t>New York  NY  10017</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11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80" w:type="dxa"/>
            <w:vAlign w:val="bottom"/>
          </w:tcPr>
          <w:p>
            <w:pPr>
              <w:jc w:val="right"/>
              <w:ind w:right="532"/>
              <w:spacing w:after="0"/>
              <w:rPr>
                <w:sz w:val="20"/>
                <w:szCs w:val="20"/>
                <w:color w:val="auto"/>
              </w:rPr>
            </w:pPr>
            <w:r>
              <w:rPr>
                <w:rFonts w:ascii="Arial" w:cs="Arial" w:eastAsia="Arial" w:hAnsi="Arial"/>
                <w:sz w:val="22"/>
                <w:szCs w:val="22"/>
                <w:color w:val="auto"/>
                <w:w w:val="84"/>
              </w:rPr>
              <w:t>13268</w:t>
            </w:r>
          </w:p>
        </w:tc>
        <w:tc>
          <w:tcPr>
            <w:tcW w:w="1140" w:type="dxa"/>
            <w:vAlign w:val="bottom"/>
          </w:tcPr>
          <w:p>
            <w:pPr>
              <w:jc w:val="right"/>
              <w:ind w:right="72"/>
              <w:spacing w:after="0"/>
              <w:rPr>
                <w:sz w:val="20"/>
                <w:szCs w:val="20"/>
                <w:color w:val="auto"/>
              </w:rPr>
            </w:pPr>
            <w:r>
              <w:rPr>
                <w:rFonts w:ascii="Arial" w:cs="Arial" w:eastAsia="Arial" w:hAnsi="Arial"/>
                <w:sz w:val="22"/>
                <w:szCs w:val="22"/>
                <w:color w:val="auto"/>
                <w:w w:val="90"/>
              </w:rPr>
              <w:t>919605.08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Arial" w:cs="Arial" w:eastAsia="Arial" w:hAnsi="Arial"/>
                <w:sz w:val="22"/>
                <w:szCs w:val="22"/>
                <w:color w:val="auto"/>
                <w:w w:val="87"/>
              </w:rPr>
              <w:t>254292343</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09/19/2023   NASDAQ</w:t>
            </w:r>
          </w:p>
        </w:tc>
        <w:tc>
          <w:tcPr>
            <w:tcW w:w="0" w:type="dxa"/>
            <w:vAlign w:val="bottom"/>
          </w:tcPr>
          <w:p>
            <w:pPr>
              <w:spacing w:after="0"/>
              <w:rPr>
                <w:sz w:val="1"/>
                <w:szCs w:val="1"/>
                <w:color w:val="auto"/>
              </w:rPr>
            </w:pPr>
          </w:p>
        </w:tc>
      </w:tr>
    </w:tbl>
    <w:p>
      <w:pPr>
        <w:spacing w:after="0" w:line="549" w:lineRule="exact"/>
        <w:rPr>
          <w:sz w:val="24"/>
          <w:szCs w:val="24"/>
          <w:color w:val="auto"/>
        </w:rPr>
      </w:pPr>
    </w:p>
    <w:p>
      <w:pPr>
        <w:sectPr>
          <w:pgSz w:w="11900" w:h="16838" w:orient="portrait"/>
          <w:cols w:equalWidth="0" w:num="4">
            <w:col w:w="2220" w:space="280"/>
            <w:col w:w="2320" w:space="60"/>
            <w:col w:w="2320" w:space="220"/>
            <w:col w:w="3820"/>
          </w:cols>
          <w:pgMar w:left="320" w:top="267" w:right="339" w:bottom="0" w:gutter="0" w:footer="0" w:header="0"/>
          <w:type w:val="continuous"/>
        </w:sectPr>
      </w:pPr>
    </w:p>
    <w:p>
      <w:pPr>
        <w:spacing w:after="0" w:line="310"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Title of the</w:t>
            </w:r>
          </w:p>
        </w:tc>
        <w:tc>
          <w:tcPr>
            <w:tcW w:w="1200" w:type="dxa"/>
            <w:vAlign w:val="bottom"/>
          </w:tcPr>
          <w:p>
            <w:pPr>
              <w:ind w:left="16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9"/>
              </w:rPr>
              <w:t>Nature of</w:t>
            </w:r>
          </w:p>
        </w:tc>
        <w:tc>
          <w:tcPr>
            <w:tcW w:w="152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2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200" w:type="dxa"/>
            <w:vAlign w:val="bottom"/>
          </w:tcPr>
          <w:p>
            <w:pPr>
              <w:jc w:val="center"/>
              <w:ind w:right="12"/>
              <w:spacing w:after="0"/>
              <w:rPr>
                <w:sz w:val="20"/>
                <w:szCs w:val="20"/>
                <w:color w:val="auto"/>
              </w:rPr>
            </w:pPr>
            <w:r>
              <w:rPr>
                <w:rFonts w:ascii="Arial" w:cs="Arial" w:eastAsia="Arial" w:hAnsi="Arial"/>
                <w:sz w:val="22"/>
                <w:szCs w:val="22"/>
                <w:b w:val="1"/>
                <w:bCs w:val="1"/>
                <w:color w:val="auto"/>
                <w:w w:val="91"/>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8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5"/>
              </w:rPr>
              <w:t>Class</w:t>
            </w:r>
          </w:p>
        </w:tc>
        <w:tc>
          <w:tcPr>
            <w:tcW w:w="1200" w:type="dxa"/>
            <w:vAlign w:val="bottom"/>
          </w:tcPr>
          <w:p>
            <w:pPr>
              <w:ind w:left="14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ind w:right="12"/>
              <w:spacing w:after="0" w:line="243" w:lineRule="exact"/>
              <w:rPr>
                <w:sz w:val="20"/>
                <w:szCs w:val="20"/>
                <w:color w:val="auto"/>
              </w:rPr>
            </w:pPr>
            <w:r>
              <w:rPr>
                <w:rFonts w:ascii="Arial" w:cs="Arial" w:eastAsia="Arial" w:hAnsi="Arial"/>
                <w:sz w:val="22"/>
                <w:szCs w:val="22"/>
                <w:b w:val="1"/>
                <w:bCs w:val="1"/>
                <w:color w:val="auto"/>
                <w:w w:val="87"/>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2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30"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Arial" w:cs="Arial" w:eastAsia="Arial" w:hAnsi="Arial"/>
                <w:sz w:val="22"/>
                <w:szCs w:val="22"/>
                <w:color w:val="auto"/>
              </w:rPr>
              <w:t>Class A</w:t>
            </w:r>
          </w:p>
        </w:tc>
        <w:tc>
          <w:tcPr>
            <w:tcW w:w="2780" w:type="dxa"/>
            <w:vAlign w:val="bottom"/>
            <w:vMerge w:val="restart"/>
          </w:tcPr>
          <w:p>
            <w:pPr>
              <w:ind w:left="320"/>
              <w:spacing w:after="0"/>
              <w:rPr>
                <w:sz w:val="20"/>
                <w:szCs w:val="20"/>
                <w:color w:val="auto"/>
              </w:rPr>
            </w:pPr>
            <w:r>
              <w:rPr>
                <w:rFonts w:ascii="Arial" w:cs="Arial" w:eastAsia="Arial" w:hAnsi="Arial"/>
                <w:sz w:val="22"/>
                <w:szCs w:val="22"/>
                <w:color w:val="auto"/>
              </w:rPr>
              <w:t>07/08/2023 RSU Vesting</w:t>
            </w:r>
          </w:p>
        </w:tc>
        <w:tc>
          <w:tcPr>
            <w:tcW w:w="2020" w:type="dxa"/>
            <w:vAlign w:val="bottom"/>
            <w:vMerge w:val="restart"/>
          </w:tcPr>
          <w:p>
            <w:pPr>
              <w:ind w:left="280"/>
              <w:spacing w:after="0"/>
              <w:rPr>
                <w:sz w:val="20"/>
                <w:szCs w:val="20"/>
                <w:color w:val="auto"/>
              </w:rPr>
            </w:pPr>
            <w:r>
              <w:rPr>
                <w:rFonts w:ascii="Arial" w:cs="Arial" w:eastAsia="Arial" w:hAnsi="Arial"/>
                <w:sz w:val="22"/>
                <w:szCs w:val="22"/>
                <w:color w:val="auto"/>
              </w:rPr>
              <w:t>Issuer</w:t>
            </w:r>
          </w:p>
        </w:tc>
        <w:tc>
          <w:tcPr>
            <w:tcW w:w="2120" w:type="dxa"/>
            <w:vAlign w:val="bottom"/>
            <w:vMerge w:val="restart"/>
          </w:tcPr>
          <w:p>
            <w:pPr>
              <w:jc w:val="right"/>
              <w:ind w:right="252"/>
              <w:spacing w:after="0"/>
              <w:rPr>
                <w:sz w:val="20"/>
                <w:szCs w:val="20"/>
                <w:color w:val="auto"/>
              </w:rPr>
            </w:pPr>
            <w:r>
              <w:rPr>
                <w:rFonts w:ascii="Arial" w:cs="Arial" w:eastAsia="Arial" w:hAnsi="Arial"/>
                <w:sz w:val="22"/>
                <w:szCs w:val="22"/>
                <w:color w:val="auto"/>
              </w:rPr>
              <w:t>13268</w:t>
            </w:r>
          </w:p>
        </w:tc>
        <w:tc>
          <w:tcPr>
            <w:tcW w:w="2680" w:type="dxa"/>
            <w:vAlign w:val="bottom"/>
            <w:vMerge w:val="restart"/>
          </w:tcPr>
          <w:p>
            <w:pPr>
              <w:ind w:left="380"/>
              <w:spacing w:after="0"/>
              <w:rPr>
                <w:sz w:val="20"/>
                <w:szCs w:val="20"/>
                <w:color w:val="auto"/>
              </w:rPr>
            </w:pPr>
            <w:r>
              <w:rPr>
                <w:rFonts w:ascii="Arial" w:cs="Arial" w:eastAsia="Arial" w:hAnsi="Arial"/>
                <w:sz w:val="22"/>
                <w:szCs w:val="22"/>
                <w:color w:val="auto"/>
                <w:w w:val="88"/>
              </w:rPr>
              <w:t>07/08/2023 Compensation</w:t>
            </w:r>
          </w:p>
        </w:tc>
        <w:tc>
          <w:tcPr>
            <w:tcW w:w="0" w:type="dxa"/>
            <w:vAlign w:val="bottom"/>
          </w:tcPr>
          <w:p>
            <w:pPr>
              <w:spacing w:after="0"/>
              <w:rPr>
                <w:sz w:val="1"/>
                <w:szCs w:val="1"/>
                <w:color w:val="auto"/>
              </w:rPr>
            </w:pPr>
          </w:p>
        </w:tc>
      </w:tr>
      <w:tr>
        <w:trPr>
          <w:trHeight w:val="1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780" w:type="dxa"/>
            <w:vAlign w:val="bottom"/>
            <w:vMerge w:val="continue"/>
          </w:tcPr>
          <w:p>
            <w:pPr>
              <w:spacing w:after="0"/>
              <w:rPr>
                <w:sz w:val="13"/>
                <w:szCs w:val="13"/>
                <w:color w:val="auto"/>
              </w:rPr>
            </w:pPr>
          </w:p>
        </w:tc>
        <w:tc>
          <w:tcPr>
            <w:tcW w:w="2020" w:type="dxa"/>
            <w:vAlign w:val="bottom"/>
            <w:vMerge w:val="continue"/>
          </w:tcPr>
          <w:p>
            <w:pPr>
              <w:spacing w:after="0"/>
              <w:rPr>
                <w:sz w:val="13"/>
                <w:szCs w:val="13"/>
                <w:color w:val="auto"/>
              </w:rPr>
            </w:pPr>
          </w:p>
        </w:tc>
        <w:tc>
          <w:tcPr>
            <w:tcW w:w="2120" w:type="dxa"/>
            <w:vAlign w:val="bottom"/>
            <w:vMerge w:val="continue"/>
          </w:tcPr>
          <w:p>
            <w:pPr>
              <w:spacing w:after="0"/>
              <w:rPr>
                <w:sz w:val="13"/>
                <w:szCs w:val="13"/>
                <w:color w:val="auto"/>
              </w:rPr>
            </w:pPr>
          </w:p>
        </w:tc>
        <w:tc>
          <w:tcPr>
            <w:tcW w:w="2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78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Bawa Family Trust</w:t>
      </w:r>
    </w:p>
    <w:p>
      <w:pPr>
        <w:spacing w:after="0" w:line="8" w:lineRule="exact"/>
        <w:rPr>
          <w:sz w:val="20"/>
          <w:szCs w:val="20"/>
          <w:color w:val="auto"/>
        </w:rPr>
      </w:pPr>
    </w:p>
    <w:p>
      <w:pPr>
        <w:ind w:left="40" w:right="1380"/>
        <w:spacing w:after="0" w:line="187" w:lineRule="auto"/>
        <w:rPr>
          <w:sz w:val="20"/>
          <w:szCs w:val="20"/>
          <w:color w:val="auto"/>
        </w:rPr>
      </w:pPr>
      <w:r>
        <w:rPr>
          <w:rFonts w:ascii="Arial" w:cs="Arial" w:eastAsia="Arial" w:hAnsi="Arial"/>
          <w:sz w:val="19"/>
          <w:szCs w:val="19"/>
          <w:color w:val="auto"/>
        </w:rPr>
        <w:t xml:space="preserve">C/o Zoom Video Communications, Inc. </w:t>
      </w:r>
      <w:r>
        <w:rPr>
          <w:rFonts w:ascii="Arial" w:cs="Arial" w:eastAsia="Arial" w:hAnsi="Arial"/>
          <w:sz w:val="35"/>
          <w:szCs w:val="35"/>
          <w:color w:val="auto"/>
          <w:vertAlign w:val="subscript"/>
        </w:rPr>
        <w:t>Class A Common</w:t>
      </w:r>
      <w:r>
        <w:rPr>
          <w:rFonts w:ascii="Arial" w:cs="Arial" w:eastAsia="Arial" w:hAnsi="Arial"/>
          <w:sz w:val="19"/>
          <w:szCs w:val="19"/>
          <w:color w:val="auto"/>
        </w:rPr>
        <w:t xml:space="preserve"> 55 Almaden Boulevard, 6th Floor</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San Jose  CA  95113</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1"/>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2280" w:type="dxa"/>
            <w:vAlign w:val="bottom"/>
            <w:gridSpan w:val="2"/>
          </w:tcPr>
          <w:p>
            <w:pPr>
              <w:jc w:val="right"/>
              <w:ind w:right="712"/>
              <w:spacing w:after="0"/>
              <w:rPr>
                <w:sz w:val="20"/>
                <w:szCs w:val="20"/>
                <w:color w:val="auto"/>
              </w:rPr>
            </w:pPr>
            <w:r>
              <w:rPr>
                <w:rFonts w:ascii="Arial" w:cs="Arial" w:eastAsia="Arial" w:hAnsi="Arial"/>
                <w:sz w:val="22"/>
                <w:szCs w:val="22"/>
                <w:color w:val="auto"/>
                <w:w w:val="87"/>
              </w:rPr>
              <w:t>06/20/2023 7000</w:t>
            </w:r>
          </w:p>
        </w:tc>
        <w:tc>
          <w:tcPr>
            <w:tcW w:w="1580" w:type="dxa"/>
            <w:vAlign w:val="bottom"/>
          </w:tcPr>
          <w:p>
            <w:pPr>
              <w:jc w:val="right"/>
              <w:ind w:right="712"/>
              <w:spacing w:after="0"/>
              <w:rPr>
                <w:sz w:val="20"/>
                <w:szCs w:val="20"/>
                <w:color w:val="auto"/>
              </w:rPr>
            </w:pPr>
            <w:r>
              <w:rPr>
                <w:rFonts w:ascii="Arial" w:cs="Arial" w:eastAsia="Arial" w:hAnsi="Arial"/>
                <w:sz w:val="22"/>
                <w:szCs w:val="22"/>
                <w:color w:val="auto"/>
              </w:rPr>
              <w:t>491250</w:t>
            </w:r>
          </w:p>
        </w:tc>
        <w:tc>
          <w:tcPr>
            <w:tcW w:w="0" w:type="dxa"/>
            <w:vAlign w:val="bottom"/>
          </w:tcPr>
          <w:p>
            <w:pPr>
              <w:spacing w:after="0"/>
              <w:rPr>
                <w:sz w:val="1"/>
                <w:szCs w:val="1"/>
                <w:color w:val="auto"/>
              </w:rPr>
            </w:pPr>
          </w:p>
        </w:tc>
      </w:tr>
    </w:tbl>
    <w:p>
      <w:pPr>
        <w:spacing w:after="0" w:line="561" w:lineRule="exact"/>
        <w:rPr>
          <w:sz w:val="20"/>
          <w:szCs w:val="20"/>
          <w:color w:val="auto"/>
        </w:rPr>
      </w:pPr>
    </w:p>
    <w:p>
      <w:pPr>
        <w:sectPr>
          <w:pgSz w:w="11900" w:h="16838" w:orient="portrait"/>
          <w:cols w:equalWidth="0" w:num="2">
            <w:col w:w="6580" w:space="720"/>
            <w:col w:w="3940"/>
          </w:cols>
          <w:pgMar w:left="320" w:top="111" w:right="33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740" w:type="dxa"/>
            <w:vAlign w:val="bottom"/>
            <w:vMerge w:val="restart"/>
          </w:tcPr>
          <w:p>
            <w:pPr>
              <w:spacing w:after="0"/>
              <w:rPr>
                <w:sz w:val="20"/>
                <w:szCs w:val="20"/>
                <w:color w:val="auto"/>
              </w:rPr>
            </w:pPr>
            <w:r>
              <w:rPr>
                <w:rFonts w:ascii="Arial" w:cs="Arial" w:eastAsia="Arial" w:hAnsi="Arial"/>
                <w:sz w:val="22"/>
                <w:szCs w:val="22"/>
                <w:color w:val="auto"/>
              </w:rPr>
              <w:t>Remarks</w:t>
            </w:r>
          </w:p>
        </w:tc>
        <w:tc>
          <w:tcPr>
            <w:tcW w:w="8260" w:type="dxa"/>
            <w:vAlign w:val="bottom"/>
          </w:tcPr>
          <w:p>
            <w:pPr>
              <w:ind w:left="1460"/>
              <w:spacing w:after="0"/>
              <w:rPr>
                <w:sz w:val="20"/>
                <w:szCs w:val="20"/>
                <w:color w:val="auto"/>
              </w:rPr>
            </w:pPr>
            <w:r>
              <w:rPr>
                <w:rFonts w:ascii="Arial" w:cs="Arial" w:eastAsia="Arial" w:hAnsi="Arial"/>
                <w:sz w:val="22"/>
                <w:szCs w:val="22"/>
                <w:color w:val="auto"/>
                <w:w w:val="89"/>
              </w:rPr>
              <w:t>The shares filed today will be sold by the Bawa Family Trust, Aparna Bawa as</w:t>
            </w:r>
          </w:p>
        </w:tc>
        <w:tc>
          <w:tcPr>
            <w:tcW w:w="0" w:type="dxa"/>
            <w:vAlign w:val="bottom"/>
          </w:tcPr>
          <w:p>
            <w:pPr>
              <w:spacing w:after="0"/>
              <w:rPr>
                <w:sz w:val="1"/>
                <w:szCs w:val="1"/>
                <w:color w:val="auto"/>
              </w:rPr>
            </w:pPr>
          </w:p>
        </w:tc>
      </w:tr>
      <w:tr>
        <w:trPr>
          <w:trHeight w:val="153"/>
        </w:trPr>
        <w:tc>
          <w:tcPr>
            <w:tcW w:w="2740" w:type="dxa"/>
            <w:vAlign w:val="bottom"/>
            <w:vMerge w:val="continue"/>
          </w:tcPr>
          <w:p>
            <w:pPr>
              <w:spacing w:after="0"/>
              <w:rPr>
                <w:sz w:val="13"/>
                <w:szCs w:val="13"/>
                <w:color w:val="auto"/>
              </w:rPr>
            </w:pPr>
          </w:p>
        </w:tc>
        <w:tc>
          <w:tcPr>
            <w:tcW w:w="8260" w:type="dxa"/>
            <w:vAlign w:val="bottom"/>
            <w:vMerge w:val="restart"/>
          </w:tcPr>
          <w:p>
            <w:pPr>
              <w:ind w:left="1460"/>
              <w:spacing w:after="0"/>
              <w:rPr>
                <w:sz w:val="20"/>
                <w:szCs w:val="20"/>
                <w:color w:val="auto"/>
              </w:rPr>
            </w:pPr>
            <w:r>
              <w:rPr>
                <w:rFonts w:ascii="Arial" w:cs="Arial" w:eastAsia="Arial" w:hAnsi="Arial"/>
                <w:sz w:val="22"/>
                <w:szCs w:val="22"/>
                <w:color w:val="auto"/>
              </w:rPr>
              <w:t>Trustee. Shares vested 07/08/23 and 09/04/23.</w:t>
            </w:r>
          </w:p>
        </w:tc>
        <w:tc>
          <w:tcPr>
            <w:tcW w:w="0" w:type="dxa"/>
            <w:vAlign w:val="bottom"/>
          </w:tcPr>
          <w:p>
            <w:pPr>
              <w:spacing w:after="0"/>
              <w:rPr>
                <w:sz w:val="1"/>
                <w:szCs w:val="1"/>
                <w:color w:val="auto"/>
              </w:rPr>
            </w:pPr>
          </w:p>
        </w:tc>
      </w:tr>
      <w:tr>
        <w:trPr>
          <w:trHeight w:val="121"/>
        </w:trPr>
        <w:tc>
          <w:tcPr>
            <w:tcW w:w="2740" w:type="dxa"/>
            <w:vAlign w:val="bottom"/>
          </w:tcPr>
          <w:p>
            <w:pPr>
              <w:spacing w:after="0"/>
              <w:rPr>
                <w:sz w:val="10"/>
                <w:szCs w:val="10"/>
                <w:color w:val="auto"/>
              </w:rPr>
            </w:pPr>
          </w:p>
        </w:tc>
        <w:tc>
          <w:tcPr>
            <w:tcW w:w="8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0"/>
                <w:szCs w:val="20"/>
                <w:color w:val="auto"/>
              </w:rPr>
            </w:pPr>
            <w:r>
              <w:rPr>
                <w:rFonts w:ascii="Arial" w:cs="Arial" w:eastAsia="Arial" w:hAnsi="Arial"/>
                <w:sz w:val="22"/>
                <w:szCs w:val="22"/>
                <w:color w:val="auto"/>
              </w:rPr>
              <w:t>Date of Notice</w:t>
            </w:r>
          </w:p>
        </w:tc>
        <w:tc>
          <w:tcPr>
            <w:tcW w:w="8260" w:type="dxa"/>
            <w:vAlign w:val="bottom"/>
          </w:tcPr>
          <w:p>
            <w:pPr>
              <w:ind w:left="1460"/>
              <w:spacing w:after="0"/>
              <w:rPr>
                <w:sz w:val="20"/>
                <w:szCs w:val="20"/>
                <w:color w:val="auto"/>
              </w:rPr>
            </w:pPr>
            <w:r>
              <w:rPr>
                <w:rFonts w:ascii="Arial" w:cs="Arial" w:eastAsia="Arial" w:hAnsi="Arial"/>
                <w:sz w:val="22"/>
                <w:szCs w:val="22"/>
                <w:color w:val="auto"/>
              </w:rPr>
              <w:t>09/19/2023</w:t>
            </w:r>
          </w:p>
        </w:tc>
        <w:tc>
          <w:tcPr>
            <w:tcW w:w="0" w:type="dxa"/>
            <w:vAlign w:val="bottom"/>
          </w:tcPr>
          <w:p>
            <w:pPr>
              <w:spacing w:after="0"/>
              <w:rPr>
                <w:sz w:val="1"/>
                <w:szCs w:val="1"/>
                <w:color w:val="auto"/>
              </w:rPr>
            </w:pPr>
          </w:p>
        </w:tc>
      </w:tr>
    </w:tbl>
    <w:p>
      <w:pPr>
        <w:ind w:left="40"/>
        <w:spacing w:after="0" w:line="184" w:lineRule="auto"/>
        <w:rPr>
          <w:sz w:val="20"/>
          <w:szCs w:val="20"/>
          <w:color w:val="auto"/>
        </w:rPr>
      </w:pPr>
      <w:r>
        <w:rPr>
          <w:rFonts w:ascii="Arial" w:cs="Arial" w:eastAsia="Arial" w:hAnsi="Arial"/>
          <w:sz w:val="18"/>
          <w:szCs w:val="18"/>
          <w:color w:val="auto"/>
        </w:rPr>
        <w:t xml:space="preserve">Date of Plan Adoption or Giving of Instruction, </w:t>
      </w:r>
      <w:r>
        <w:rPr>
          <w:rFonts w:ascii="Arial" w:cs="Arial" w:eastAsia="Arial" w:hAnsi="Arial"/>
          <w:sz w:val="32"/>
          <w:szCs w:val="32"/>
          <w:color w:val="auto"/>
          <w:vertAlign w:val="subscript"/>
        </w:rPr>
        <w:t>12/08/2022</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If Relying on Rule 10b5-1</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4220" w:val="left"/>
        </w:tabs>
        <w:rPr>
          <w:sz w:val="20"/>
          <w:szCs w:val="20"/>
          <w:color w:val="auto"/>
        </w:rPr>
      </w:pPr>
      <w:r>
        <w:rPr>
          <w:rFonts w:ascii="Arial" w:cs="Arial" w:eastAsia="Arial" w:hAnsi="Arial"/>
          <w:sz w:val="19"/>
          <w:szCs w:val="19"/>
          <w:color w:val="auto"/>
        </w:rPr>
        <w:t>Signature</w:t>
      </w:r>
      <w:r>
        <w:rPr>
          <w:sz w:val="20"/>
          <w:szCs w:val="20"/>
          <w:color w:val="auto"/>
        </w:rPr>
        <w:tab/>
      </w:r>
      <w:r>
        <w:rPr>
          <w:rFonts w:ascii="Arial" w:cs="Arial" w:eastAsia="Arial" w:hAnsi="Arial"/>
          <w:sz w:val="19"/>
          <w:szCs w:val="19"/>
          <w:color w:val="auto"/>
        </w:rPr>
        <w:t>/s/ J.P. Morgan Securities LLC as agent and attorney-in-fact for Aparna Bawa</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2023-09-19T15:11:11Z</dcterms:created>
  <dcterms:modified xsi:type="dcterms:W3CDTF">2023-09-19T15:11:11Z</dcterms:modified>
</cp:coreProperties>
</file>