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0001773806</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12942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1121812.56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265969816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from a</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18"/>
                <w:szCs w:val="18"/>
                <w:color w:val="auto"/>
              </w:rPr>
            </w:pPr>
          </w:p>
        </w:tc>
        <w:tc>
          <w:tcPr>
            <w:tcW w:w="16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3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Emergence</w:t>
            </w:r>
          </w:p>
        </w:tc>
        <w:tc>
          <w:tcPr>
            <w:tcW w:w="2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12/01/2014</w:t>
            </w:r>
            <w:r>
              <w:rPr>
                <w:rFonts w:ascii="Times New Roman" w:cs="Times New Roman" w:eastAsia="Times New Roman" w:hAnsi="Times New Roman"/>
                <w:sz w:val="17"/>
                <w:szCs w:val="17"/>
                <w:color w:val="auto"/>
              </w:rPr>
              <w:t xml:space="preserve"> partnership or</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Fund</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10554</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12/01/2014 None</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06/14/2023</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609</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06/14/2023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06/12/2024</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861</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06/12/2024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06/11/2025</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918</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06/11/2025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-2174875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-1523365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-871855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02/05/2026 2475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223715.99</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03/04/2026 2475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191618.96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01/13/2026, that is intended to comply with Rule 10b5-1(c). 10,554 shares to be sold by Santiago Subotovsky and 2,388 shares to be sold by the Subotovsky Mann Family Trust 12/10/2015.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04/16/2026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01/13/2026</w:t>
      </w:r>
    </w:p>
    <w:p>
      <w:pPr>
        <w:spacing w:after="0" w:line="733" w:lineRule="exact"/>
        <w:rPr>
          <w:sz w:val="20"/>
          <w:szCs w:val="20"/>
          <w:color w:val="auto"/>
        </w:rPr>
      </w:pPr>
    </w:p>
    <w:p>
      <w:pPr>
        <w:sectPr>
          <w:pgSz w:w="11900" w:h="16838" w:orient="portrait"/>
          <w:cols w:equalWidth="0" w:num="2">
            <w:col w:w="2240" w:space="220"/>
            <w:col w:w="878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Santiago Subotovsky</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2026-04-16T15:46:43Z</dcterms:created>
  <dcterms:modified xsi:type="dcterms:W3CDTF">2026-04-16T15:46:43Z</dcterms:modified>
</cp:coreProperties>
</file>