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99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992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QUALCOMM INC/DE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8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4"/>
              </w:rPr>
              <w:t>5775 MOREHOUSE DRIVE</w:t>
            </w:r>
          </w:p>
        </w:tc>
        <w:tc>
          <w:tcPr>
            <w:tcW w:w="11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SAN DIEGO</w:t>
            </w:r>
          </w:p>
        </w:tc>
        <w:tc>
          <w:tcPr>
            <w:tcW w:w="1100" w:type="dxa"/>
            <w:vAlign w:val="bottom"/>
          </w:tcPr>
          <w:p>
            <w:pPr>
              <w:ind w:left="80"/>
              <w:spacing w:after="0"/>
              <w:rPr>
                <w:sz w:val="20"/>
                <w:szCs w:val="20"/>
                <w:color w:val="auto"/>
              </w:rPr>
            </w:pPr>
            <w:r>
              <w:rPr>
                <w:rFonts w:ascii="Arial" w:cs="Arial" w:eastAsia="Arial" w:hAnsi="Arial"/>
                <w:sz w:val="18"/>
                <w:szCs w:val="18"/>
                <w:color w:val="0000FF"/>
              </w:rPr>
              <w:t>CA</w:t>
            </w:r>
          </w:p>
        </w:tc>
        <w:tc>
          <w:tcPr>
            <w:tcW w:w="1100" w:type="dxa"/>
            <w:vAlign w:val="bottom"/>
          </w:tcPr>
          <w:p>
            <w:pPr>
              <w:ind w:left="60"/>
              <w:spacing w:after="0"/>
              <w:rPr>
                <w:sz w:val="20"/>
                <w:szCs w:val="20"/>
                <w:color w:val="auto"/>
              </w:rPr>
            </w:pPr>
            <w:r>
              <w:rPr>
                <w:rFonts w:ascii="Arial" w:cs="Arial" w:eastAsia="Arial" w:hAnsi="Arial"/>
                <w:sz w:val="18"/>
                <w:szCs w:val="18"/>
                <w:color w:val="0000FF"/>
              </w:rPr>
              <w:t>92121</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80"/>
              <w:spacing w:after="0"/>
              <w:rPr>
                <w:sz w:val="20"/>
                <w:szCs w:val="20"/>
                <w:color w:val="auto"/>
              </w:rPr>
            </w:pPr>
            <w:r>
              <w:rPr>
                <w:rFonts w:ascii="Arial" w:cs="Arial" w:eastAsia="Arial" w:hAnsi="Arial"/>
                <w:sz w:val="14"/>
                <w:szCs w:val="14"/>
                <w:color w:val="auto"/>
              </w:rPr>
              <w:t>(State)</w:t>
            </w:r>
          </w:p>
        </w:tc>
        <w:tc>
          <w:tcPr>
            <w:tcW w:w="110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3,333,332</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543,176</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0"/>
              </w:rPr>
              <w:t>Class B Common Stock</w:t>
            </w:r>
            <w:r>
              <w:rPr>
                <w:rFonts w:ascii="Arial" w:cs="Arial" w:eastAsia="Arial" w:hAnsi="Arial"/>
                <w:sz w:val="22"/>
                <w:szCs w:val="22"/>
                <w:color w:val="008000"/>
                <w:w w:val="90"/>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353,324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20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1"/>
              </w:rPr>
              <w:t>Class A Common Stock</w:t>
            </w:r>
            <w:r>
              <w:rPr>
                <w:rFonts w:ascii="Arial" w:cs="Arial" w:eastAsia="Arial" w:hAnsi="Arial"/>
                <w:sz w:val="22"/>
                <w:szCs w:val="22"/>
                <w:color w:val="008000"/>
                <w:w w:val="91"/>
                <w:vertAlign w:val="superscript"/>
              </w:rPr>
              <w:t>(2)</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14,552</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preferred stock shall automatically convert into Class B Common Stock on a 1:1 basis immediately prior to the completion of the Issuer's initial public offering and has no expiration date.</w:t>
      </w:r>
    </w:p>
    <w:p>
      <w:pPr>
        <w:spacing w:after="0" w:line="64" w:lineRule="exact"/>
        <w:rPr>
          <w:rFonts w:ascii="Arial" w:cs="Arial" w:eastAsia="Arial" w:hAnsi="Arial"/>
          <w:sz w:val="12"/>
          <w:szCs w:val="12"/>
          <w:color w:val="008000"/>
        </w:rPr>
      </w:pPr>
    </w:p>
    <w:p>
      <w:pPr>
        <w:jc w:val="both"/>
        <w:ind w:left="40" w:right="18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Following the completion of the Issuer's initial public offering of Class A Common Stock, the Class B Common Stock will convert automatically into Class A Common Stock upon the earlier of: (i) any transfer except for certain "Permitted Transfers" as defined in the Issuer's amended and restated certificate of incorporation, or (ii) the occurrence of certain other events as specified in the Issuer's amended and restated certificate of incorporation.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are held by Qualcomm Global Trading Pte. Ltd., an indirect, wholly-owned subsidiary of the Reporting Person.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QUALCOMM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87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By: /s/ Adam Schwenker,</w:t>
      </w:r>
      <w:r>
        <w:rPr>
          <w:sz w:val="20"/>
          <w:szCs w:val="20"/>
          <w:color w:val="auto"/>
        </w:rPr>
        <w:tab/>
      </w:r>
      <w:r>
        <w:rPr>
          <w:rFonts w:ascii="Arial" w:cs="Arial" w:eastAsia="Arial" w:hAnsi="Arial"/>
          <w:sz w:val="23"/>
          <w:szCs w:val="23"/>
          <w:color w:val="0000FF"/>
          <w:vertAlign w:val="subscript"/>
        </w:rPr>
        <w:t>04/17/2019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41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Name: Adam Schwenker,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409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97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Assistant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0804328"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2019-12-03T23:14:44Z</dcterms:created>
  <dcterms:modified xsi:type="dcterms:W3CDTF">2019-12-03T23:14:44Z</dcterms:modified>
</cp:coreProperties>
</file>