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Bucantini Enterprises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7/F, CHEUNG KONG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 QUEEN'S ROAD CENTRAL</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HONG</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KONG</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Zoom Video Communications,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3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5"/>
              </w:rPr>
              <w:t>Series A Convertible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292,386</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5"/>
              </w:rPr>
              <w:t>Series B Convertible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11,934,360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5"/>
              </w:rPr>
              <w:t>Series C Convertible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2,396,020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B Common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(2)</w:t>
            </w:r>
          </w:p>
        </w:tc>
        <w:tc>
          <w:tcPr>
            <w:tcW w:w="20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Class A Common Stock</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0"/>
              </w:rPr>
              <w:t>92,875</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Bucantini Enterprises Ltd</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8"/>
                <w:szCs w:val="18"/>
                <w:color w:val="0000FF"/>
                <w:w w:val="96"/>
              </w:rPr>
              <w:t>C/O 7/F, CHEUNG KONG CENTER</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spacing w:after="0"/>
              <w:rPr>
                <w:sz w:val="20"/>
                <w:szCs w:val="20"/>
                <w:color w:val="auto"/>
              </w:rPr>
            </w:pPr>
            <w:r>
              <w:rPr>
                <w:rFonts w:ascii="Arial" w:cs="Arial" w:eastAsia="Arial" w:hAnsi="Arial"/>
                <w:sz w:val="18"/>
                <w:szCs w:val="18"/>
                <w:color w:val="0000FF"/>
              </w:rPr>
              <w:t>2 QUEEN'S ROAD CENTRAL</w:t>
            </w: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HONG KONG</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Prime Doyen Ltd</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8"/>
                <w:szCs w:val="18"/>
                <w:color w:val="0000FF"/>
                <w:w w:val="96"/>
              </w:rPr>
              <w:t>C/O 7/F, CHEUNG KONG CENTER</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spacing w:after="0"/>
              <w:rPr>
                <w:sz w:val="20"/>
                <w:szCs w:val="20"/>
                <w:color w:val="auto"/>
              </w:rPr>
            </w:pPr>
            <w:r>
              <w:rPr>
                <w:rFonts w:ascii="Arial" w:cs="Arial" w:eastAsia="Arial" w:hAnsi="Arial"/>
                <w:sz w:val="18"/>
                <w:szCs w:val="18"/>
                <w:color w:val="0000FF"/>
              </w:rPr>
              <w:t>2 QUEEN'S ROAD CENTRAL</w:t>
            </w: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HONG KONG</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Mayspin Management Ltd</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C/O 7/F, CHEUNG KONG CENTER</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2 QUEEN'S ROAD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HONG KONG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Li Ka Shing</w:t>
              </w:r>
            </w:hyperlink>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7/F, CHEUNG KONG CENTER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 QUEEN'S ROAD CENTRAL</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HONG KONG</w:t>
      </w:r>
    </w:p>
    <w:p>
      <w:pPr>
        <w:spacing w:after="0" w:line="341"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Series A Preferred Stock, Series B Preferred Stock and Series C Preferred Stock will be automatically converted into one (1) share of Class B Common Stock immediately prior to the closing of the Issuer's initial public offering of Class A Common Stock (the "IPO"), and has no expiration date.</w:t>
      </w:r>
    </w:p>
    <w:p>
      <w:pPr>
        <w:spacing w:after="0" w:line="30" w:lineRule="exact"/>
        <w:rPr>
          <w:rFonts w:ascii="Arial" w:cs="Arial" w:eastAsia="Arial" w:hAnsi="Arial"/>
          <w:sz w:val="14"/>
          <w:szCs w:val="14"/>
          <w:color w:val="008000"/>
        </w:rPr>
      </w:pPr>
    </w:p>
    <w:p>
      <w:pPr>
        <w:jc w:val="both"/>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Following the closing of the IPO, each share of Class B Common Stock held by the Reporting Person will convert automatically into one share of Class A Common Stock upon (a) the death of the Reporting Person (if applicable),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20" w:right="160" w:firstLine="9"/>
        <w:spacing w:after="0" w:line="28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Bucantini Enterprises Limited ("Bucantini"). The sole shareholder of Bucantini is Prime Doyen Limited ("Prime Doyen"), the sole shareholder of Prime Doyen is Mayspin Management Limited ("Mayspin"), and the sole shareholder of Mayspin is Li Ka Shing ("Li Ka Shing"). Each of the reporting persons on this filing disclaims Section 16 beneficial ownership of the shares, except to the extent, if any, of its or his pecuniary interest therein, and this report shall not be deemed an admission that it is the beneficial owner of such shares for Section 16 or any other purpose.</w:t>
      </w: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240"/>
          </w:cols>
          <w:pgMar w:left="260" w:top="131" w:right="399" w:bottom="144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Bucantini Enterprises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4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Prime Doyen Limited,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22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Pau Yee Wan Ezra,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2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Mayspin Management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408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4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78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78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100"/>
          </w:cols>
          <w:pgMar w:left="260" w:top="131" w:right="3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60" w:top="13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1" Type="http://schemas.openxmlformats.org/officeDocument/2006/relationships/hyperlink" Target="http://www.sec.gov/cgi-bin/browse-edgar?action=getcompany&amp;CIK=0001775704" TargetMode="External"/><Relationship Id="rId12" Type="http://schemas.openxmlformats.org/officeDocument/2006/relationships/hyperlink" Target="http://www.sec.gov/cgi-bin/browse-edgar?action=getcompany&amp;CIK=0001585521" TargetMode="External"/><Relationship Id="rId13" Type="http://schemas.openxmlformats.org/officeDocument/2006/relationships/hyperlink" Target="http://www.sec.gov/cgi-bin/browse-edgar?action=getcompany&amp;CIK=0001775733" TargetMode="External"/><Relationship Id="rId14" Type="http://schemas.openxmlformats.org/officeDocument/2006/relationships/hyperlink" Target="http://www.sec.gov/cgi-bin/browse-edgar?action=getcompany&amp;CIK=0001706083" TargetMode="External"/><Relationship Id="rId16" Type="http://schemas.openxmlformats.org/officeDocument/2006/relationships/hyperlink" Target="http://www.sec.gov/cgi-bin/browse-edgar?action=getcompany&amp;CIK=0001686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2019-12-23T16:05:11Z</dcterms:created>
  <dcterms:modified xsi:type="dcterms:W3CDTF">2019-12-23T16:05:11Z</dcterms:modified>
</cp:coreProperties>
</file>