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40" w:type="dxa"/>
            <w:vAlign w:val="bottom"/>
          </w:tcPr>
          <w:p>
            <w:pPr>
              <w:ind w:left="40"/>
              <w:spacing w:after="0"/>
              <w:rPr>
                <w:sz w:val="20"/>
                <w:szCs w:val="20"/>
                <w:color w:val="auto"/>
              </w:rPr>
            </w:pPr>
            <w:r>
              <w:rPr>
                <w:rFonts w:ascii="Arial" w:cs="Arial" w:eastAsia="Arial" w:hAnsi="Arial"/>
                <w:sz w:val="22"/>
                <w:szCs w:val="22"/>
                <w:color w:val="auto"/>
              </w:rPr>
              <w:t>0001773806</w:t>
            </w:r>
          </w:p>
        </w:tc>
        <w:tc>
          <w:tcPr>
            <w:tcW w:w="382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4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4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w w:val="89"/>
              </w:rPr>
              <w:t>Zoom Video Communications,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001-38865</w:t>
            </w:r>
          </w:p>
        </w:tc>
      </w:tr>
      <w:tr>
        <w:trPr>
          <w:trHeight w:val="266"/>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95113</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Arial" w:cs="Arial" w:eastAsia="Arial" w:hAnsi="Arial"/>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Arial" w:cs="Arial" w:eastAsia="Arial" w:hAnsi="Arial"/>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Goldman Sachs &amp; Co.</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w w:val="98"/>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8268</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562554.72</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1"/>
                <w:szCs w:val="21"/>
                <w:color w:val="auto"/>
              </w:rPr>
            </w:pPr>
          </w:p>
        </w:tc>
        <w:tc>
          <w:tcPr>
            <w:tcW w:w="2760" w:type="dxa"/>
            <w:vAlign w:val="bottom"/>
          </w:tcPr>
          <w:p>
            <w:pPr>
              <w:ind w:left="1380"/>
              <w:spacing w:after="0"/>
              <w:rPr>
                <w:sz w:val="20"/>
                <w:szCs w:val="20"/>
                <w:color w:val="auto"/>
              </w:rPr>
            </w:pPr>
            <w:r>
              <w:rPr>
                <w:rFonts w:ascii="Arial" w:cs="Arial" w:eastAsia="Arial" w:hAnsi="Arial"/>
                <w:sz w:val="22"/>
                <w:szCs w:val="22"/>
                <w:b w:val="1"/>
                <w:bCs w:val="1"/>
                <w:color w:val="auto"/>
              </w:rPr>
              <w:t>Transaction</w:t>
            </w:r>
          </w:p>
        </w:tc>
        <w:tc>
          <w:tcPr>
            <w:tcW w:w="1360" w:type="dxa"/>
            <w:vAlign w:val="bottom"/>
          </w:tcPr>
          <w:p>
            <w:pPr>
              <w:jc w:val="center"/>
              <w:ind w:left="72"/>
              <w:spacing w:after="0"/>
              <w:rPr>
                <w:sz w:val="20"/>
                <w:szCs w:val="20"/>
                <w:color w:val="auto"/>
              </w:rPr>
            </w:pPr>
            <w:r>
              <w:rPr>
                <w:rFonts w:ascii="Arial" w:cs="Arial" w:eastAsia="Arial" w:hAnsi="Arial"/>
                <w:sz w:val="22"/>
                <w:szCs w:val="22"/>
                <w:b w:val="1"/>
                <w:bCs w:val="1"/>
                <w:color w:val="auto"/>
                <w:w w:val="92"/>
              </w:rPr>
              <w:t>Whom</w:t>
            </w:r>
          </w:p>
        </w:tc>
        <w:tc>
          <w:tcPr>
            <w:tcW w:w="282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Arial" w:cs="Arial" w:eastAsia="Arial" w:hAnsi="Arial"/>
                <w:sz w:val="22"/>
                <w:szCs w:val="22"/>
                <w:b w:val="1"/>
                <w:bCs w:val="1"/>
                <w:color w:val="auto"/>
                <w:w w:val="90"/>
              </w:rPr>
              <w:t>Acquired</w:t>
            </w:r>
          </w:p>
        </w:tc>
        <w:tc>
          <w:tcPr>
            <w:tcW w:w="282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Arial" w:cs="Arial" w:eastAsia="Arial" w:hAnsi="Arial"/>
                <w:sz w:val="22"/>
                <w:szCs w:val="22"/>
                <w:color w:val="auto"/>
              </w:rPr>
              <w:t>Acquired from a</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Arial" w:cs="Arial" w:eastAsia="Arial" w:hAnsi="Arial"/>
                <w:sz w:val="22"/>
                <w:szCs w:val="22"/>
                <w:color w:val="auto"/>
              </w:rPr>
              <w:t>distribution by a</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2760" w:type="dxa"/>
            <w:vAlign w:val="bottom"/>
          </w:tcPr>
          <w:p>
            <w:pPr>
              <w:ind w:left="1100"/>
              <w:spacing w:after="0" w:line="243" w:lineRule="exact"/>
              <w:rPr>
                <w:sz w:val="20"/>
                <w:szCs w:val="20"/>
                <w:color w:val="auto"/>
              </w:rPr>
            </w:pPr>
            <w:r>
              <w:rPr>
                <w:rFonts w:ascii="Arial" w:cs="Arial" w:eastAsia="Arial" w:hAnsi="Arial"/>
                <w:sz w:val="22"/>
                <w:szCs w:val="22"/>
                <w:color w:val="auto"/>
              </w:rPr>
              <w:t>partnership or</w:t>
            </w:r>
          </w:p>
        </w:tc>
        <w:tc>
          <w:tcPr>
            <w:tcW w:w="1360" w:type="dxa"/>
            <w:vAlign w:val="bottom"/>
            <w:vMerge w:val="restart"/>
          </w:tcPr>
          <w:p>
            <w:pPr>
              <w:ind w:left="40"/>
              <w:spacing w:after="0"/>
              <w:rPr>
                <w:sz w:val="20"/>
                <w:szCs w:val="20"/>
                <w:color w:val="auto"/>
              </w:rPr>
            </w:pPr>
            <w:r>
              <w:rPr>
                <w:rFonts w:ascii="Arial" w:cs="Arial" w:eastAsia="Arial" w:hAnsi="Arial"/>
                <w:sz w:val="22"/>
                <w:szCs w:val="22"/>
                <w:color w:val="auto"/>
              </w:rPr>
              <w:t>Emergence</w:t>
            </w: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Arial" w:cs="Arial" w:eastAsia="Arial" w:hAnsi="Arial"/>
                <w:sz w:val="22"/>
                <w:szCs w:val="22"/>
                <w:color w:val="auto"/>
                <w:w w:val="96"/>
              </w:rPr>
              <w:t>12/01/2014 other investment</w:t>
            </w:r>
          </w:p>
        </w:tc>
        <w:tc>
          <w:tcPr>
            <w:tcW w:w="1360" w:type="dxa"/>
            <w:vAlign w:val="bottom"/>
            <w:vMerge w:val="continue"/>
          </w:tcPr>
          <w:p>
            <w:pPr>
              <w:spacing w:after="0"/>
              <w:rPr>
                <w:sz w:val="10"/>
                <w:szCs w:val="10"/>
                <w:color w:val="auto"/>
              </w:rPr>
            </w:pPr>
          </w:p>
        </w:tc>
        <w:tc>
          <w:tcPr>
            <w:tcW w:w="2820" w:type="dxa"/>
            <w:vAlign w:val="bottom"/>
            <w:vMerge w:val="restart"/>
          </w:tcPr>
          <w:p>
            <w:pPr>
              <w:jc w:val="right"/>
              <w:ind w:right="652"/>
              <w:spacing w:after="0"/>
              <w:rPr>
                <w:sz w:val="20"/>
                <w:szCs w:val="20"/>
                <w:color w:val="auto"/>
              </w:rPr>
            </w:pPr>
            <w:r>
              <w:rPr>
                <w:rFonts w:ascii="Arial" w:cs="Arial" w:eastAsia="Arial" w:hAnsi="Arial"/>
                <w:sz w:val="22"/>
                <w:szCs w:val="22"/>
                <w:color w:val="auto"/>
              </w:rPr>
              <w:t>8268</w:t>
            </w:r>
          </w:p>
        </w:tc>
        <w:tc>
          <w:tcPr>
            <w:tcW w:w="1600" w:type="dxa"/>
            <w:vAlign w:val="bottom"/>
            <w:vMerge w:val="restart"/>
          </w:tcPr>
          <w:p>
            <w:pPr>
              <w:ind w:left="120"/>
              <w:spacing w:after="0"/>
              <w:rPr>
                <w:sz w:val="20"/>
                <w:szCs w:val="20"/>
                <w:color w:val="auto"/>
              </w:rPr>
            </w:pPr>
            <w:r>
              <w:rPr>
                <w:rFonts w:ascii="Arial" w:cs="Arial" w:eastAsia="Arial" w:hAnsi="Arial"/>
                <w:sz w:val="22"/>
                <w:szCs w:val="22"/>
                <w:color w:val="auto"/>
                <w:w w:val="87"/>
              </w:rPr>
              <w:t>12/01/2014 Cash</w:t>
            </w:r>
          </w:p>
        </w:tc>
        <w:tc>
          <w:tcPr>
            <w:tcW w:w="0" w:type="dxa"/>
            <w:vAlign w:val="bottom"/>
          </w:tcPr>
          <w:p>
            <w:pPr>
              <w:spacing w:after="0"/>
              <w:rPr>
                <w:sz w:val="1"/>
                <w:szCs w:val="1"/>
                <w:color w:val="auto"/>
              </w:rPr>
            </w:pPr>
          </w:p>
        </w:tc>
      </w:tr>
      <w:tr>
        <w:trPr>
          <w:trHeight w:val="210"/>
        </w:trPr>
        <w:tc>
          <w:tcPr>
            <w:tcW w:w="1420" w:type="dxa"/>
            <w:vAlign w:val="bottom"/>
          </w:tcPr>
          <w:p>
            <w:pPr>
              <w:spacing w:after="0" w:line="210" w:lineRule="exact"/>
              <w:rPr>
                <w:sz w:val="20"/>
                <w:szCs w:val="20"/>
                <w:color w:val="auto"/>
              </w:rPr>
            </w:pPr>
            <w:r>
              <w:rPr>
                <w:rFonts w:ascii="Arial" w:cs="Arial" w:eastAsia="Arial" w:hAnsi="Arial"/>
                <w:sz w:val="22"/>
                <w:szCs w:val="22"/>
                <w:color w:val="auto"/>
                <w:w w:val="93"/>
              </w:rPr>
              <w:t>Common Stock</w:t>
            </w:r>
          </w:p>
        </w:tc>
        <w:tc>
          <w:tcPr>
            <w:tcW w:w="2760" w:type="dxa"/>
            <w:vAlign w:val="bottom"/>
            <w:vMerge w:val="continue"/>
          </w:tcPr>
          <w:p>
            <w:pPr>
              <w:spacing w:after="0"/>
              <w:rPr>
                <w:sz w:val="18"/>
                <w:szCs w:val="18"/>
                <w:color w:val="auto"/>
              </w:rPr>
            </w:pPr>
          </w:p>
        </w:tc>
        <w:tc>
          <w:tcPr>
            <w:tcW w:w="1360" w:type="dxa"/>
            <w:vAlign w:val="bottom"/>
          </w:tcPr>
          <w:p>
            <w:pPr>
              <w:ind w:left="40"/>
              <w:spacing w:after="0" w:line="210" w:lineRule="exact"/>
              <w:rPr>
                <w:sz w:val="20"/>
                <w:szCs w:val="20"/>
                <w:color w:val="auto"/>
              </w:rPr>
            </w:pPr>
            <w:r>
              <w:rPr>
                <w:rFonts w:ascii="Arial" w:cs="Arial" w:eastAsia="Arial" w:hAnsi="Arial"/>
                <w:sz w:val="22"/>
                <w:szCs w:val="22"/>
                <w:color w:val="auto"/>
              </w:rPr>
              <w:t>Fund</w:t>
            </w:r>
          </w:p>
        </w:tc>
        <w:tc>
          <w:tcPr>
            <w:tcW w:w="28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420" w:type="dxa"/>
            <w:vAlign w:val="bottom"/>
          </w:tcPr>
          <w:p>
            <w:pPr>
              <w:spacing w:after="0"/>
              <w:rPr>
                <w:sz w:val="13"/>
                <w:szCs w:val="13"/>
                <w:color w:val="auto"/>
              </w:rPr>
            </w:pPr>
          </w:p>
        </w:tc>
        <w:tc>
          <w:tcPr>
            <w:tcW w:w="2760" w:type="dxa"/>
            <w:vAlign w:val="bottom"/>
          </w:tcPr>
          <w:p>
            <w:pPr>
              <w:ind w:left="1100"/>
              <w:spacing w:after="0" w:line="154" w:lineRule="exact"/>
              <w:rPr>
                <w:sz w:val="20"/>
                <w:szCs w:val="20"/>
                <w:color w:val="auto"/>
              </w:rPr>
            </w:pPr>
            <w:r>
              <w:rPr>
                <w:rFonts w:ascii="Arial" w:cs="Arial" w:eastAsia="Arial" w:hAnsi="Arial"/>
                <w:sz w:val="17"/>
                <w:szCs w:val="17"/>
                <w:color w:val="auto"/>
              </w:rPr>
              <w:t>vehicle. Shares</w:t>
            </w:r>
          </w:p>
        </w:tc>
        <w:tc>
          <w:tcPr>
            <w:tcW w:w="1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Arial" w:cs="Arial" w:eastAsia="Arial" w:hAnsi="Arial"/>
                <w:sz w:val="22"/>
                <w:szCs w:val="22"/>
                <w:color w:val="auto"/>
                <w:w w:val="91"/>
              </w:rPr>
              <w:t>distributed in 2019</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Arial" w:cs="Arial" w:eastAsia="Arial" w:hAnsi="Arial"/>
                <w:sz w:val="22"/>
                <w:szCs w:val="22"/>
                <w:color w:val="auto"/>
              </w:rPr>
              <w:t>and 2020.</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-614045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92"/>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Santiago Subotovsky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55 Almaden Blvd</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07/05/2023 2067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140150.04</w:t>
            </w:r>
          </w:p>
        </w:tc>
        <w:tc>
          <w:tcPr>
            <w:tcW w:w="0" w:type="dxa"/>
            <w:vAlign w:val="bottom"/>
          </w:tcPr>
          <w:p>
            <w:pPr>
              <w:spacing w:after="0"/>
              <w:rPr>
                <w:sz w:val="1"/>
                <w:szCs w:val="1"/>
                <w:color w:val="auto"/>
              </w:rPr>
            </w:pPr>
          </w:p>
        </w:tc>
      </w:tr>
      <w:tr>
        <w:trPr>
          <w:trHeight w:val="153"/>
        </w:trPr>
        <w:tc>
          <w:tcPr>
            <w:tcW w:w="13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22"/>
                <w:szCs w:val="22"/>
                <w:color w:val="auto"/>
                <w:w w:val="95"/>
              </w:rPr>
              <w:t>San Jose  CA</w:t>
            </w:r>
          </w:p>
        </w:tc>
        <w:tc>
          <w:tcPr>
            <w:tcW w:w="2040" w:type="dxa"/>
            <w:vAlign w:val="bottom"/>
          </w:tcPr>
          <w:p>
            <w:pPr>
              <w:jc w:val="right"/>
              <w:ind w:right="1312"/>
              <w:spacing w:after="0"/>
              <w:rPr>
                <w:sz w:val="20"/>
                <w:szCs w:val="20"/>
                <w:color w:val="auto"/>
              </w:rPr>
            </w:pPr>
            <w:r>
              <w:rPr>
                <w:rFonts w:ascii="Arial" w:cs="Arial" w:eastAsia="Arial" w:hAnsi="Arial"/>
                <w:sz w:val="22"/>
                <w:szCs w:val="22"/>
                <w:color w:val="auto"/>
                <w:w w:val="98"/>
              </w:rPr>
              <w:t>95113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Santiago Subotovsky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55 Almaden Blvd</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08/07/2023 2067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141745.77</w:t>
            </w:r>
          </w:p>
        </w:tc>
        <w:tc>
          <w:tcPr>
            <w:tcW w:w="0" w:type="dxa"/>
            <w:vAlign w:val="bottom"/>
          </w:tcPr>
          <w:p>
            <w:pPr>
              <w:spacing w:after="0"/>
              <w:rPr>
                <w:sz w:val="1"/>
                <w:szCs w:val="1"/>
                <w:color w:val="auto"/>
              </w:rPr>
            </w:pPr>
          </w:p>
        </w:tc>
      </w:tr>
      <w:tr>
        <w:trPr>
          <w:trHeight w:val="153"/>
        </w:trPr>
        <w:tc>
          <w:tcPr>
            <w:tcW w:w="13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22"/>
                <w:szCs w:val="22"/>
                <w:color w:val="auto"/>
                <w:w w:val="95"/>
              </w:rPr>
              <w:t>San Jose  CA</w:t>
            </w:r>
          </w:p>
        </w:tc>
        <w:tc>
          <w:tcPr>
            <w:tcW w:w="2040" w:type="dxa"/>
            <w:vAlign w:val="bottom"/>
          </w:tcPr>
          <w:p>
            <w:pPr>
              <w:jc w:val="right"/>
              <w:ind w:right="1312"/>
              <w:spacing w:after="0"/>
              <w:rPr>
                <w:sz w:val="20"/>
                <w:szCs w:val="20"/>
                <w:color w:val="auto"/>
              </w:rPr>
            </w:pPr>
            <w:r>
              <w:rPr>
                <w:rFonts w:ascii="Arial" w:cs="Arial" w:eastAsia="Arial" w:hAnsi="Arial"/>
                <w:sz w:val="22"/>
                <w:szCs w:val="22"/>
                <w:color w:val="auto"/>
                <w:w w:val="98"/>
              </w:rPr>
              <w:t>95113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2"/>
          </w:tcPr>
          <w:p>
            <w:pPr>
              <w:spacing w:after="0"/>
              <w:rPr>
                <w:sz w:val="20"/>
                <w:szCs w:val="20"/>
                <w:color w:val="auto"/>
              </w:rPr>
            </w:pPr>
            <w:r>
              <w:rPr>
                <w:rFonts w:ascii="Arial" w:cs="Arial" w:eastAsia="Arial" w:hAnsi="Arial"/>
                <w:sz w:val="22"/>
                <w:szCs w:val="22"/>
                <w:color w:val="auto"/>
              </w:rPr>
              <w:t>Santiago Subotovsky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55 Almaden Blvd</w:t>
            </w: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Arial" w:cs="Arial" w:eastAsia="Arial" w:hAnsi="Arial"/>
                <w:sz w:val="22"/>
                <w:szCs w:val="22"/>
                <w:color w:val="auto"/>
              </w:rPr>
              <w:t>09/05/2023 2067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151909.2</w:t>
            </w:r>
          </w:p>
        </w:tc>
        <w:tc>
          <w:tcPr>
            <w:tcW w:w="0" w:type="dxa"/>
            <w:vAlign w:val="bottom"/>
          </w:tcPr>
          <w:p>
            <w:pPr>
              <w:spacing w:after="0"/>
              <w:rPr>
                <w:sz w:val="1"/>
                <w:szCs w:val="1"/>
                <w:color w:val="auto"/>
              </w:rPr>
            </w:pPr>
          </w:p>
        </w:tc>
      </w:tr>
      <w:tr>
        <w:trPr>
          <w:trHeight w:val="153"/>
        </w:trPr>
        <w:tc>
          <w:tcPr>
            <w:tcW w:w="1300" w:type="dxa"/>
            <w:vAlign w:val="bottom"/>
            <w:vMerge w:val="restart"/>
          </w:tcPr>
          <w:p>
            <w:pPr>
              <w:spacing w:after="0" w:line="243" w:lineRule="exact"/>
              <w:rPr>
                <w:sz w:val="20"/>
                <w:szCs w:val="20"/>
                <w:color w:val="auto"/>
              </w:rPr>
            </w:pPr>
            <w:r>
              <w:rPr>
                <w:rFonts w:ascii="Arial" w:cs="Arial" w:eastAsia="Arial" w:hAnsi="Arial"/>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300" w:type="dxa"/>
            <w:vAlign w:val="bottom"/>
          </w:tcPr>
          <w:p>
            <w:pPr>
              <w:spacing w:after="0"/>
              <w:rPr>
                <w:sz w:val="20"/>
                <w:szCs w:val="20"/>
                <w:color w:val="auto"/>
              </w:rPr>
            </w:pPr>
            <w:r>
              <w:rPr>
                <w:rFonts w:ascii="Arial" w:cs="Arial" w:eastAsia="Arial" w:hAnsi="Arial"/>
                <w:sz w:val="22"/>
                <w:szCs w:val="22"/>
                <w:color w:val="auto"/>
                <w:w w:val="95"/>
              </w:rPr>
              <w:t>San Jose  CA</w:t>
            </w:r>
          </w:p>
        </w:tc>
        <w:tc>
          <w:tcPr>
            <w:tcW w:w="2040" w:type="dxa"/>
            <w:vAlign w:val="bottom"/>
          </w:tcPr>
          <w:p>
            <w:pPr>
              <w:jc w:val="right"/>
              <w:ind w:right="1312"/>
              <w:spacing w:after="0"/>
              <w:rPr>
                <w:sz w:val="20"/>
                <w:szCs w:val="20"/>
                <w:color w:val="auto"/>
              </w:rPr>
            </w:pPr>
            <w:r>
              <w:rPr>
                <w:rFonts w:ascii="Arial" w:cs="Arial" w:eastAsia="Arial" w:hAnsi="Arial"/>
                <w:sz w:val="22"/>
                <w:szCs w:val="22"/>
                <w:color w:val="auto"/>
                <w:w w:val="98"/>
              </w:rPr>
              <w:t>95113</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The sales of shares set forth herein are made in connection with a selling plan dated 3/14/2023, that is intended to comply with Rule 10b5-1(c).</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10/03/2023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03/14/2023</w:t>
      </w:r>
    </w:p>
    <w:p>
      <w:pPr>
        <w:spacing w:after="0" w:line="618" w:lineRule="exact"/>
        <w:rPr>
          <w:sz w:val="20"/>
          <w:szCs w:val="20"/>
          <w:color w:val="auto"/>
        </w:rPr>
      </w:pPr>
    </w:p>
    <w:p>
      <w:pPr>
        <w:sectPr>
          <w:pgSz w:w="11900" w:h="16838" w:orient="portrait"/>
          <w:cols w:equalWidth="0" w:num="2">
            <w:col w:w="3380" w:space="520"/>
            <w:col w:w="73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Goldman Sachs &amp; Co. LLC on behalf of Santiago Subotovsky</w:t>
      </w:r>
    </w:p>
    <w:p>
      <w:pPr>
        <w:sectPr>
          <w:pgSz w:w="11900" w:h="16838" w:orient="portrait"/>
          <w:cols w:equalWidth="0" w:num="1">
            <w:col w:w="11240"/>
          </w:cols>
          <w:pgMar w:left="320" w:top="102"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2023-10-03T15:46:43Z</dcterms:created>
  <dcterms:modified xsi:type="dcterms:W3CDTF">2023-10-03T15:46:43Z</dcterms:modified>
</cp:coreProperties>
</file>