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43"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November 22, 2021</w:t>
      </w:r>
    </w:p>
    <w:p>
      <w:pPr>
        <w:spacing w:after="0" w:line="2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Zoom Video Communications, Inc.</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19" w:lineRule="exact"/>
        <w:rPr>
          <w:sz w:val="24"/>
          <w:szCs w:val="24"/>
          <w:color w:val="auto"/>
        </w:rPr>
      </w:pPr>
    </w:p>
    <w:tbl>
      <w:tblPr>
        <w:tblLayout w:type="fixed"/>
        <w:tblInd w:w="1060" w:type="dxa"/>
        <w:tblCellMar>
          <w:top w:w="0" w:type="dxa"/>
          <w:left w:w="0" w:type="dxa"/>
          <w:bottom w:w="0" w:type="dxa"/>
          <w:right w:w="0" w:type="dxa"/>
        </w:tblCellMar>
      </w:tblPr>
      <w:tr>
        <w:trPr>
          <w:trHeight w:val="233"/>
        </w:trPr>
        <w:tc>
          <w:tcPr>
            <w:tcW w:w="2120" w:type="dxa"/>
            <w:vAlign w:val="bottom"/>
          </w:tcPr>
          <w:p>
            <w:pPr>
              <w:jc w:val="center"/>
              <w:ind w:right="403"/>
              <w:spacing w:after="0"/>
              <w:rPr>
                <w:sz w:val="20"/>
                <w:szCs w:val="20"/>
                <w:color w:val="auto"/>
              </w:rPr>
            </w:pPr>
            <w:r>
              <w:rPr>
                <w:rFonts w:ascii="Arial" w:cs="Arial" w:eastAsia="Arial" w:hAnsi="Arial"/>
                <w:sz w:val="19"/>
                <w:szCs w:val="19"/>
                <w:b w:val="1"/>
                <w:bCs w:val="1"/>
                <w:color w:val="auto"/>
                <w:w w:val="91"/>
              </w:rPr>
              <w:t>Delaware</w:t>
            </w:r>
          </w:p>
        </w:tc>
        <w:tc>
          <w:tcPr>
            <w:tcW w:w="5020" w:type="dxa"/>
            <w:vAlign w:val="bottom"/>
          </w:tcPr>
          <w:p>
            <w:pPr>
              <w:jc w:val="center"/>
              <w:ind w:right="77"/>
              <w:spacing w:after="0"/>
              <w:rPr>
                <w:sz w:val="20"/>
                <w:szCs w:val="20"/>
                <w:color w:val="auto"/>
              </w:rPr>
            </w:pPr>
            <w:r>
              <w:rPr>
                <w:rFonts w:ascii="Arial" w:cs="Arial" w:eastAsia="Arial" w:hAnsi="Arial"/>
                <w:sz w:val="19"/>
                <w:szCs w:val="19"/>
                <w:b w:val="1"/>
                <w:bCs w:val="1"/>
                <w:color w:val="auto"/>
                <w:w w:val="90"/>
              </w:rPr>
              <w:t>001-38865</w:t>
            </w:r>
          </w:p>
        </w:tc>
        <w:tc>
          <w:tcPr>
            <w:tcW w:w="1700" w:type="dxa"/>
            <w:vAlign w:val="bottom"/>
          </w:tcPr>
          <w:p>
            <w:pPr>
              <w:jc w:val="center"/>
              <w:ind w:left="543"/>
              <w:spacing w:after="0"/>
              <w:rPr>
                <w:sz w:val="20"/>
                <w:szCs w:val="20"/>
                <w:color w:val="auto"/>
              </w:rPr>
            </w:pPr>
            <w:r>
              <w:rPr>
                <w:rFonts w:ascii="Arial" w:cs="Arial" w:eastAsia="Arial" w:hAnsi="Arial"/>
                <w:sz w:val="19"/>
                <w:szCs w:val="19"/>
                <w:b w:val="1"/>
                <w:bCs w:val="1"/>
                <w:color w:val="auto"/>
                <w:w w:val="90"/>
              </w:rPr>
              <w:t>61-1648780</w:t>
            </w:r>
          </w:p>
        </w:tc>
        <w:tc>
          <w:tcPr>
            <w:tcW w:w="0" w:type="dxa"/>
            <w:vAlign w:val="bottom"/>
          </w:tcPr>
          <w:p>
            <w:pPr>
              <w:spacing w:after="0"/>
              <w:rPr>
                <w:sz w:val="1"/>
                <w:szCs w:val="1"/>
                <w:color w:val="auto"/>
              </w:rPr>
            </w:pPr>
          </w:p>
        </w:tc>
      </w:tr>
      <w:tr>
        <w:trPr>
          <w:trHeight w:val="139"/>
        </w:trPr>
        <w:tc>
          <w:tcPr>
            <w:tcW w:w="2120" w:type="dxa"/>
            <w:vAlign w:val="bottom"/>
          </w:tcPr>
          <w:p>
            <w:pPr>
              <w:jc w:val="center"/>
              <w:ind w:right="403"/>
              <w:spacing w:after="0" w:line="139" w:lineRule="exact"/>
              <w:rPr>
                <w:sz w:val="20"/>
                <w:szCs w:val="20"/>
                <w:color w:val="auto"/>
              </w:rPr>
            </w:pPr>
            <w:r>
              <w:rPr>
                <w:rFonts w:ascii="Arial" w:cs="Arial" w:eastAsia="Arial" w:hAnsi="Arial"/>
                <w:sz w:val="14"/>
                <w:szCs w:val="14"/>
                <w:b w:val="1"/>
                <w:bCs w:val="1"/>
                <w:color w:val="auto"/>
                <w:w w:val="90"/>
              </w:rPr>
              <w:t>(State or Other Jurisdiction</w:t>
            </w:r>
          </w:p>
        </w:tc>
        <w:tc>
          <w:tcPr>
            <w:tcW w:w="50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9"/>
              </w:rPr>
              <w:t>(Commission File Number)</w:t>
            </w:r>
          </w:p>
        </w:tc>
        <w:tc>
          <w:tcPr>
            <w:tcW w:w="1700" w:type="dxa"/>
            <w:vAlign w:val="bottom"/>
          </w:tcPr>
          <w:p>
            <w:pPr>
              <w:jc w:val="center"/>
              <w:ind w:left="543"/>
              <w:spacing w:after="0" w:line="13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9"/>
        </w:trPr>
        <w:tc>
          <w:tcPr>
            <w:tcW w:w="2120" w:type="dxa"/>
            <w:vAlign w:val="bottom"/>
          </w:tcPr>
          <w:p>
            <w:pPr>
              <w:jc w:val="center"/>
              <w:ind w:right="423"/>
              <w:spacing w:after="0"/>
              <w:rPr>
                <w:sz w:val="20"/>
                <w:szCs w:val="20"/>
                <w:color w:val="auto"/>
              </w:rPr>
            </w:pPr>
            <w:r>
              <w:rPr>
                <w:rFonts w:ascii="Arial" w:cs="Arial" w:eastAsia="Arial" w:hAnsi="Arial"/>
                <w:sz w:val="14"/>
                <w:szCs w:val="14"/>
                <w:b w:val="1"/>
                <w:bCs w:val="1"/>
                <w:color w:val="auto"/>
                <w:w w:val="91"/>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Arial" w:cs="Arial" w:eastAsia="Arial" w:hAnsi="Arial"/>
                <w:sz w:val="14"/>
                <w:szCs w:val="14"/>
                <w:b w:val="1"/>
                <w:bCs w:val="1"/>
                <w:color w:val="auto"/>
                <w:w w:val="91"/>
              </w:rPr>
              <w:t>Identification No.)</w:t>
            </w:r>
          </w:p>
        </w:tc>
        <w:tc>
          <w:tcPr>
            <w:tcW w:w="0" w:type="dxa"/>
            <w:vAlign w:val="bottom"/>
          </w:tcPr>
          <w:p>
            <w:pPr>
              <w:spacing w:after="0"/>
              <w:rPr>
                <w:sz w:val="1"/>
                <w:szCs w:val="1"/>
                <w:color w:val="auto"/>
              </w:rPr>
            </w:pPr>
          </w:p>
        </w:tc>
      </w:tr>
      <w:tr>
        <w:trPr>
          <w:trHeight w:val="328"/>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Arial" w:cs="Arial" w:eastAsia="Arial" w:hAnsi="Arial"/>
                <w:sz w:val="19"/>
                <w:szCs w:val="19"/>
                <w:b w:val="1"/>
                <w:bCs w:val="1"/>
                <w:color w:val="auto"/>
                <w:w w:val="91"/>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120" w:type="dxa"/>
            <w:vAlign w:val="bottom"/>
          </w:tcPr>
          <w:p>
            <w:pPr>
              <w:spacing w:after="0"/>
              <w:rPr>
                <w:sz w:val="19"/>
                <w:szCs w:val="19"/>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89"/>
              </w:rPr>
              <w:t>San Jose, California 95113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90"/>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91"/>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94" w:lineRule="exact"/>
        <w:rPr>
          <w:sz w:val="24"/>
          <w:szCs w:val="24"/>
          <w:color w:val="auto"/>
        </w:rPr>
      </w:pPr>
    </w:p>
    <w:p>
      <w:pPr>
        <w:ind w:right="440"/>
        <w:spacing w:after="0" w:line="261"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7"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38"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36"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The Nasdaq Global Select Market</w:t>
            </w:r>
          </w:p>
        </w:tc>
      </w:tr>
    </w:tbl>
    <w:p>
      <w:pPr>
        <w:spacing w:after="0" w:line="181" w:lineRule="exact"/>
        <w:rPr>
          <w:sz w:val="24"/>
          <w:szCs w:val="24"/>
          <w:color w:val="auto"/>
        </w:rPr>
      </w:pPr>
    </w:p>
    <w:p>
      <w:pPr>
        <w:ind w:right="180"/>
        <w:spacing w:after="0" w:line="283"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47" w:lineRule="exact"/>
        <w:rPr>
          <w:sz w:val="24"/>
          <w:szCs w:val="24"/>
          <w:color w:val="auto"/>
        </w:rPr>
      </w:pPr>
    </w:p>
    <w:p>
      <w:pPr>
        <w:ind w:right="46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772160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21590</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1" w:name="page2"/>
    <w:bookmarkEnd w:id="1"/>
    <w:p>
      <w:pPr>
        <w:spacing w:after="0"/>
        <w:tabs>
          <w:tab w:leader="none" w:pos="840" w:val="left"/>
        </w:tabs>
        <w:rPr>
          <w:sz w:val="20"/>
          <w:szCs w:val="20"/>
          <w:color w:val="auto"/>
        </w:rPr>
      </w:pPr>
      <w:r>
        <w:rPr>
          <w:rFonts w:ascii="Arial" w:cs="Arial" w:eastAsia="Arial" w:hAnsi="Arial"/>
          <w:sz w:val="17"/>
          <w:szCs w:val="17"/>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24" w:lineRule="exact"/>
        <w:rPr>
          <w:sz w:val="20"/>
          <w:szCs w:val="20"/>
          <w:color w:val="auto"/>
        </w:rPr>
      </w:pPr>
    </w:p>
    <w:p>
      <w:pPr>
        <w:ind w:right="100" w:firstLine="620"/>
        <w:spacing w:after="0" w:line="283" w:lineRule="auto"/>
        <w:rPr>
          <w:sz w:val="20"/>
          <w:szCs w:val="20"/>
          <w:color w:val="auto"/>
        </w:rPr>
      </w:pPr>
      <w:r>
        <w:rPr>
          <w:rFonts w:ascii="Arial" w:cs="Arial" w:eastAsia="Arial" w:hAnsi="Arial"/>
          <w:sz w:val="17"/>
          <w:szCs w:val="17"/>
          <w:color w:val="auto"/>
        </w:rPr>
        <w:t>On November 22, 2021, Zoom Video Communications, Inc. (the “Company”) issued a press release announcing its financial results for the three months ended October 31, 2021. A copy of the press release is furnished as Exhibit 99.1 to this report and is incorporated by reference.</w:t>
      </w:r>
    </w:p>
    <w:p>
      <w:pPr>
        <w:spacing w:after="0" w:line="159" w:lineRule="exact"/>
        <w:rPr>
          <w:sz w:val="20"/>
          <w:szCs w:val="20"/>
          <w:color w:val="auto"/>
        </w:rPr>
      </w:pPr>
    </w:p>
    <w:p>
      <w:pPr>
        <w:ind w:right="120" w:firstLine="620"/>
        <w:spacing w:after="0" w:line="263" w:lineRule="auto"/>
        <w:rPr>
          <w:sz w:val="20"/>
          <w:szCs w:val="20"/>
          <w:color w:val="auto"/>
        </w:rPr>
      </w:pPr>
      <w:r>
        <w:rPr>
          <w:rFonts w:ascii="Arial" w:cs="Arial" w:eastAsia="Arial" w:hAnsi="Arial"/>
          <w:sz w:val="17"/>
          <w:szCs w:val="17"/>
          <w:color w:val="auto"/>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71"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780" w:type="dxa"/>
            <w:vAlign w:val="bottom"/>
            <w:gridSpan w:val="2"/>
          </w:tcPr>
          <w:p>
            <w:pPr>
              <w:spacing w:after="0"/>
              <w:rPr>
                <w:sz w:val="20"/>
                <w:szCs w:val="20"/>
                <w:color w:val="auto"/>
              </w:rPr>
            </w:pPr>
            <w:r>
              <w:rPr>
                <w:rFonts w:ascii="Arial" w:cs="Arial" w:eastAsia="Arial" w:hAnsi="Arial"/>
                <w:sz w:val="17"/>
                <w:szCs w:val="17"/>
                <w:color w:val="auto"/>
              </w:rPr>
              <w:t>(d)  Exhibits</w:t>
            </w:r>
          </w:p>
        </w:tc>
        <w:tc>
          <w:tcPr>
            <w:tcW w:w="4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460" w:type="dxa"/>
            <w:vAlign w:val="bottom"/>
          </w:tcPr>
          <w:p>
            <w:pPr>
              <w:spacing w:after="0"/>
              <w:rPr>
                <w:sz w:val="21"/>
                <w:szCs w:val="21"/>
                <w:color w:val="auto"/>
              </w:rPr>
            </w:pPr>
          </w:p>
        </w:tc>
        <w:tc>
          <w:tcPr>
            <w:tcW w:w="1320" w:type="dxa"/>
            <w:vAlign w:val="bottom"/>
          </w:tcPr>
          <w:p>
            <w:pPr>
              <w:ind w:left="20"/>
              <w:spacing w:after="0"/>
              <w:rPr>
                <w:sz w:val="20"/>
                <w:szCs w:val="20"/>
                <w:color w:val="auto"/>
              </w:rPr>
            </w:pPr>
            <w:r>
              <w:rPr>
                <w:rFonts w:ascii="Arial" w:cs="Arial" w:eastAsia="Arial" w:hAnsi="Arial"/>
                <w:sz w:val="17"/>
                <w:szCs w:val="17"/>
                <w:color w:val="auto"/>
              </w:rPr>
              <w:t>Exhibit No.</w:t>
            </w:r>
          </w:p>
        </w:tc>
        <w:tc>
          <w:tcPr>
            <w:tcW w:w="9460" w:type="dxa"/>
            <w:vAlign w:val="bottom"/>
            <w:gridSpan w:val="4"/>
          </w:tcPr>
          <w:p>
            <w:pPr>
              <w:spacing w:after="0"/>
              <w:rPr>
                <w:sz w:val="20"/>
                <w:szCs w:val="20"/>
                <w:color w:val="auto"/>
              </w:rPr>
            </w:pPr>
            <w:r>
              <w:rPr>
                <w:rFonts w:ascii="Arial" w:cs="Arial" w:eastAsia="Arial" w:hAnsi="Arial"/>
                <w:sz w:val="17"/>
                <w:szCs w:val="17"/>
                <w:color w:val="auto"/>
              </w:rPr>
              <w:t>Description</w:t>
            </w:r>
          </w:p>
        </w:tc>
      </w:tr>
      <w:tr>
        <w:trPr>
          <w:trHeight w:val="20"/>
        </w:trPr>
        <w:tc>
          <w:tcPr>
            <w:tcW w:w="46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460" w:type="dxa"/>
            <w:vAlign w:val="bottom"/>
          </w:tcPr>
          <w:p>
            <w:pPr>
              <w:spacing w:after="0"/>
              <w:rPr>
                <w:sz w:val="15"/>
                <w:szCs w:val="15"/>
                <w:color w:val="auto"/>
              </w:rPr>
            </w:pPr>
          </w:p>
        </w:tc>
        <w:tc>
          <w:tcPr>
            <w:tcW w:w="1320" w:type="dxa"/>
            <w:vAlign w:val="bottom"/>
          </w:tcPr>
          <w:p>
            <w:pPr>
              <w:jc w:val="right"/>
              <w:ind w:right="654"/>
              <w:spacing w:after="0" w:line="174" w:lineRule="exact"/>
              <w:rPr>
                <w:sz w:val="20"/>
                <w:szCs w:val="20"/>
                <w:color w:val="auto"/>
              </w:rPr>
            </w:pPr>
            <w:r>
              <w:rPr>
                <w:rFonts w:ascii="Arial" w:cs="Arial" w:eastAsia="Arial" w:hAnsi="Arial"/>
                <w:sz w:val="17"/>
                <w:szCs w:val="17"/>
                <w:color w:val="auto"/>
              </w:rPr>
              <w:t>99.1</w:t>
            </w:r>
          </w:p>
        </w:tc>
        <w:tc>
          <w:tcPr>
            <w:tcW w:w="9460" w:type="dxa"/>
            <w:vAlign w:val="bottom"/>
            <w:gridSpan w:val="4"/>
          </w:tcPr>
          <w:p>
            <w:pPr>
              <w:spacing w:after="0" w:line="174" w:lineRule="exact"/>
              <w:rPr>
                <w:rFonts w:ascii="Arial" w:cs="Arial" w:eastAsia="Arial" w:hAnsi="Arial"/>
                <w:sz w:val="17"/>
                <w:szCs w:val="17"/>
                <w:color w:val="0000FF"/>
              </w:rPr>
            </w:pPr>
            <w:hyperlink w:anchor="page4">
              <w:r>
                <w:rPr>
                  <w:rFonts w:ascii="Arial" w:cs="Arial" w:eastAsia="Arial" w:hAnsi="Arial"/>
                  <w:sz w:val="17"/>
                  <w:szCs w:val="17"/>
                  <w:color w:val="0000FF"/>
                </w:rPr>
                <w:t>Press release dated November 22, 2021 of Zoom Video Communications, Inc.</w:t>
              </w:r>
            </w:hyperlink>
          </w:p>
        </w:tc>
      </w:tr>
      <w:tr>
        <w:trPr>
          <w:trHeight w:val="20"/>
        </w:trPr>
        <w:tc>
          <w:tcPr>
            <w:tcW w:w="1780" w:type="dxa"/>
            <w:vAlign w:val="bottom"/>
            <w:tcBorders>
              <w:right w:val="single" w:sz="8" w:color="0000FF"/>
            </w:tcBorders>
            <w:gridSpan w:val="2"/>
          </w:tcPr>
          <w:p>
            <w:pPr>
              <w:spacing w:after="0" w:line="20" w:lineRule="exact"/>
              <w:rPr>
                <w:sz w:val="1"/>
                <w:szCs w:val="1"/>
                <w:color w:val="auto"/>
              </w:rPr>
            </w:pPr>
          </w:p>
        </w:tc>
        <w:tc>
          <w:tcPr>
            <w:tcW w:w="5360" w:type="dxa"/>
            <w:vAlign w:val="bottom"/>
            <w:gridSpan w:val="2"/>
            <w:shd w:val="clear" w:color="auto" w:fill="0000FF"/>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r>
      <w:tr>
        <w:trPr>
          <w:trHeight w:val="239"/>
        </w:trPr>
        <w:tc>
          <w:tcPr>
            <w:tcW w:w="1780" w:type="dxa"/>
            <w:vAlign w:val="bottom"/>
            <w:gridSpan w:val="2"/>
          </w:tcPr>
          <w:p>
            <w:pPr>
              <w:jc w:val="right"/>
              <w:ind w:right="674"/>
              <w:spacing w:after="0"/>
              <w:rPr>
                <w:sz w:val="20"/>
                <w:szCs w:val="20"/>
                <w:color w:val="auto"/>
              </w:rPr>
            </w:pPr>
            <w:r>
              <w:rPr>
                <w:rFonts w:ascii="Arial" w:cs="Arial" w:eastAsia="Arial" w:hAnsi="Arial"/>
                <w:sz w:val="17"/>
                <w:szCs w:val="17"/>
                <w:color w:val="auto"/>
              </w:rPr>
              <w:t>104</w:t>
            </w:r>
          </w:p>
        </w:tc>
        <w:tc>
          <w:tcPr>
            <w:tcW w:w="9460" w:type="dxa"/>
            <w:vAlign w:val="bottom"/>
            <w:gridSpan w:val="4"/>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r>
      <w:tr>
        <w:trPr>
          <w:trHeight w:val="1168"/>
        </w:trPr>
        <w:tc>
          <w:tcPr>
            <w:tcW w:w="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ind w:right="180" w:firstLine="620"/>
        <w:spacing w:after="0" w:line="283"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3500" w:type="dxa"/>
            <w:vAlign w:val="bottom"/>
          </w:tcPr>
          <w:p>
            <w:pPr>
              <w:spacing w:after="0"/>
              <w:rPr>
                <w:sz w:val="19"/>
                <w:szCs w:val="19"/>
                <w:color w:val="auto"/>
              </w:rPr>
            </w:pPr>
          </w:p>
        </w:tc>
        <w:tc>
          <w:tcPr>
            <w:tcW w:w="6580" w:type="dxa"/>
            <w:vAlign w:val="bottom"/>
            <w:gridSpan w:val="2"/>
          </w:tcPr>
          <w:p>
            <w:pPr>
              <w:ind w:left="1640"/>
              <w:spacing w:after="0"/>
              <w:rPr>
                <w:sz w:val="20"/>
                <w:szCs w:val="20"/>
                <w:color w:val="auto"/>
              </w:rPr>
            </w:pPr>
            <w:r>
              <w:rPr>
                <w:rFonts w:ascii="Arial" w:cs="Arial" w:eastAsia="Arial" w:hAnsi="Arial"/>
                <w:sz w:val="17"/>
                <w:szCs w:val="17"/>
                <w:b w:val="1"/>
                <w:bCs w:val="1"/>
                <w:color w:val="auto"/>
              </w:rPr>
              <w:t>Zoom Video Communications, Inc.</w:t>
            </w:r>
          </w:p>
        </w:tc>
      </w:tr>
      <w:tr>
        <w:trPr>
          <w:trHeight w:val="465"/>
        </w:trPr>
        <w:tc>
          <w:tcPr>
            <w:tcW w:w="3500" w:type="dxa"/>
            <w:vAlign w:val="bottom"/>
          </w:tcPr>
          <w:p>
            <w:pPr>
              <w:spacing w:after="0"/>
              <w:rPr>
                <w:sz w:val="20"/>
                <w:szCs w:val="20"/>
                <w:color w:val="auto"/>
              </w:rPr>
            </w:pPr>
            <w:r>
              <w:rPr>
                <w:rFonts w:ascii="Arial" w:cs="Arial" w:eastAsia="Arial" w:hAnsi="Arial"/>
                <w:sz w:val="17"/>
                <w:szCs w:val="17"/>
                <w:color w:val="auto"/>
              </w:rPr>
              <w:t>Dated: November 22, 2021</w:t>
            </w:r>
          </w:p>
        </w:tc>
        <w:tc>
          <w:tcPr>
            <w:tcW w:w="1920" w:type="dxa"/>
            <w:vAlign w:val="bottom"/>
          </w:tcPr>
          <w:p>
            <w:pPr>
              <w:ind w:left="1640"/>
              <w:spacing w:after="0"/>
              <w:rPr>
                <w:sz w:val="20"/>
                <w:szCs w:val="20"/>
                <w:color w:val="auto"/>
              </w:rPr>
            </w:pPr>
            <w:r>
              <w:rPr>
                <w:rFonts w:ascii="Arial" w:cs="Arial" w:eastAsia="Arial" w:hAnsi="Arial"/>
                <w:sz w:val="17"/>
                <w:szCs w:val="17"/>
                <w:color w:val="auto"/>
              </w:rPr>
              <w:t>By:</w:t>
            </w:r>
          </w:p>
        </w:tc>
        <w:tc>
          <w:tcPr>
            <w:tcW w:w="466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Kelly Steckelberg</w:t>
            </w:r>
          </w:p>
        </w:tc>
      </w:tr>
      <w:tr>
        <w:trPr>
          <w:trHeight w:val="213"/>
        </w:trPr>
        <w:tc>
          <w:tcPr>
            <w:tcW w:w="3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60" w:type="dxa"/>
            <w:vAlign w:val="bottom"/>
          </w:tcPr>
          <w:p>
            <w:pPr>
              <w:ind w:left="620"/>
              <w:spacing w:after="0"/>
              <w:rPr>
                <w:sz w:val="20"/>
                <w:szCs w:val="20"/>
                <w:color w:val="auto"/>
              </w:rPr>
            </w:pPr>
            <w:r>
              <w:rPr>
                <w:rFonts w:ascii="Arial" w:cs="Arial" w:eastAsia="Arial" w:hAnsi="Arial"/>
                <w:sz w:val="17"/>
                <w:szCs w:val="17"/>
                <w:color w:val="auto"/>
              </w:rPr>
              <w:t>Kelly Steckelberg</w:t>
            </w:r>
          </w:p>
        </w:tc>
      </w:tr>
      <w:tr>
        <w:trPr>
          <w:trHeight w:val="220"/>
        </w:trPr>
        <w:tc>
          <w:tcPr>
            <w:tcW w:w="35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660" w:type="dxa"/>
            <w:vAlign w:val="bottom"/>
          </w:tcPr>
          <w:p>
            <w:pPr>
              <w:ind w:left="620"/>
              <w:spacing w:after="0"/>
              <w:rPr>
                <w:sz w:val="20"/>
                <w:szCs w:val="20"/>
                <w:color w:val="auto"/>
              </w:rPr>
            </w:pPr>
            <w:r>
              <w:rPr>
                <w:rFonts w:ascii="Arial" w:cs="Arial" w:eastAsia="Arial" w:hAnsi="Arial"/>
                <w:sz w:val="17"/>
                <w:szCs w:val="17"/>
                <w:i w:val="1"/>
                <w:iCs w:val="1"/>
                <w:color w:val="auto"/>
              </w:rPr>
              <w:t>Chief Financial Officer</w:t>
            </w:r>
          </w:p>
        </w:tc>
      </w:tr>
    </w:tbl>
    <w:p>
      <w:pPr>
        <w:sectPr>
          <w:pgSz w:w="11900" w:h="16838" w:orient="portrait"/>
          <w:cols w:equalWidth="0" w:num="1">
            <w:col w:w="11340"/>
          </w:cols>
          <w:pgMar w:left="320" w:top="85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color w:val="auto"/>
        </w:rPr>
        <w:t>Exhibit 99.1</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Zoom Reports Financial Results for the Third Quarter of Fiscal Year 2022</w:t>
      </w:r>
    </w:p>
    <w:p>
      <w:pPr>
        <w:spacing w:after="0" w:line="121" w:lineRule="exact"/>
        <w:rPr>
          <w:sz w:val="20"/>
          <w:szCs w:val="20"/>
          <w:color w:val="auto"/>
        </w:rPr>
      </w:pPr>
    </w:p>
    <w:p>
      <w:pPr>
        <w:ind w:left="920" w:hanging="296"/>
        <w:spacing w:after="0"/>
        <w:tabs>
          <w:tab w:leader="none" w:pos="9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Third quarter total revenue of $1,050.8 million, up 35% year over year</w:t>
      </w:r>
    </w:p>
    <w:p>
      <w:pPr>
        <w:spacing w:after="0" w:line="114" w:lineRule="exact"/>
        <w:rPr>
          <w:rFonts w:ascii="Arial" w:cs="Arial" w:eastAsia="Arial" w:hAnsi="Arial"/>
          <w:sz w:val="17"/>
          <w:szCs w:val="17"/>
          <w:b w:val="1"/>
          <w:bCs w:val="1"/>
          <w:color w:val="auto"/>
        </w:rPr>
      </w:pPr>
    </w:p>
    <w:p>
      <w:pPr>
        <w:ind w:left="920" w:hanging="296"/>
        <w:spacing w:after="0"/>
        <w:tabs>
          <w:tab w:leader="none" w:pos="92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Number of customers contributing more than $100,000 in TTM revenue up 94% year over year</w:t>
      </w:r>
    </w:p>
    <w:p>
      <w:pPr>
        <w:spacing w:after="0" w:line="114" w:lineRule="exact"/>
        <w:rPr>
          <w:rFonts w:ascii="Arial" w:cs="Arial" w:eastAsia="Arial" w:hAnsi="Arial"/>
          <w:sz w:val="17"/>
          <w:szCs w:val="17"/>
          <w:b w:val="1"/>
          <w:bCs w:val="1"/>
          <w:i w:val="1"/>
          <w:iCs w:val="1"/>
          <w:color w:val="auto"/>
        </w:rPr>
      </w:pPr>
    </w:p>
    <w:p>
      <w:pPr>
        <w:ind w:left="920" w:hanging="296"/>
        <w:spacing w:after="0"/>
        <w:tabs>
          <w:tab w:leader="none" w:pos="92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Third quarter GAAP operating margin of 27.7% and non-GAAP operating margin of 39.1%</w:t>
      </w:r>
    </w:p>
    <w:p>
      <w:pPr>
        <w:spacing w:after="0" w:line="212"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b w:val="1"/>
          <w:bCs w:val="1"/>
          <w:color w:val="auto"/>
        </w:rPr>
        <w:t xml:space="preserve">SAN JOSE, California – </w:t>
      </w:r>
      <w:r>
        <w:rPr>
          <w:rFonts w:ascii="Arial" w:cs="Arial" w:eastAsia="Arial" w:hAnsi="Arial"/>
          <w:sz w:val="17"/>
          <w:szCs w:val="17"/>
          <w:color w:val="auto"/>
        </w:rPr>
        <w:t>November 22, 2021 – Zoom Video Communications, Inc. (NASDAQ: ZM) today announced financial results for the third fiscal quarter</w:t>
      </w:r>
      <w:r>
        <w:rPr>
          <w:rFonts w:ascii="Arial" w:cs="Arial" w:eastAsia="Arial" w:hAnsi="Arial"/>
          <w:sz w:val="17"/>
          <w:szCs w:val="17"/>
          <w:b w:val="1"/>
          <w:bCs w:val="1"/>
          <w:color w:val="auto"/>
        </w:rPr>
        <w:t xml:space="preserve"> </w:t>
      </w:r>
      <w:r>
        <w:rPr>
          <w:rFonts w:ascii="Arial" w:cs="Arial" w:eastAsia="Arial" w:hAnsi="Arial"/>
          <w:sz w:val="17"/>
          <w:szCs w:val="17"/>
          <w:color w:val="auto"/>
        </w:rPr>
        <w:t>ended October 31, 2021.</w:t>
      </w:r>
    </w:p>
    <w:p>
      <w:pPr>
        <w:spacing w:after="0" w:line="154"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“In Q3, we held our premier user event, Zoomtopia, on our Zoom Events service. During this immersive, multi-track conference, we showcased how Zoom is placing people at the center of our communications platform, connecting their disparate work streams into our technology, moving beyond enterprises’ ability to collaborate internally, and empowering them to communicate face-to-face with their customers through Zoom Events and our upcoming Video Engagement Center. We also showcased innovations such as hot desking, whiteboarding, and smart gallery, all designed to empower both co-located and remote hybrid workforces as some companies test return to office programs,” said Zoom founder and CEO, Eric S. Yuan. “Through innovation and dedication, we will continue to deliver happiness to our customers. Looking forward, we expect to close the year between $4.079 to $4.081 billion in total revenue, representing approximately 54% year-over-year growth, alongside strong profitability and operating cash flow growth. We are well on our way to becoming an indispensable platform for enterprises, individuals, and developers to connect, collaborate, and build in the flexible hybrid world of work. We believe our global brand, innovative technologies, and large customer base position us well for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Quarter Fiscal Year 2022 Financial Highlights:</w:t>
      </w:r>
    </w:p>
    <w:p>
      <w:pPr>
        <w:spacing w:after="0" w:line="218" w:lineRule="exact"/>
        <w:rPr>
          <w:sz w:val="20"/>
          <w:szCs w:val="20"/>
          <w:color w:val="auto"/>
        </w:rPr>
      </w:pPr>
    </w:p>
    <w:p>
      <w:pPr>
        <w:ind w:left="920" w:hanging="296"/>
        <w:spacing w:after="0"/>
        <w:tabs>
          <w:tab w:leader="none" w:pos="9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w:t>
      </w:r>
      <w:r>
        <w:rPr>
          <w:rFonts w:ascii="Arial" w:cs="Arial" w:eastAsia="Arial" w:hAnsi="Arial"/>
          <w:sz w:val="17"/>
          <w:szCs w:val="17"/>
          <w:color w:val="auto"/>
        </w:rPr>
        <w:t>Total revenue for the third quarter was $1,050.8 million, up 35% year over year.</w:t>
      </w:r>
    </w:p>
    <w:p>
      <w:pPr>
        <w:spacing w:after="0" w:line="114" w:lineRule="exact"/>
        <w:rPr>
          <w:rFonts w:ascii="Arial" w:cs="Arial" w:eastAsia="Arial" w:hAnsi="Arial"/>
          <w:sz w:val="17"/>
          <w:szCs w:val="17"/>
          <w:b w:val="1"/>
          <w:bCs w:val="1"/>
          <w:color w:val="auto"/>
        </w:rPr>
      </w:pPr>
    </w:p>
    <w:p>
      <w:pPr>
        <w:ind w:left="940" w:right="60" w:hanging="316"/>
        <w:spacing w:after="0" w:line="287" w:lineRule="auto"/>
        <w:tabs>
          <w:tab w:leader="none" w:pos="936"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Income from Operations and Operating Margin: </w:t>
      </w:r>
      <w:r>
        <w:rPr>
          <w:rFonts w:ascii="Arial" w:cs="Arial" w:eastAsia="Arial" w:hAnsi="Arial"/>
          <w:sz w:val="16"/>
          <w:szCs w:val="16"/>
          <w:color w:val="auto"/>
        </w:rPr>
        <w:t>GAAP income from operations for the third quarter was $290.9 million, up from $192.2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third quarter of fiscal year 2021. After adjusting for stock-based compensation expense and related payroll taxes, and acquisition-related expenses, non-GAAP income from operations for the third quarter was $411.3 million, up from $290.8 million in the third quarter of fiscal year 2021. For the third quarter, GAAP operating margin was 27.7% and non-GAAP operating margin was 39.1%.</w:t>
      </w:r>
    </w:p>
    <w:p>
      <w:pPr>
        <w:spacing w:after="0" w:line="153" w:lineRule="exact"/>
        <w:rPr>
          <w:rFonts w:ascii="Arial" w:cs="Arial" w:eastAsia="Arial" w:hAnsi="Arial"/>
          <w:sz w:val="16"/>
          <w:szCs w:val="16"/>
          <w:color w:val="auto"/>
        </w:rPr>
      </w:pPr>
    </w:p>
    <w:p>
      <w:pPr>
        <w:ind w:left="940" w:right="160" w:hanging="316"/>
        <w:spacing w:after="0" w:line="290" w:lineRule="auto"/>
        <w:tabs>
          <w:tab w:leader="none" w:pos="936"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Net Income and Diluted Net Income Per Share: </w:t>
      </w:r>
      <w:r>
        <w:rPr>
          <w:rFonts w:ascii="Arial" w:cs="Arial" w:eastAsia="Arial" w:hAnsi="Arial"/>
          <w:sz w:val="17"/>
          <w:szCs w:val="17"/>
          <w:color w:val="auto"/>
        </w:rPr>
        <w:t>GAAP net income attributable to common stockholders for the third quarter was $340.3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or $1.11 per share, up from $198.4 million, or $0.66 per share in the third quarter of fiscal year 2021.</w:t>
      </w:r>
    </w:p>
    <w:p>
      <w:pPr>
        <w:spacing w:after="0" w:line="50" w:lineRule="exact"/>
        <w:rPr>
          <w:rFonts w:ascii="Arial" w:cs="Arial" w:eastAsia="Arial" w:hAnsi="Arial"/>
          <w:sz w:val="17"/>
          <w:szCs w:val="17"/>
          <w:b w:val="1"/>
          <w:bCs w:val="1"/>
          <w:color w:val="auto"/>
        </w:rPr>
      </w:pPr>
    </w:p>
    <w:p>
      <w:pPr>
        <w:ind w:left="940" w:right="220"/>
        <w:spacing w:after="0" w:line="320" w:lineRule="auto"/>
        <w:rPr>
          <w:rFonts w:ascii="Arial" w:cs="Arial" w:eastAsia="Arial" w:hAnsi="Arial"/>
          <w:sz w:val="17"/>
          <w:szCs w:val="17"/>
          <w:b w:val="1"/>
          <w:bCs w:val="1"/>
          <w:color w:val="auto"/>
        </w:rPr>
      </w:pPr>
      <w:r>
        <w:rPr>
          <w:rFonts w:ascii="Arial" w:cs="Arial" w:eastAsia="Arial" w:hAnsi="Arial"/>
          <w:sz w:val="15"/>
          <w:szCs w:val="15"/>
          <w:color w:val="auto"/>
        </w:rPr>
        <w:t>Non-GAAP net income for the third quarter was $338.4 million, after adjusting for stock-based compensation expense and related payroll taxes, acquisition-related expenses, gains on strategic investments, net, and undistributed earnings attributable to participating securities. Non-GAAP net income per share was $1.11. In the third quarter of fiscal year 2021, non-GAAP net income was $297.2 million, or $0.99 per share.</w:t>
      </w:r>
    </w:p>
    <w:p>
      <w:pPr>
        <w:spacing w:after="0" w:line="131" w:lineRule="exact"/>
        <w:rPr>
          <w:rFonts w:ascii="Arial" w:cs="Arial" w:eastAsia="Arial" w:hAnsi="Arial"/>
          <w:sz w:val="17"/>
          <w:szCs w:val="17"/>
          <w:b w:val="1"/>
          <w:bCs w:val="1"/>
          <w:color w:val="auto"/>
        </w:rPr>
      </w:pPr>
    </w:p>
    <w:p>
      <w:pPr>
        <w:ind w:left="940" w:right="320" w:hanging="316"/>
        <w:spacing w:after="0" w:line="290" w:lineRule="auto"/>
        <w:tabs>
          <w:tab w:leader="none" w:pos="936"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Cash and Marketable Securities: </w:t>
      </w:r>
      <w:r>
        <w:rPr>
          <w:rFonts w:ascii="Arial" w:cs="Arial" w:eastAsia="Arial" w:hAnsi="Arial"/>
          <w:sz w:val="17"/>
          <w:szCs w:val="17"/>
          <w:color w:val="auto"/>
        </w:rPr>
        <w:t>Total cash, cash equivalents, and marketable securities, excluding restricted cash, as of October 31, 2021 was</w:t>
      </w:r>
      <w:r>
        <w:rPr>
          <w:rFonts w:ascii="Arial" w:cs="Arial" w:eastAsia="Arial" w:hAnsi="Arial"/>
          <w:sz w:val="17"/>
          <w:szCs w:val="17"/>
          <w:b w:val="1"/>
          <w:bCs w:val="1"/>
          <w:color w:val="auto"/>
        </w:rPr>
        <w:t xml:space="preserve"> </w:t>
      </w:r>
      <w:r>
        <w:rPr>
          <w:rFonts w:ascii="Arial" w:cs="Arial" w:eastAsia="Arial" w:hAnsi="Arial"/>
          <w:sz w:val="17"/>
          <w:szCs w:val="17"/>
          <w:color w:val="auto"/>
        </w:rPr>
        <w:t>$5.4 billion.</w:t>
      </w:r>
    </w:p>
    <w:p>
      <w:pPr>
        <w:spacing w:after="0" w:line="44" w:lineRule="exact"/>
        <w:rPr>
          <w:rFonts w:ascii="Arial" w:cs="Arial" w:eastAsia="Arial" w:hAnsi="Arial"/>
          <w:sz w:val="17"/>
          <w:szCs w:val="17"/>
          <w:b w:val="1"/>
          <w:bCs w:val="1"/>
          <w:color w:val="auto"/>
        </w:rPr>
      </w:pPr>
    </w:p>
    <w:p>
      <w:pPr>
        <w:ind w:left="940" w:right="260" w:hanging="316"/>
        <w:spacing w:after="0" w:line="272"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Cash Flow: </w:t>
      </w:r>
      <w:r>
        <w:rPr>
          <w:rFonts w:ascii="Arial" w:cs="Arial" w:eastAsia="Arial" w:hAnsi="Arial"/>
          <w:sz w:val="17"/>
          <w:szCs w:val="17"/>
          <w:color w:val="auto"/>
        </w:rPr>
        <w:t>Net cash provided by operating activities was $394.6 million for the third quarter, compared to $411.5 million in the third quarter of</w:t>
      </w:r>
      <w:r>
        <w:rPr>
          <w:rFonts w:ascii="Arial" w:cs="Arial" w:eastAsia="Arial" w:hAnsi="Arial"/>
          <w:sz w:val="17"/>
          <w:szCs w:val="17"/>
          <w:b w:val="1"/>
          <w:bCs w:val="1"/>
          <w:color w:val="auto"/>
        </w:rPr>
        <w:t xml:space="preserve"> </w:t>
      </w:r>
      <w:r>
        <w:rPr>
          <w:rFonts w:ascii="Arial" w:cs="Arial" w:eastAsia="Arial" w:hAnsi="Arial"/>
          <w:sz w:val="17"/>
          <w:szCs w:val="17"/>
          <w:color w:val="auto"/>
        </w:rPr>
        <w:t>fiscal year 2021. Free cash flow, which is net cash provided by operating activities less purchases of property and equipment, was $374.8 million, compared to $388.2 million in the third quarter of fiscal year 2021.</w:t>
      </w:r>
    </w:p>
    <w:p>
      <w:pPr>
        <w:spacing w:after="0" w:line="162"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b w:val="1"/>
          <w:bCs w:val="1"/>
          <w:color w:val="auto"/>
        </w:rPr>
        <w:t xml:space="preserve">Customer Metrics: </w:t>
      </w:r>
      <w:r>
        <w:rPr>
          <w:rFonts w:ascii="Arial" w:cs="Arial" w:eastAsia="Arial" w:hAnsi="Arial"/>
          <w:sz w:val="17"/>
          <w:szCs w:val="17"/>
          <w:color w:val="auto"/>
        </w:rPr>
        <w:t>Drivers of total revenue included acquiring new customers and expanding across existing customers. At the end of the third quarter of fiscal</w:t>
      </w:r>
      <w:r>
        <w:rPr>
          <w:rFonts w:ascii="Arial" w:cs="Arial" w:eastAsia="Arial" w:hAnsi="Arial"/>
          <w:sz w:val="17"/>
          <w:szCs w:val="17"/>
          <w:b w:val="1"/>
          <w:bCs w:val="1"/>
          <w:color w:val="auto"/>
        </w:rPr>
        <w:t xml:space="preserve"> </w:t>
      </w:r>
      <w:r>
        <w:rPr>
          <w:rFonts w:ascii="Arial" w:cs="Arial" w:eastAsia="Arial" w:hAnsi="Arial"/>
          <w:sz w:val="17"/>
          <w:szCs w:val="17"/>
          <w:color w:val="auto"/>
        </w:rPr>
        <w:t>year 2022, Zoom had:</w:t>
      </w:r>
    </w:p>
    <w:p>
      <w:pPr>
        <w:spacing w:after="0" w:line="50" w:lineRule="exact"/>
        <w:rPr>
          <w:sz w:val="20"/>
          <w:szCs w:val="20"/>
          <w:color w:val="auto"/>
        </w:rPr>
      </w:pPr>
    </w:p>
    <w:p>
      <w:pPr>
        <w:ind w:left="920" w:hanging="296"/>
        <w:spacing w:after="0"/>
        <w:tabs>
          <w:tab w:leader="none" w:pos="92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2,507 customers contributing more than $100,000 in trailing 12 months revenue, up approximately 94% from the same quarter last fiscal year.</w:t>
      </w:r>
    </w:p>
    <w:p>
      <w:pPr>
        <w:spacing w:after="0" w:line="126" w:lineRule="exact"/>
        <w:rPr>
          <w:rFonts w:ascii="Arial" w:cs="Arial" w:eastAsia="Arial" w:hAnsi="Arial"/>
          <w:sz w:val="16"/>
          <w:szCs w:val="16"/>
          <w:b w:val="1"/>
          <w:bCs w:val="1"/>
          <w:color w:val="auto"/>
        </w:rPr>
      </w:pPr>
    </w:p>
    <w:p>
      <w:pPr>
        <w:ind w:left="920" w:hanging="296"/>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Approximately 512,100 customers with more than 10 employees, up approximately 18% from the same quarter last fiscal year.</w:t>
      </w:r>
    </w:p>
    <w:p>
      <w:pPr>
        <w:spacing w:after="0" w:line="114" w:lineRule="exact"/>
        <w:rPr>
          <w:rFonts w:ascii="Arial" w:cs="Arial" w:eastAsia="Arial" w:hAnsi="Arial"/>
          <w:sz w:val="17"/>
          <w:szCs w:val="17"/>
          <w:color w:val="auto"/>
        </w:rPr>
      </w:pPr>
    </w:p>
    <w:p>
      <w:pPr>
        <w:ind w:left="920" w:hanging="296"/>
        <w:spacing w:after="0"/>
        <w:tabs>
          <w:tab w:leader="none" w:pos="92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A trailing 12-month net dollar expansion rate in customers with more than 10 employees above 130% for the 14th consecutive quarter.</w:t>
      </w:r>
    </w:p>
    <w:p>
      <w:pPr>
        <w:sectPr>
          <w:pgSz w:w="11900" w:h="16838" w:orient="portrait"/>
          <w:cols w:equalWidth="0" w:num="1">
            <w:col w:w="11240"/>
          </w:cols>
          <w:pgMar w:left="320" w:top="1096"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 xml:space="preserve">Financial Outlook: </w:t>
      </w:r>
      <w:r>
        <w:rPr>
          <w:rFonts w:ascii="Arial" w:cs="Arial" w:eastAsia="Arial" w:hAnsi="Arial"/>
          <w:sz w:val="17"/>
          <w:szCs w:val="17"/>
          <w:color w:val="auto"/>
        </w:rPr>
        <w:t>Zoom is providing the following guidance for its fourth quarter fiscal year 2022 and its full fiscal year 2022.</w:t>
      </w:r>
    </w:p>
    <w:p>
      <w:pPr>
        <w:spacing w:after="0" w:line="121" w:lineRule="exact"/>
        <w:rPr>
          <w:sz w:val="20"/>
          <w:szCs w:val="20"/>
          <w:color w:val="auto"/>
        </w:rPr>
      </w:pPr>
    </w:p>
    <w:p>
      <w:pPr>
        <w:ind w:left="940" w:hanging="316"/>
        <w:spacing w:after="0" w:line="268" w:lineRule="auto"/>
        <w:tabs>
          <w:tab w:leader="none" w:pos="936"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Fourth Quarter Fiscal Year 2022: Total revenue is expected to be between $1.051 billion and $1.053 billion and non-GAAP income from operations is expected to be between $361.0 million and $363.0 million. Non-GAAP diluted EPS is expected to be between $1.06 and $1.07 with approximately 307 million non-GAAP weighted average shares outstanding.</w:t>
      </w:r>
    </w:p>
    <w:p>
      <w:pPr>
        <w:spacing w:after="0" w:line="68" w:lineRule="exact"/>
        <w:rPr>
          <w:rFonts w:ascii="Arial" w:cs="Arial" w:eastAsia="Arial" w:hAnsi="Arial"/>
          <w:sz w:val="17"/>
          <w:szCs w:val="17"/>
          <w:b w:val="1"/>
          <w:bCs w:val="1"/>
          <w:color w:val="auto"/>
        </w:rPr>
      </w:pPr>
    </w:p>
    <w:p>
      <w:pPr>
        <w:ind w:left="940" w:right="100" w:hanging="316"/>
        <w:spacing w:after="0" w:line="268" w:lineRule="auto"/>
        <w:tabs>
          <w:tab w:leader="none" w:pos="936" w:val="left"/>
        </w:tabs>
        <w:numPr>
          <w:ilvl w:val="0"/>
          <w:numId w:val="5"/>
        </w:numPr>
        <w:rPr>
          <w:rFonts w:ascii="Arial" w:cs="Arial" w:eastAsia="Arial" w:hAnsi="Arial"/>
          <w:sz w:val="17"/>
          <w:szCs w:val="17"/>
          <w:color w:val="auto"/>
        </w:rPr>
      </w:pPr>
      <w:r>
        <w:rPr>
          <w:rFonts w:ascii="Arial" w:cs="Arial" w:eastAsia="Arial" w:hAnsi="Arial"/>
          <w:sz w:val="17"/>
          <w:szCs w:val="17"/>
          <w:color w:val="auto"/>
        </w:rPr>
        <w:t>Full Fiscal Year 2022: Total revenue is expected to be between $4.079 billion and $4.081 billion. Non-GAAP income from operations is expected to be between $1.598 billion and $1.600 billion. Non-GAAP diluted EPS is expected to be between $4.84 and $4.85 with approximately 306 million non-GAAP weighted average shares outstanding.</w:t>
      </w:r>
    </w:p>
    <w:p>
      <w:pPr>
        <w:spacing w:after="0" w:line="172"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 supplemental financial presentation and other information can be accessed through Zoom’s investor relations website at investors.zoom.us.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Zoom Video Earnings Call</w:t>
      </w:r>
    </w:p>
    <w:p>
      <w:pPr>
        <w:spacing w:after="0" w:line="121" w:lineRule="exact"/>
        <w:rPr>
          <w:sz w:val="20"/>
          <w:szCs w:val="20"/>
          <w:color w:val="auto"/>
        </w:rPr>
      </w:pPr>
    </w:p>
    <w:p>
      <w:pPr>
        <w:ind w:right="60"/>
        <w:spacing w:after="0" w:line="315" w:lineRule="auto"/>
        <w:rPr>
          <w:sz w:val="20"/>
          <w:szCs w:val="20"/>
          <w:color w:val="auto"/>
        </w:rPr>
      </w:pPr>
      <w:r>
        <w:rPr>
          <w:rFonts w:ascii="Arial" w:cs="Arial" w:eastAsia="Arial" w:hAnsi="Arial"/>
          <w:sz w:val="16"/>
          <w:szCs w:val="16"/>
          <w:color w:val="auto"/>
        </w:rPr>
        <w:t>Zoom will host a Zoom Video Webinar for investors on November 22, 2021 at 2:00 p.m. Pacific Time / 5:00 p.m. Eastern Time to discuss the company’s financial results, outlook and business highlights. Investors are invited to join the Zoom Video Webinar by visiting: https://investors.zoom.us/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Zoom</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Zoom is for you. We help you express ideas, connect to others, and build toward a future limited only by your imagination. Our frictionless communications platform is the only one that started with video as its foundation, and we have set the standard for innovation ever since. That is why we are an intuitive, scalable, and secure choice for large enterprises, small businesses, and individuals alike. Founded in 2011, Zoom is publicly traded (NASDAQ:ZM) and headquartered in San Jose, California. Visit zoom.com and follow @zoom.</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3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This press release contains express and implied “forward-looking statements” within the meaning of the Private Securities Litigation Reform Act of 1995, including statements regarding our financial outlook for the fourth quarter of fiscal year 2022 and full fiscal year 2022, Zoom’s market position, and Zoom’s growth strategy and business aspirations to become an indispensable platform for individuals, enterprises, and developers to connect, collaborate and build in the hybrid world.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and hosts, renewals or upgrades, difficulties in evaluating our prospects and future results of operations given our limited operating history, competition from other providers of communications platforms, continued uncertainty regarding the extent and duration of the impact of COVID-19 and the responses of government and private industry thereto, including the potential effect on our user growth rate once the impact of the COVID-19 pandemic tapers, particularly as vaccines become widely available and distributed, and users return to work or school or are otherwise no longer subject to limitations on in-person meetings, as well as the impact of COVID-19 on the overall economic environment, any or all of which will have an impact on demand for remote work solutions for businesses as well as overall distributed, face-to-face interactions and collaboration using Zoom, delays or outages in services from our co-located data centers, and failures in internet infrastructure or interference with broadband access which could cause current or potential users to believe that our systems are unreliable.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quarterly report on Form 10-Q for the fiscal quarter ended July 31, 2021.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ectPr>
          <w:pgSz w:w="11900" w:h="16838" w:orient="portrait"/>
          <w:cols w:equalWidth="0" w:num="1">
            <w:col w:w="11240"/>
          </w:cols>
          <w:pgMar w:left="320" w:top="1064"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Non-GAAP Financial Measures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73"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73"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Non-GAAP Income From Operations and Non-GAAP Operating Margins. Zoom defines non-GAAP income from operations as income from operations excluding stock-based compensation expense and related payroll taxes, expenses related to charitable donation of common stock, acquisition-related expenses, and litigation settlements, net. Zoom excludes stock-based compensation expense and expenses related to charitable donation of common stock because they are non-cash in nature and excluding these expenses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Zoom excludes significant litigation settlements, net of amounts covered by insurance, that we deem not to be in the ordinary course of our business. In particular, Zoom believes the consideration of measures that exclude such expenses can assist in the comparison of operational performance in different periods which may or may not include such expenses and assist in the comparison with the results of other companies in the industry.</w:t>
      </w:r>
    </w:p>
    <w:p>
      <w:pPr>
        <w:spacing w:after="0" w:line="57"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Non-GAAP Net Income and Non-GAAP Net Income Per Share, Basic and Diluted. Zoom defines non-GAAP net income and non-GAAP net income per share, basic and diluted, as GAAP net income attributable to common stockholders and GAAP net income per share attributable to common stockholders, basic and diluted, respectively, adjusted to exclude stock-based compensation expense and related payroll taxes, expenses related to charitable donation of common stock, acquisition-related expenses, litigation settlements, net, gains on strategic investments, net, and undistributed earnings attributable to participating securities. Zoom excludes gains on strategic investments, net because given the size and volatility in the ongoing adjustments to the valuation of our strategic investments, we believe that excluding these gains or losses facilitates a more meaningful evaluation of our operational performance. Zoom excludes undistributed earnings attributable to participating securities because they are considered by management to be outside of Zoom’s core operating results, and excluding them provides investors and management with greater visibility to the underlying performance of Zoom’s business operations, facilitates comparison of its results with other periods and may also facilitate comparison with the results of other companies in the industry.</w:t>
      </w:r>
    </w:p>
    <w:p>
      <w:pPr>
        <w:spacing w:after="0" w:line="67" w:lineRule="exact"/>
        <w:rPr>
          <w:sz w:val="20"/>
          <w:szCs w:val="20"/>
          <w:color w:val="auto"/>
        </w:rPr>
      </w:pPr>
    </w:p>
    <w:p>
      <w:pPr>
        <w:ind w:right="100"/>
        <w:spacing w:after="0" w:line="309" w:lineRule="auto"/>
        <w:rPr>
          <w:sz w:val="20"/>
          <w:szCs w:val="20"/>
          <w:color w:val="auto"/>
        </w:rPr>
      </w:pPr>
      <w:r>
        <w:rPr>
          <w:rFonts w:ascii="Arial" w:cs="Arial" w:eastAsia="Arial" w:hAnsi="Arial"/>
          <w:sz w:val="15"/>
          <w:szCs w:val="15"/>
          <w:color w:val="auto"/>
        </w:rPr>
        <w:t>In order to calculate non-GAAP net income per share, basic and diluted, Zoom uses a non-GAAP weighted-average share count. Zoom defines non-GAAP weighted-average shares used to compute non-GAAP net income per share, basic and diluted, as GAAP weighted average shares used to compute net income per share attributable to common stockholders, basic and diluted, adjusted to reflect the common stock issued in connection with the IPO, including the concurrent private placement, that are outstanding as of the end of the period as if they were outstanding as of the beginning of the period for comparability.</w:t>
      </w:r>
    </w:p>
    <w:p>
      <w:pPr>
        <w:spacing w:after="0" w:line="42"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Free Cash Flow.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Metrics</w:t>
      </w:r>
    </w:p>
    <w:p>
      <w:pPr>
        <w:spacing w:after="0" w:line="121" w:lineRule="exact"/>
        <w:rPr>
          <w:sz w:val="20"/>
          <w:szCs w:val="20"/>
          <w:color w:val="auto"/>
        </w:rPr>
      </w:pPr>
    </w:p>
    <w:p>
      <w:pPr>
        <w:ind w:right="340"/>
        <w:spacing w:after="0" w:line="283" w:lineRule="auto"/>
        <w:rPr>
          <w:sz w:val="20"/>
          <w:szCs w:val="20"/>
          <w:color w:val="auto"/>
        </w:rPr>
      </w:pPr>
      <w:r>
        <w:rPr>
          <w:rFonts w:ascii="Arial" w:cs="Arial" w:eastAsia="Arial" w:hAnsi="Arial"/>
          <w:sz w:val="17"/>
          <w:szCs w:val="17"/>
          <w:color w:val="auto"/>
        </w:rPr>
        <w:t>Zoom defines a customer as a separate and distinct buying entity, which can be a single paid host or an organization of any size (including a distinct unit of an organization) that has multiple paid hosts.</w:t>
      </w:r>
    </w:p>
    <w:p>
      <w:pPr>
        <w:spacing w:after="0" w:line="56"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Zoom calculates net dollar expansion rate as of a period end by starting with the annual recurring revenue (“ARR”) from all customers with more than 10 employees as of 12 months prior (“Prior Period ARR”). Zoom defines ARR as the annualized revenue run rate of subscription agreements from all customers at a point in time. We then calculate the ARR from these customers as of the current period end (“Current Period ARR”), which includes any upsells, contraction, and attrition. Zoom</w:t>
      </w:r>
    </w:p>
    <w:p>
      <w:pPr>
        <w:sectPr>
          <w:pgSz w:w="11900" w:h="16838" w:orient="portrait"/>
          <w:cols w:equalWidth="0" w:num="1">
            <w:col w:w="11240"/>
          </w:cols>
          <w:pgMar w:left="320" w:top="1064" w:right="339" w:bottom="1440" w:gutter="0" w:footer="0" w:header="0"/>
        </w:sectPr>
      </w:pPr>
    </w:p>
    <w:bookmarkStart w:id="6" w:name="page7"/>
    <w:bookmarkEnd w:id="6"/>
    <w:p>
      <w:pPr>
        <w:spacing w:after="0" w:line="283" w:lineRule="auto"/>
        <w:rPr>
          <w:sz w:val="20"/>
          <w:szCs w:val="20"/>
          <w:color w:val="auto"/>
        </w:rPr>
      </w:pPr>
      <w:r>
        <w:rPr>
          <w:rFonts w:ascii="Arial" w:cs="Arial" w:eastAsia="Arial" w:hAnsi="Arial"/>
          <w:sz w:val="17"/>
          <w:szCs w:val="17"/>
          <w:color w:val="auto"/>
        </w:rPr>
        <w:t>divides the Current Period ARR by the Prior Period ARR to arrive at the net dollar expansion rate. For the trailing 12 months calculation, Zoom takes an average of the net dollar expansion rate over the trailing 12 months.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Press Relations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Colleen Rodriguez</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Global Public Relations Lead for Zoom</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press@zoom.us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Tom McCallum</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Head of Investor Relations for Zoom</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investors@zoom.us</w:t>
      </w:r>
    </w:p>
    <w:p>
      <w:pPr>
        <w:sectPr>
          <w:pgSz w:w="11900" w:h="16838" w:orient="portrait"/>
          <w:cols w:equalWidth="0" w:num="1">
            <w:col w:w="11100"/>
          </w:cols>
          <w:pgMar w:left="320" w:top="967" w:right="47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8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28" w:lineRule="exact"/>
              <w:rPr>
                <w:sz w:val="20"/>
                <w:szCs w:val="20"/>
                <w:color w:val="auto"/>
              </w:rPr>
            </w:pPr>
            <w:r>
              <w:rPr>
                <w:rFonts w:ascii="Arial" w:cs="Arial" w:eastAsia="Arial" w:hAnsi="Arial"/>
                <w:sz w:val="14"/>
                <w:szCs w:val="14"/>
                <w:b w:val="1"/>
                <w:bCs w:val="1"/>
                <w:color w:val="auto"/>
                <w:w w:val="90"/>
              </w:rPr>
              <w:t>October 31,</w:t>
            </w:r>
          </w:p>
        </w:tc>
        <w:tc>
          <w:tcPr>
            <w:tcW w:w="220" w:type="dxa"/>
            <w:vAlign w:val="bottom"/>
          </w:tcPr>
          <w:p>
            <w:pPr>
              <w:spacing w:after="0"/>
              <w:rPr>
                <w:sz w:val="11"/>
                <w:szCs w:val="11"/>
                <w:color w:val="auto"/>
              </w:rPr>
            </w:pPr>
          </w:p>
        </w:tc>
        <w:tc>
          <w:tcPr>
            <w:tcW w:w="1200" w:type="dxa"/>
            <w:vAlign w:val="bottom"/>
          </w:tcPr>
          <w:p>
            <w:pPr>
              <w:jc w:val="right"/>
              <w:ind w:right="275"/>
              <w:spacing w:after="0" w:line="128" w:lineRule="exact"/>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80"/>
        </w:trPr>
        <w:tc>
          <w:tcPr>
            <w:tcW w:w="8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3"/>
              </w:rPr>
              <w:t>2021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w w:val="90"/>
              </w:rPr>
              <w:t>(unaudited)</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1,322,435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2,240,303</w:t>
            </w:r>
          </w:p>
        </w:tc>
        <w:tc>
          <w:tcPr>
            <w:tcW w:w="0" w:type="dxa"/>
            <w:vAlign w:val="bottom"/>
          </w:tcPr>
          <w:p>
            <w:pPr>
              <w:spacing w:after="0"/>
              <w:rPr>
                <w:sz w:val="1"/>
                <w:szCs w:val="1"/>
                <w:color w:val="auto"/>
              </w:rPr>
            </w:pP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Marketable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4,095,520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2,004,410</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377,874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294,703</w:t>
            </w:r>
          </w:p>
        </w:tc>
        <w:tc>
          <w:tcPr>
            <w:tcW w:w="0" w:type="dxa"/>
            <w:vAlign w:val="bottom"/>
          </w:tcPr>
          <w:p>
            <w:pPr>
              <w:spacing w:after="0"/>
              <w:rPr>
                <w:sz w:val="1"/>
                <w:szCs w:val="1"/>
                <w:color w:val="auto"/>
              </w:rPr>
            </w:pP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Deferred contract acquisition costs, 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177,966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136,630</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138,921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116,819</w:t>
            </w:r>
          </w:p>
        </w:tc>
        <w:tc>
          <w:tcPr>
            <w:tcW w:w="0" w:type="dxa"/>
            <w:vAlign w:val="bottom"/>
          </w:tcPr>
          <w:p>
            <w:pPr>
              <w:spacing w:after="0"/>
              <w:rPr>
                <w:sz w:val="1"/>
                <w:szCs w:val="1"/>
                <w:color w:val="auto"/>
              </w:rPr>
            </w:pPr>
          </w:p>
        </w:tc>
      </w:tr>
      <w:tr>
        <w:trPr>
          <w:trHeight w:val="213"/>
        </w:trPr>
        <w:tc>
          <w:tcPr>
            <w:tcW w:w="8280" w:type="dxa"/>
            <w:vAlign w:val="bottom"/>
          </w:tcPr>
          <w:p>
            <w:pPr>
              <w:ind w:left="520"/>
              <w:spacing w:after="0"/>
              <w:rPr>
                <w:sz w:val="20"/>
                <w:szCs w:val="20"/>
                <w:color w:val="auto"/>
              </w:rPr>
            </w:pPr>
            <w:r>
              <w:rPr>
                <w:rFonts w:ascii="Arial" w:cs="Arial" w:eastAsia="Arial" w:hAnsi="Arial"/>
                <w:sz w:val="17"/>
                <w:szCs w:val="17"/>
                <w:color w:val="auto"/>
              </w:rPr>
              <w:t>Total current assets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6,112,716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4,792,865</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contract acquisition costs,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157,262</w:t>
            </w: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212,655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149,924</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97,649</w:t>
            </w: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Strategic investments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299,750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18,668</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24,340</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 noncurrent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83,727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57,285</w:t>
            </w:r>
          </w:p>
        </w:tc>
        <w:tc>
          <w:tcPr>
            <w:tcW w:w="0" w:type="dxa"/>
            <w:vAlign w:val="bottom"/>
          </w:tcPr>
          <w:p>
            <w:pPr>
              <w:spacing w:after="0"/>
              <w:rPr>
                <w:sz w:val="1"/>
                <w:szCs w:val="1"/>
                <w:color w:val="auto"/>
              </w:rPr>
            </w:pPr>
          </w:p>
        </w:tc>
      </w:tr>
      <w:tr>
        <w:trPr>
          <w:trHeight w:val="23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6,978,971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5,297,993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20,064</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8,664</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expenses and other current 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509,874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393,018</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Deferred revenue, current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1,161,442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858,284</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Total current liabilities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1,691,380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1,259,966</w:t>
            </w: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Deferred revenue, noncurrent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24,677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25,211</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90,415</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liabilities, noncurrent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69,910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61,634</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1,865,286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1,437,226</w:t>
            </w:r>
          </w:p>
        </w:tc>
        <w:tc>
          <w:tcPr>
            <w:tcW w:w="0" w:type="dxa"/>
            <w:vAlign w:val="bottom"/>
          </w:tcPr>
          <w:p>
            <w:pPr>
              <w:spacing w:after="0"/>
              <w:rPr>
                <w:sz w:val="1"/>
                <w:szCs w:val="1"/>
                <w:color w:val="auto"/>
              </w:rPr>
            </w:pPr>
          </w:p>
        </w:tc>
      </w:tr>
      <w:tr>
        <w:trPr>
          <w:trHeight w:val="238"/>
        </w:trPr>
        <w:tc>
          <w:tcPr>
            <w:tcW w:w="8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Preferred stock</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stock</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0" w:type="dxa"/>
            <w:vAlign w:val="bottom"/>
          </w:tcPr>
          <w:p>
            <w:pPr>
              <w:spacing w:after="0"/>
              <w:rPr>
                <w:sz w:val="1"/>
                <w:szCs w:val="1"/>
                <w:color w:val="auto"/>
              </w:rPr>
            </w:pP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3,561,050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3,187,168</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(loss)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Retained earnings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1,557,466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672,468</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5,113,685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3,860,767</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6,978,971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5,297,993</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color w:val="auto"/>
        </w:rPr>
        <w:t>Note: The amount of unbilled accounts receivable included within accounts receivable, net on the condensed consolidated balance sheets was $48.6 million and $24.6 million as of October 31, 2021 and January 31, 2021, respectively.</w:t>
      </w:r>
    </w:p>
    <w:p>
      <w:pPr>
        <w:sectPr>
          <w:pgSz w:w="11900" w:h="16838" w:orient="portrait"/>
          <w:cols w:equalWidth="0" w:num="1">
            <w:col w:w="11240"/>
          </w:cols>
          <w:pgMar w:left="320" w:top="85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October 31,</w:t>
            </w:r>
          </w:p>
        </w:tc>
        <w:tc>
          <w:tcPr>
            <w:tcW w:w="320" w:type="dxa"/>
            <w:vAlign w:val="bottom"/>
          </w:tcPr>
          <w:p>
            <w:pPr>
              <w:spacing w:after="0"/>
              <w:rPr>
                <w:sz w:val="16"/>
                <w:szCs w:val="16"/>
                <w:color w:val="auto"/>
              </w:rPr>
            </w:pPr>
          </w:p>
        </w:tc>
        <w:tc>
          <w:tcPr>
            <w:tcW w:w="264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w w:val="98"/>
              </w:rPr>
              <w:t>Nine Months Ended October 31,</w:t>
            </w:r>
          </w:p>
        </w:tc>
      </w:tr>
      <w:tr>
        <w:trPr>
          <w:trHeight w:val="179"/>
        </w:trPr>
        <w:tc>
          <w:tcPr>
            <w:tcW w:w="52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14"/>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1,050,756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777,196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3,028,488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1,768,883</w:t>
            </w:r>
          </w:p>
        </w:tc>
      </w:tr>
      <w:tr>
        <w:trPr>
          <w:trHeight w:val="22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270,957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258,727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797,207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554,705</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779,799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518,469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2,231,281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1,214,178</w:t>
            </w:r>
          </w:p>
        </w:tc>
      </w:tr>
      <w:tr>
        <w:trPr>
          <w:trHeight w:val="200"/>
        </w:trPr>
        <w:tc>
          <w:tcPr>
            <w:tcW w:w="520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0"/>
        </w:trPr>
        <w:tc>
          <w:tcPr>
            <w:tcW w:w="5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Research and development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245,994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111,705</w:t>
            </w:r>
          </w:p>
        </w:tc>
      </w:tr>
      <w:tr>
        <w:trPr>
          <w:trHeight w:val="220"/>
        </w:trPr>
        <w:tc>
          <w:tcPr>
            <w:tcW w:w="5200" w:type="dxa"/>
            <w:vAlign w:val="bottom"/>
          </w:tcPr>
          <w:p>
            <w:pPr>
              <w:ind w:left="220"/>
              <w:spacing w:after="0"/>
              <w:rPr>
                <w:sz w:val="20"/>
                <w:szCs w:val="20"/>
                <w:color w:val="auto"/>
              </w:rPr>
            </w:pPr>
            <w:r>
              <w:rPr>
                <w:rFonts w:ascii="Arial" w:cs="Arial" w:eastAsia="Arial" w:hAnsi="Arial"/>
                <w:sz w:val="17"/>
                <w:szCs w:val="17"/>
                <w:color w:val="auto"/>
              </w:rPr>
              <w:t>Sales and marketing</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293,698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190,157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810,544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470,886</w:t>
            </w:r>
          </w:p>
        </w:tc>
      </w:tr>
      <w:tr>
        <w:trPr>
          <w:trHeight w:val="220"/>
        </w:trPr>
        <w:tc>
          <w:tcPr>
            <w:tcW w:w="5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93,488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362,971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227,856</w:t>
            </w:r>
          </w:p>
        </w:tc>
      </w:tr>
      <w:tr>
        <w:trPr>
          <w:trHeight w:val="213"/>
        </w:trPr>
        <w:tc>
          <w:tcPr>
            <w:tcW w:w="520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488,942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326,227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1,419,509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810,447</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290,857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192,242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811,772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403,731</w:t>
            </w:r>
          </w:p>
        </w:tc>
      </w:tr>
      <w:tr>
        <w:trPr>
          <w:trHeight w:val="220"/>
        </w:trPr>
        <w:tc>
          <w:tcPr>
            <w:tcW w:w="5200" w:type="dxa"/>
            <w:vAlign w:val="bottom"/>
          </w:tcPr>
          <w:p>
            <w:pPr>
              <w:ind w:left="20"/>
              <w:spacing w:after="0"/>
              <w:rPr>
                <w:sz w:val="20"/>
                <w:szCs w:val="20"/>
                <w:color w:val="auto"/>
              </w:rPr>
            </w:pPr>
            <w:r>
              <w:rPr>
                <w:rFonts w:ascii="Arial" w:cs="Arial" w:eastAsia="Arial" w:hAnsi="Arial"/>
                <w:sz w:val="17"/>
                <w:szCs w:val="17"/>
                <w:color w:val="auto"/>
              </w:rPr>
              <w:t>Gains on strategic investments,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122,421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154,497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2,538</w:t>
            </w: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and other,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7,112</w:t>
            </w:r>
          </w:p>
        </w:tc>
      </w:tr>
      <w:tr>
        <w:trPr>
          <w:trHeight w:val="213"/>
        </w:trPr>
        <w:tc>
          <w:tcPr>
            <w:tcW w:w="5200" w:type="dxa"/>
            <w:vAlign w:val="bottom"/>
          </w:tcPr>
          <w:p>
            <w:pPr>
              <w:ind w:left="20"/>
              <w:spacing w:after="0"/>
              <w:rPr>
                <w:sz w:val="20"/>
                <w:szCs w:val="20"/>
                <w:color w:val="auto"/>
              </w:rPr>
            </w:pPr>
            <w:r>
              <w:rPr>
                <w:rFonts w:ascii="Arial" w:cs="Arial" w:eastAsia="Arial" w:hAnsi="Arial"/>
                <w:sz w:val="17"/>
                <w:szCs w:val="17"/>
                <w:color w:val="auto"/>
              </w:rPr>
              <w:t>Income before provision for (benefit from) income taxes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410,283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194,021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963,098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413,381</w:t>
            </w: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(benefit from)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69,900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78,100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1,675</w:t>
            </w:r>
          </w:p>
        </w:tc>
      </w:tr>
      <w:tr>
        <w:trPr>
          <w:trHeight w:val="213"/>
        </w:trPr>
        <w:tc>
          <w:tcPr>
            <w:tcW w:w="520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340,383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198,642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884,998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411,706</w:t>
            </w: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Undistributed earnings attributable to participating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w:t>
            </w:r>
          </w:p>
        </w:tc>
      </w:tr>
      <w:tr>
        <w:trPr>
          <w:trHeight w:val="213"/>
        </w:trPr>
        <w:tc>
          <w:tcPr>
            <w:tcW w:w="5200" w:type="dxa"/>
            <w:vAlign w:val="bottom"/>
          </w:tcPr>
          <w:p>
            <w:pPr>
              <w:ind w:left="20"/>
              <w:spacing w:after="0"/>
              <w:rPr>
                <w:sz w:val="20"/>
                <w:szCs w:val="20"/>
                <w:color w:val="auto"/>
              </w:rPr>
            </w:pPr>
            <w:r>
              <w:rPr>
                <w:rFonts w:ascii="Arial" w:cs="Arial" w:eastAsia="Arial" w:hAnsi="Arial"/>
                <w:sz w:val="17"/>
                <w:szCs w:val="17"/>
                <w:color w:val="auto"/>
              </w:rPr>
              <w:t>Net income attributable to common stockholders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340,271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198,440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884,568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411,175</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5200" w:type="dxa"/>
            <w:vAlign w:val="bottom"/>
          </w:tcPr>
          <w:p>
            <w:pPr>
              <w:ind w:left="20"/>
              <w:spacing w:after="0"/>
              <w:rPr>
                <w:sz w:val="20"/>
                <w:szCs w:val="20"/>
                <w:color w:val="auto"/>
              </w:rPr>
            </w:pPr>
            <w:r>
              <w:rPr>
                <w:rFonts w:ascii="Arial" w:cs="Arial" w:eastAsia="Arial" w:hAnsi="Arial"/>
                <w:sz w:val="17"/>
                <w:szCs w:val="17"/>
                <w:color w:val="auto"/>
              </w:rPr>
              <w:t>Net income per share attributable to common stockholders: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200" w:type="dxa"/>
            <w:vAlign w:val="bottom"/>
          </w:tcPr>
          <w:p>
            <w:pPr>
              <w:ind w:left="20"/>
              <w:spacing w:after="0" w:line="191" w:lineRule="exact"/>
              <w:rPr>
                <w:sz w:val="20"/>
                <w:szCs w:val="20"/>
                <w:color w:val="auto"/>
              </w:rPr>
            </w:pPr>
            <w:r>
              <w:rPr>
                <w:rFonts w:ascii="Arial" w:cs="Arial" w:eastAsia="Arial" w:hAnsi="Arial"/>
                <w:sz w:val="17"/>
                <w:szCs w:val="17"/>
                <w:color w:val="auto"/>
              </w:rPr>
              <w:t>Diluted</w:t>
            </w:r>
          </w:p>
        </w:tc>
        <w:tc>
          <w:tcPr>
            <w:tcW w:w="300" w:type="dxa"/>
            <w:vAlign w:val="bottom"/>
            <w:tcBorders>
              <w:bottom w:val="single" w:sz="8" w:color="auto"/>
            </w:tcBorders>
          </w:tcPr>
          <w:p>
            <w:pPr>
              <w:jc w:val="right"/>
              <w:ind w:right="114"/>
              <w:spacing w:after="0" w:line="191"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1.11</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0.66</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34"/>
              <w:spacing w:after="0" w:line="191" w:lineRule="exact"/>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2.89</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035" cy="246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24638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p>
      <w:pPr>
        <w:spacing w:after="0" w:line="13" w:lineRule="exact"/>
        <w:rPr>
          <w:sz w:val="20"/>
          <w:szCs w:val="20"/>
          <w:color w:val="auto"/>
        </w:rPr>
      </w:pPr>
    </w:p>
    <w:p>
      <w:pPr>
        <w:ind w:left="20" w:right="440"/>
        <w:spacing w:after="0" w:line="237" w:lineRule="auto"/>
        <w:rPr>
          <w:sz w:val="20"/>
          <w:szCs w:val="20"/>
          <w:color w:val="auto"/>
        </w:rPr>
      </w:pPr>
      <w:r>
        <w:rPr>
          <w:rFonts w:ascii="Arial" w:cs="Arial" w:eastAsia="Arial" w:hAnsi="Arial"/>
          <w:sz w:val="17"/>
          <w:szCs w:val="17"/>
          <w:color w:val="auto"/>
        </w:rPr>
        <w:t>Weighted-average shares used in computing net income per share attributable to common stockholders: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Basic</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Diluted</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tabs>
          <w:tab w:leader="none" w:pos="1520" w:val="left"/>
          <w:tab w:leader="none" w:pos="3060" w:val="left"/>
          <w:tab w:leader="none" w:pos="4600" w:val="left"/>
        </w:tabs>
        <w:rPr>
          <w:sz w:val="20"/>
          <w:szCs w:val="20"/>
          <w:color w:val="auto"/>
        </w:rPr>
      </w:pPr>
      <w:r>
        <w:rPr>
          <w:rFonts w:ascii="Arial" w:cs="Arial" w:eastAsia="Arial" w:hAnsi="Arial"/>
          <w:sz w:val="17"/>
          <w:szCs w:val="17"/>
          <w:color w:val="auto"/>
        </w:rPr>
        <w:t>297,375,011</w:t>
      </w:r>
      <w:r>
        <w:rPr>
          <w:sz w:val="20"/>
          <w:szCs w:val="20"/>
          <w:color w:val="auto"/>
        </w:rPr>
        <w:tab/>
      </w:r>
      <w:r>
        <w:rPr>
          <w:rFonts w:ascii="Arial" w:cs="Arial" w:eastAsia="Arial" w:hAnsi="Arial"/>
          <w:sz w:val="17"/>
          <w:szCs w:val="17"/>
          <w:color w:val="auto"/>
        </w:rPr>
        <w:t>284,783,006</w:t>
      </w:r>
      <w:r>
        <w:rPr>
          <w:sz w:val="20"/>
          <w:szCs w:val="20"/>
          <w:color w:val="auto"/>
        </w:rPr>
        <w:tab/>
      </w:r>
      <w:r>
        <w:rPr>
          <w:rFonts w:ascii="Arial" w:cs="Arial" w:eastAsia="Arial" w:hAnsi="Arial"/>
          <w:sz w:val="17"/>
          <w:szCs w:val="17"/>
          <w:color w:val="auto"/>
        </w:rPr>
        <w:t>295,647,626</w:t>
      </w:r>
      <w:r>
        <w:rPr>
          <w:sz w:val="20"/>
          <w:szCs w:val="20"/>
          <w:color w:val="auto"/>
        </w:rPr>
        <w:tab/>
      </w:r>
      <w:r>
        <w:rPr>
          <w:rFonts w:ascii="Arial" w:cs="Arial" w:eastAsia="Arial" w:hAnsi="Arial"/>
          <w:sz w:val="15"/>
          <w:szCs w:val="15"/>
          <w:color w:val="auto"/>
        </w:rPr>
        <w:t>282,564,481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15240</wp:posOffset>
            </wp:positionV>
            <wp:extent cx="7138035"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188595"/>
                    </a:xfrm>
                    <a:prstGeom prst="rect">
                      <a:avLst/>
                    </a:prstGeom>
                    <a:noFill/>
                  </pic:spPr>
                </pic:pic>
              </a:graphicData>
            </a:graphic>
          </wp:anchor>
        </w:drawing>
      </w:r>
    </w:p>
    <w:p>
      <w:pPr>
        <w:spacing w:after="0" w:line="56" w:lineRule="exact"/>
        <w:rPr>
          <w:sz w:val="20"/>
          <w:szCs w:val="20"/>
          <w:color w:val="auto"/>
        </w:rPr>
      </w:pPr>
    </w:p>
    <w:p>
      <w:pPr>
        <w:spacing w:after="0"/>
        <w:tabs>
          <w:tab w:leader="none" w:pos="1520" w:val="left"/>
          <w:tab w:leader="none" w:pos="3060" w:val="left"/>
          <w:tab w:leader="none" w:pos="4600" w:val="left"/>
        </w:tabs>
        <w:rPr>
          <w:sz w:val="20"/>
          <w:szCs w:val="20"/>
          <w:color w:val="auto"/>
        </w:rPr>
      </w:pPr>
      <w:r>
        <w:rPr>
          <w:rFonts w:ascii="Arial" w:cs="Arial" w:eastAsia="Arial" w:hAnsi="Arial"/>
          <w:sz w:val="17"/>
          <w:szCs w:val="17"/>
          <w:color w:val="auto"/>
        </w:rPr>
        <w:t>305,939,624</w:t>
      </w:r>
      <w:r>
        <w:rPr>
          <w:sz w:val="20"/>
          <w:szCs w:val="20"/>
          <w:color w:val="auto"/>
        </w:rPr>
        <w:tab/>
      </w:r>
      <w:r>
        <w:rPr>
          <w:rFonts w:ascii="Arial" w:cs="Arial" w:eastAsia="Arial" w:hAnsi="Arial"/>
          <w:sz w:val="17"/>
          <w:szCs w:val="17"/>
          <w:color w:val="auto"/>
        </w:rPr>
        <w:t>299,258,765</w:t>
      </w:r>
      <w:r>
        <w:rPr>
          <w:sz w:val="20"/>
          <w:szCs w:val="20"/>
          <w:color w:val="auto"/>
        </w:rPr>
        <w:tab/>
      </w:r>
      <w:r>
        <w:rPr>
          <w:rFonts w:ascii="Arial" w:cs="Arial" w:eastAsia="Arial" w:hAnsi="Arial"/>
          <w:sz w:val="17"/>
          <w:szCs w:val="17"/>
          <w:color w:val="auto"/>
        </w:rPr>
        <w:t>305,726,733</w:t>
      </w:r>
      <w:r>
        <w:rPr>
          <w:sz w:val="20"/>
          <w:szCs w:val="20"/>
          <w:color w:val="auto"/>
        </w:rPr>
        <w:tab/>
      </w:r>
      <w:r>
        <w:rPr>
          <w:rFonts w:ascii="Arial" w:cs="Arial" w:eastAsia="Arial" w:hAnsi="Arial"/>
          <w:sz w:val="15"/>
          <w:szCs w:val="15"/>
          <w:color w:val="auto"/>
        </w:rPr>
        <w:t>297,605,941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39370</wp:posOffset>
            </wp:positionV>
            <wp:extent cx="3839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39845" cy="8255"/>
                    </a:xfrm>
                    <a:prstGeom prst="rect">
                      <a:avLst/>
                    </a:prstGeom>
                    <a:noFill/>
                  </pic:spPr>
                </pic:pic>
              </a:graphicData>
            </a:graphic>
          </wp:anchor>
        </w:drawing>
      </w:r>
    </w:p>
    <w:p>
      <w:pPr>
        <w:sectPr>
          <w:pgSz w:w="11900" w:h="16838" w:orient="portrait"/>
          <w:cols w:equalWidth="0" w:num="2">
            <w:col w:w="4980" w:space="720"/>
            <w:col w:w="5540"/>
          </w:cols>
          <w:pgMar w:left="320" w:top="858"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October 31,</w:t>
            </w:r>
          </w:p>
        </w:tc>
        <w:tc>
          <w:tcPr>
            <w:tcW w:w="320" w:type="dxa"/>
            <w:vAlign w:val="bottom"/>
          </w:tcPr>
          <w:p>
            <w:pPr>
              <w:spacing w:after="0"/>
              <w:rPr>
                <w:sz w:val="16"/>
                <w:szCs w:val="16"/>
                <w:color w:val="auto"/>
              </w:rPr>
            </w:pPr>
          </w:p>
        </w:tc>
        <w:tc>
          <w:tcPr>
            <w:tcW w:w="2700" w:type="dxa"/>
            <w:vAlign w:val="bottom"/>
            <w:gridSpan w:val="4"/>
          </w:tcPr>
          <w:p>
            <w:pPr>
              <w:jc w:val="right"/>
              <w:ind w:right="483"/>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179"/>
        </w:trPr>
        <w:tc>
          <w:tcPr>
            <w:tcW w:w="5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8"/>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340,383</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198,642</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884,998</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411,706</w:t>
            </w: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Adjustments to reconcile net income to net cash provided by operating</w:t>
            </w: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activities: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114,801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93,925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315,912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179,557</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contract acquisition costs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46,299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71,281</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Gains on strategic investments, net</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(122,421)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(154,497)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(2,538)</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Charitable donation of common stock</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23,312</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Provision for accounts receivable allowances</w:t>
            </w:r>
          </w:p>
        </w:tc>
        <w:tc>
          <w:tcPr>
            <w:tcW w:w="3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8,890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5,259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23,482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20,218</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12,584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19,401</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Non-cash operating lease cost</w:t>
            </w:r>
          </w:p>
        </w:tc>
        <w:tc>
          <w:tcPr>
            <w:tcW w:w="3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4,498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2,585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7,182</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on marketable securities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6,909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1,863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44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8,718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(108,541)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(190,117)</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(48,258)</w:t>
            </w:r>
          </w:p>
        </w:tc>
        <w:tc>
          <w:tcPr>
            <w:tcW w:w="0" w:type="dxa"/>
            <w:vAlign w:val="bottom"/>
          </w:tcPr>
          <w:p>
            <w:pPr>
              <w:spacing w:after="0"/>
              <w:rPr>
                <w:sz w:val="1"/>
                <w:szCs w:val="1"/>
                <w:color w:val="auto"/>
              </w:rPr>
            </w:pPr>
          </w:p>
        </w:tc>
      </w:tr>
      <w:tr>
        <w:trPr>
          <w:trHeight w:val="204"/>
        </w:trPr>
        <w:tc>
          <w:tcPr>
            <w:tcW w:w="5100" w:type="dxa"/>
            <w:vAlign w:val="bottom"/>
          </w:tcPr>
          <w:p>
            <w:pPr>
              <w:ind w:left="440"/>
              <w:spacing w:after="0"/>
              <w:rPr>
                <w:sz w:val="20"/>
                <w:szCs w:val="20"/>
                <w:color w:val="auto"/>
              </w:rPr>
            </w:pPr>
            <w:r>
              <w:rPr>
                <w:rFonts w:ascii="Arial" w:cs="Arial" w:eastAsia="Arial" w:hAnsi="Arial"/>
                <w:sz w:val="16"/>
                <w:szCs w:val="16"/>
                <w:color w:val="auto"/>
              </w:rPr>
              <w:t>Deferred contract acquisition costs</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(62,708)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(52,504)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(165,305)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(266,294)</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8,773</w:t>
            </w:r>
          </w:p>
        </w:tc>
        <w:tc>
          <w:tcPr>
            <w:tcW w:w="0" w:type="dxa"/>
            <w:vAlign w:val="bottom"/>
          </w:tcPr>
          <w:p>
            <w:pPr>
              <w:spacing w:after="0"/>
              <w:rPr>
                <w:sz w:val="1"/>
                <w:szCs w:val="1"/>
                <w:color w:val="auto"/>
              </w:rPr>
            </w:pPr>
          </w:p>
        </w:tc>
      </w:tr>
      <w:tr>
        <w:trPr>
          <w:trHeight w:val="204"/>
        </w:trPr>
        <w:tc>
          <w:tcPr>
            <w:tcW w:w="5100" w:type="dxa"/>
            <w:vAlign w:val="bottom"/>
          </w:tcPr>
          <w:p>
            <w:pPr>
              <w:ind w:left="440"/>
              <w:spacing w:after="0"/>
              <w:rPr>
                <w:sz w:val="20"/>
                <w:szCs w:val="20"/>
                <w:color w:val="auto"/>
              </w:rPr>
            </w:pPr>
            <w:r>
              <w:rPr>
                <w:rFonts w:ascii="Arial" w:cs="Arial" w:eastAsia="Arial" w:hAnsi="Arial"/>
                <w:sz w:val="16"/>
                <w:szCs w:val="16"/>
                <w:color w:val="auto"/>
              </w:rPr>
              <w:t>Accrued expenses and other liabilities</w:t>
            </w:r>
          </w:p>
        </w:tc>
        <w:tc>
          <w:tcPr>
            <w:tcW w:w="3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78,105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1,853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171,914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203,919</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Deferred revenue</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7,877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304,513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633,600</w:t>
            </w:r>
          </w:p>
        </w:tc>
        <w:tc>
          <w:tcPr>
            <w:tcW w:w="0" w:type="dxa"/>
            <w:vAlign w:val="bottom"/>
          </w:tcPr>
          <w:p>
            <w:pPr>
              <w:spacing w:after="0"/>
              <w:rPr>
                <w:sz w:val="1"/>
                <w:szCs w:val="1"/>
                <w:color w:val="auto"/>
              </w:rPr>
            </w:pPr>
          </w:p>
        </w:tc>
      </w:tr>
      <w:tr>
        <w:trPr>
          <w:trHeight w:val="204"/>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Operating lease liabilities, net</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(3,678)</w:t>
            </w: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394,556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411,470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1,395,870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1,071,781</w:t>
            </w:r>
          </w:p>
        </w:tc>
        <w:tc>
          <w:tcPr>
            <w:tcW w:w="0" w:type="dxa"/>
            <w:vAlign w:val="bottom"/>
          </w:tcPr>
          <w:p>
            <w:pPr>
              <w:spacing w:after="0"/>
              <w:rPr>
                <w:sz w:val="1"/>
                <w:szCs w:val="1"/>
                <w:color w:val="auto"/>
              </w:rPr>
            </w:pPr>
          </w:p>
        </w:tc>
      </w:tr>
      <w:tr>
        <w:trPr>
          <w:trHeight w:val="204"/>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marketable securities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(1,351,726)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(531,227)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(3,446,313)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(1,016,109)</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Maturities of marketable securities</w:t>
            </w:r>
          </w:p>
        </w:tc>
        <w:tc>
          <w:tcPr>
            <w:tcW w:w="3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255,639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119,269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1,047,545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406,607</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of marketable securities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162,013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36,897</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(19,767)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(23,264)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(111,816)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(58,517)</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strategic investments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Cash paid for acquisition, net of cash acquired</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(26,486)</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intangible assets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(4,385)</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1,616</w:t>
            </w:r>
          </w:p>
        </w:tc>
        <w:tc>
          <w:tcPr>
            <w:tcW w:w="0" w:type="dxa"/>
            <w:vAlign w:val="bottom"/>
          </w:tcPr>
          <w:p>
            <w:pPr>
              <w:spacing w:after="0"/>
              <w:rPr>
                <w:sz w:val="1"/>
                <w:szCs w:val="1"/>
                <w:color w:val="auto"/>
              </w:rPr>
            </w:pPr>
          </w:p>
        </w:tc>
      </w:tr>
      <w:tr>
        <w:trPr>
          <w:trHeight w:val="202"/>
        </w:trPr>
        <w:tc>
          <w:tcPr>
            <w:tcW w:w="5100" w:type="dxa"/>
            <w:vAlign w:val="bottom"/>
            <w:tcBorders>
              <w:top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(1,002,916)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(437,816)</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(2,367,098)</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(673,377)</w:t>
            </w:r>
          </w:p>
        </w:tc>
        <w:tc>
          <w:tcPr>
            <w:tcW w:w="0" w:type="dxa"/>
            <w:vAlign w:val="bottom"/>
          </w:tcPr>
          <w:p>
            <w:pPr>
              <w:spacing w:after="0"/>
              <w:rPr>
                <w:sz w:val="1"/>
                <w:szCs w:val="1"/>
                <w:color w:val="auto"/>
              </w:rPr>
            </w:pPr>
          </w:p>
        </w:tc>
      </w:tr>
      <w:tr>
        <w:trPr>
          <w:trHeight w:val="204"/>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9"/>
              </w:rPr>
              <w:t>Proceeds from issuance of common stock for employee stock purchase plan</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20,760</w:t>
            </w:r>
          </w:p>
        </w:tc>
        <w:tc>
          <w:tcPr>
            <w:tcW w:w="0" w:type="dxa"/>
            <w:vAlign w:val="bottom"/>
          </w:tcPr>
          <w:p>
            <w:pPr>
              <w:spacing w:after="0"/>
              <w:rPr>
                <w:sz w:val="1"/>
                <w:szCs w:val="1"/>
                <w:color w:val="auto"/>
              </w:rPr>
            </w:pPr>
          </w:p>
        </w:tc>
      </w:tr>
      <w:tr>
        <w:trPr>
          <w:trHeight w:val="160"/>
        </w:trPr>
        <w:tc>
          <w:tcPr>
            <w:tcW w:w="5100" w:type="dxa"/>
            <w:vAlign w:val="bottom"/>
          </w:tcPr>
          <w:p>
            <w:pPr>
              <w:ind w:left="220"/>
              <w:spacing w:after="0" w:line="160" w:lineRule="exact"/>
              <w:rPr>
                <w:sz w:val="20"/>
                <w:szCs w:val="20"/>
                <w:color w:val="auto"/>
              </w:rPr>
            </w:pPr>
            <w:r>
              <w:rPr>
                <w:rFonts w:ascii="Arial" w:cs="Arial" w:eastAsia="Arial" w:hAnsi="Arial"/>
                <w:sz w:val="16"/>
                <w:szCs w:val="16"/>
                <w:color w:val="auto"/>
                <w:w w:val="95"/>
              </w:rPr>
              <w:t>Proceeds from employee equity transactions (remitted) to be remitted to</w:t>
            </w:r>
          </w:p>
        </w:tc>
        <w:tc>
          <w:tcPr>
            <w:tcW w:w="30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(47,242)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17,176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(28,342)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251,641</w:t>
            </w:r>
          </w:p>
        </w:tc>
        <w:tc>
          <w:tcPr>
            <w:tcW w:w="0" w:type="dxa"/>
            <w:vAlign w:val="bottom"/>
          </w:tcPr>
          <w:p>
            <w:pPr>
              <w:spacing w:after="0"/>
              <w:rPr>
                <w:sz w:val="1"/>
                <w:szCs w:val="1"/>
                <w:color w:val="auto"/>
              </w:rPr>
            </w:pPr>
          </w:p>
        </w:tc>
      </w:tr>
      <w:tr>
        <w:trPr>
          <w:trHeight w:val="199"/>
        </w:trPr>
        <w:tc>
          <w:tcPr>
            <w:tcW w:w="5100" w:type="dxa"/>
            <w:vAlign w:val="bottom"/>
          </w:tcPr>
          <w:p>
            <w:pPr>
              <w:ind w:left="220"/>
              <w:spacing w:after="0"/>
              <w:rPr>
                <w:sz w:val="20"/>
                <w:szCs w:val="20"/>
                <w:color w:val="auto"/>
              </w:rPr>
            </w:pPr>
            <w:r>
              <w:rPr>
                <w:rFonts w:ascii="Arial" w:cs="Arial" w:eastAsia="Arial" w:hAnsi="Arial"/>
                <w:sz w:val="16"/>
                <w:szCs w:val="16"/>
                <w:color w:val="auto"/>
              </w:rPr>
              <w:t>employees and tax authorities, net</w:t>
            </w:r>
          </w:p>
        </w:tc>
        <w:tc>
          <w:tcPr>
            <w:tcW w:w="3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23,841</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100" w:type="dxa"/>
            <w:vAlign w:val="bottom"/>
            <w:tcBorders>
              <w:top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(44,219)</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23,600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20,885</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296,242</w:t>
            </w:r>
          </w:p>
        </w:tc>
        <w:tc>
          <w:tcPr>
            <w:tcW w:w="0" w:type="dxa"/>
            <w:vAlign w:val="bottom"/>
          </w:tcPr>
          <w:p>
            <w:pPr>
              <w:spacing w:after="0"/>
              <w:rPr>
                <w:sz w:val="1"/>
                <w:szCs w:val="1"/>
                <w:color w:val="auto"/>
              </w:rPr>
            </w:pPr>
          </w:p>
        </w:tc>
      </w:tr>
      <w:tr>
        <w:trPr>
          <w:trHeight w:val="197"/>
        </w:trPr>
        <w:tc>
          <w:tcPr>
            <w:tcW w:w="5100" w:type="dxa"/>
            <w:vAlign w:val="bottom"/>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(652,579)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(950,343)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694,646</w:t>
            </w:r>
          </w:p>
        </w:tc>
        <w:tc>
          <w:tcPr>
            <w:tcW w:w="0" w:type="dxa"/>
            <w:vAlign w:val="bottom"/>
          </w:tcPr>
          <w:p>
            <w:pPr>
              <w:spacing w:after="0"/>
              <w:rPr>
                <w:sz w:val="1"/>
                <w:szCs w:val="1"/>
                <w:color w:val="auto"/>
              </w:rPr>
            </w:pPr>
          </w:p>
        </w:tc>
      </w:tr>
      <w:tr>
        <w:trPr>
          <w:trHeight w:val="20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1,995,352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1,031,474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2,293,116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334,082</w:t>
            </w:r>
          </w:p>
        </w:tc>
        <w:tc>
          <w:tcPr>
            <w:tcW w:w="0" w:type="dxa"/>
            <w:vAlign w:val="bottom"/>
          </w:tcPr>
          <w:p>
            <w:pPr>
              <w:spacing w:after="0"/>
              <w:rPr>
                <w:sz w:val="1"/>
                <w:szCs w:val="1"/>
                <w:color w:val="auto"/>
              </w:rPr>
            </w:pPr>
          </w:p>
        </w:tc>
      </w:tr>
      <w:tr>
        <w:trPr>
          <w:trHeight w:val="202"/>
        </w:trPr>
        <w:tc>
          <w:tcPr>
            <w:tcW w:w="51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1,342,773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1,028,728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1,342,773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1,028,728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61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GAAP to Non-GAAP Measures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October 31,</w:t>
            </w:r>
          </w:p>
        </w:tc>
        <w:tc>
          <w:tcPr>
            <w:tcW w:w="280" w:type="dxa"/>
            <w:vAlign w:val="bottom"/>
          </w:tcPr>
          <w:p>
            <w:pPr>
              <w:spacing w:after="0"/>
              <w:rPr>
                <w:sz w:val="16"/>
                <w:szCs w:val="16"/>
                <w:color w:val="auto"/>
              </w:rPr>
            </w:pPr>
          </w:p>
        </w:tc>
        <w:tc>
          <w:tcPr>
            <w:tcW w:w="262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w w:val="99"/>
              </w:rPr>
              <w:t>Nine Months Ended October 31,</w:t>
            </w:r>
          </w:p>
        </w:tc>
        <w:tc>
          <w:tcPr>
            <w:tcW w:w="0" w:type="dxa"/>
            <w:vAlign w:val="bottom"/>
          </w:tcPr>
          <w:p>
            <w:pPr>
              <w:spacing w:after="0"/>
              <w:rPr>
                <w:sz w:val="1"/>
                <w:szCs w:val="1"/>
                <w:color w:val="auto"/>
              </w:rPr>
            </w:pPr>
          </w:p>
        </w:tc>
      </w:tr>
      <w:tr>
        <w:trPr>
          <w:trHeight w:val="179"/>
        </w:trPr>
        <w:tc>
          <w:tcPr>
            <w:tcW w:w="53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4"/>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income from operations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290,857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192,242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811,772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403,731</w:t>
            </w:r>
          </w:p>
        </w:tc>
        <w:tc>
          <w:tcPr>
            <w:tcW w:w="0" w:type="dxa"/>
            <w:vAlign w:val="bottom"/>
          </w:tcPr>
          <w:p>
            <w:pPr>
              <w:spacing w:after="0"/>
              <w:rPr>
                <w:sz w:val="1"/>
                <w:szCs w:val="1"/>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7"/>
                <w:szCs w:val="17"/>
                <w:color w:val="auto"/>
              </w:rPr>
              <w:t>Adjustments: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 expense and related payroll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118,708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339,825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188,979</w:t>
            </w:r>
          </w:p>
        </w:tc>
        <w:tc>
          <w:tcPr>
            <w:tcW w:w="0" w:type="dxa"/>
            <w:vAlign w:val="bottom"/>
          </w:tcPr>
          <w:p>
            <w:pPr>
              <w:spacing w:after="0"/>
              <w:rPr>
                <w:sz w:val="1"/>
                <w:szCs w:val="1"/>
                <w:color w:val="auto"/>
              </w:rPr>
            </w:pPr>
          </w:p>
        </w:tc>
      </w:tr>
      <w:tr>
        <w:trPr>
          <w:trHeight w:val="220"/>
        </w:trPr>
        <w:tc>
          <w:tcPr>
            <w:tcW w:w="5320" w:type="dxa"/>
            <w:vAlign w:val="bottom"/>
          </w:tcPr>
          <w:p>
            <w:pPr>
              <w:ind w:left="220"/>
              <w:spacing w:after="0"/>
              <w:rPr>
                <w:sz w:val="20"/>
                <w:szCs w:val="20"/>
                <w:color w:val="auto"/>
              </w:rPr>
            </w:pPr>
            <w:r>
              <w:rPr>
                <w:rFonts w:ascii="Arial" w:cs="Arial" w:eastAsia="Arial" w:hAnsi="Arial"/>
                <w:sz w:val="17"/>
                <w:szCs w:val="17"/>
                <w:color w:val="auto"/>
              </w:rPr>
              <w:t>Litigation settlements, net</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66,916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Acquisition-related expenses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6,340</w:t>
            </w:r>
          </w:p>
        </w:tc>
        <w:tc>
          <w:tcPr>
            <w:tcW w:w="0" w:type="dxa"/>
            <w:vAlign w:val="bottom"/>
          </w:tcPr>
          <w:p>
            <w:pPr>
              <w:spacing w:after="0"/>
              <w:rPr>
                <w:sz w:val="1"/>
                <w:szCs w:val="1"/>
                <w:color w:val="auto"/>
              </w:rPr>
            </w:pPr>
          </w:p>
        </w:tc>
      </w:tr>
      <w:tr>
        <w:trPr>
          <w:trHeight w:val="220"/>
        </w:trPr>
        <w:tc>
          <w:tcPr>
            <w:tcW w:w="5320" w:type="dxa"/>
            <w:vAlign w:val="bottom"/>
          </w:tcPr>
          <w:p>
            <w:pPr>
              <w:ind w:left="220"/>
              <w:spacing w:after="0"/>
              <w:rPr>
                <w:sz w:val="20"/>
                <w:szCs w:val="20"/>
                <w:color w:val="auto"/>
              </w:rPr>
            </w:pPr>
            <w:r>
              <w:rPr>
                <w:rFonts w:ascii="Arial" w:cs="Arial" w:eastAsia="Arial" w:hAnsi="Arial"/>
                <w:sz w:val="17"/>
                <w:szCs w:val="17"/>
                <w:color w:val="auto"/>
              </w:rPr>
              <w:t>Charitable donation of common stock</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23,312</w:t>
            </w:r>
          </w:p>
        </w:tc>
        <w:tc>
          <w:tcPr>
            <w:tcW w:w="0" w:type="dxa"/>
            <w:vAlign w:val="bottom"/>
          </w:tcPr>
          <w:p>
            <w:pPr>
              <w:spacing w:after="0"/>
              <w:rPr>
                <w:sz w:val="1"/>
                <w:szCs w:val="1"/>
                <w:color w:val="auto"/>
              </w:rPr>
            </w:pPr>
          </w:p>
        </w:tc>
      </w:tr>
      <w:tr>
        <w:trPr>
          <w:trHeight w:val="23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Non-GAAP income from operations</w:t>
            </w: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411,278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290,771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1,236,830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622,362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net income attributable to common stockholders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340,271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198,440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884,568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411,175</w:t>
            </w:r>
          </w:p>
        </w:tc>
        <w:tc>
          <w:tcPr>
            <w:tcW w:w="0" w:type="dxa"/>
            <w:vAlign w:val="bottom"/>
          </w:tcPr>
          <w:p>
            <w:pPr>
              <w:spacing w:after="0"/>
              <w:rPr>
                <w:sz w:val="1"/>
                <w:szCs w:val="1"/>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7"/>
                <w:szCs w:val="17"/>
                <w:color w:val="auto"/>
              </w:rPr>
              <w:t>Adjustments: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 expense and related payroll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118,708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339,825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188,979</w:t>
            </w:r>
          </w:p>
        </w:tc>
        <w:tc>
          <w:tcPr>
            <w:tcW w:w="0" w:type="dxa"/>
            <w:vAlign w:val="bottom"/>
          </w:tcPr>
          <w:p>
            <w:pPr>
              <w:spacing w:after="0"/>
              <w:rPr>
                <w:sz w:val="1"/>
                <w:szCs w:val="1"/>
                <w:color w:val="auto"/>
              </w:rPr>
            </w:pPr>
          </w:p>
        </w:tc>
      </w:tr>
      <w:tr>
        <w:trPr>
          <w:trHeight w:val="220"/>
        </w:trPr>
        <w:tc>
          <w:tcPr>
            <w:tcW w:w="5320" w:type="dxa"/>
            <w:vAlign w:val="bottom"/>
          </w:tcPr>
          <w:p>
            <w:pPr>
              <w:ind w:left="220"/>
              <w:spacing w:after="0"/>
              <w:rPr>
                <w:sz w:val="20"/>
                <w:szCs w:val="20"/>
                <w:color w:val="auto"/>
              </w:rPr>
            </w:pPr>
            <w:r>
              <w:rPr>
                <w:rFonts w:ascii="Arial" w:cs="Arial" w:eastAsia="Arial" w:hAnsi="Arial"/>
                <w:sz w:val="17"/>
                <w:szCs w:val="17"/>
                <w:color w:val="auto"/>
              </w:rPr>
              <w:t>Litigation settlements, net</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66,916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Gains on strategic investments,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(122,421)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(154,497)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320" w:type="dxa"/>
            <w:vAlign w:val="bottom"/>
          </w:tcPr>
          <w:p>
            <w:pPr>
              <w:ind w:left="220"/>
              <w:spacing w:after="0"/>
              <w:rPr>
                <w:sz w:val="20"/>
                <w:szCs w:val="20"/>
                <w:color w:val="auto"/>
              </w:rPr>
            </w:pPr>
            <w:r>
              <w:rPr>
                <w:rFonts w:ascii="Arial" w:cs="Arial" w:eastAsia="Arial" w:hAnsi="Arial"/>
                <w:sz w:val="17"/>
                <w:szCs w:val="17"/>
                <w:color w:val="auto"/>
              </w:rPr>
              <w:t>Acquisition-related expenses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18,317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6,340</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Charitable donation of common stock</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23,312</w:t>
            </w:r>
          </w:p>
        </w:tc>
        <w:tc>
          <w:tcPr>
            <w:tcW w:w="0" w:type="dxa"/>
            <w:vAlign w:val="bottom"/>
          </w:tcPr>
          <w:p>
            <w:pPr>
              <w:spacing w:after="0"/>
              <w:rPr>
                <w:sz w:val="1"/>
                <w:szCs w:val="1"/>
                <w:color w:val="auto"/>
              </w:rPr>
            </w:pPr>
          </w:p>
        </w:tc>
      </w:tr>
      <w:tr>
        <w:trPr>
          <w:trHeight w:val="220"/>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Undistributed earnings attributable to participating securities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w:t>
            </w:r>
          </w:p>
        </w:tc>
        <w:tc>
          <w:tcPr>
            <w:tcW w:w="0" w:type="dxa"/>
            <w:vAlign w:val="bottom"/>
          </w:tcPr>
          <w:p>
            <w:pPr>
              <w:spacing w:after="0"/>
              <w:rPr>
                <w:sz w:val="1"/>
                <w:szCs w:val="1"/>
                <w:color w:val="auto"/>
              </w:rPr>
            </w:pPr>
          </w:p>
        </w:tc>
      </w:tr>
      <w:tr>
        <w:trPr>
          <w:trHeight w:val="23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Non-GAAP net income</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338,383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297,171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1,155,559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630,337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per share - basic and diluted:</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20" w:type="dxa"/>
            <w:vAlign w:val="bottom"/>
          </w:tcPr>
          <w:p>
            <w:pPr>
              <w:ind w:left="220"/>
              <w:spacing w:after="0"/>
              <w:rPr>
                <w:sz w:val="20"/>
                <w:szCs w:val="20"/>
                <w:color w:val="auto"/>
              </w:rPr>
            </w:pPr>
            <w:r>
              <w:rPr>
                <w:rFonts w:ascii="Arial" w:cs="Arial" w:eastAsia="Arial" w:hAnsi="Arial"/>
                <w:sz w:val="17"/>
                <w:szCs w:val="17"/>
                <w:color w:val="auto"/>
              </w:rPr>
              <w:t>GAAP net income per share - basic</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Non-GAAP net income per share - basic</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320" w:type="dxa"/>
            <w:vAlign w:val="bottom"/>
          </w:tcPr>
          <w:p>
            <w:pPr>
              <w:ind w:left="220"/>
              <w:spacing w:after="0" w:line="191" w:lineRule="exact"/>
              <w:rPr>
                <w:sz w:val="20"/>
                <w:szCs w:val="20"/>
                <w:color w:val="auto"/>
              </w:rPr>
            </w:pPr>
            <w:r>
              <w:rPr>
                <w:rFonts w:ascii="Arial" w:cs="Arial" w:eastAsia="Arial" w:hAnsi="Arial"/>
                <w:sz w:val="17"/>
                <w:szCs w:val="17"/>
                <w:color w:val="auto"/>
              </w:rPr>
              <w:t>GAAP net income per share - diluted</w:t>
            </w:r>
          </w:p>
        </w:tc>
        <w:tc>
          <w:tcPr>
            <w:tcW w:w="30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1.11</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0.66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2.89</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Non-GAAP net income per share - diluted</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53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GAAP and non-GAAP weighted-average shares used to compute net</w:t>
            </w:r>
          </w:p>
        </w:tc>
        <w:tc>
          <w:tcPr>
            <w:tcW w:w="3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297,375,011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284,783,006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295,647,626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282,564,481</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per share - basic</w:t>
            </w:r>
          </w:p>
        </w:tc>
        <w:tc>
          <w:tcPr>
            <w:tcW w:w="3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5320" w:type="dxa"/>
            <w:vAlign w:val="bottom"/>
          </w:tcPr>
          <w:p>
            <w:pPr>
              <w:ind w:left="20"/>
              <w:spacing w:after="0" w:line="168" w:lineRule="exact"/>
              <w:rPr>
                <w:sz w:val="20"/>
                <w:szCs w:val="20"/>
                <w:color w:val="auto"/>
              </w:rPr>
            </w:pPr>
            <w:r>
              <w:rPr>
                <w:rFonts w:ascii="Arial" w:cs="Arial" w:eastAsia="Arial" w:hAnsi="Arial"/>
                <w:sz w:val="17"/>
                <w:szCs w:val="17"/>
                <w:color w:val="auto"/>
              </w:rPr>
              <w:t>GAAP and non-GAAP weighted-average shares used to compute net</w:t>
            </w:r>
          </w:p>
        </w:tc>
        <w:tc>
          <w:tcPr>
            <w:tcW w:w="3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305,939,624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299,258,765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305,726,733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297,605,941</w:t>
            </w:r>
          </w:p>
        </w:tc>
        <w:tc>
          <w:tcPr>
            <w:tcW w:w="0" w:type="dxa"/>
            <w:vAlign w:val="bottom"/>
          </w:tcPr>
          <w:p>
            <w:pPr>
              <w:spacing w:after="0"/>
              <w:rPr>
                <w:sz w:val="1"/>
                <w:szCs w:val="1"/>
                <w:color w:val="auto"/>
              </w:rPr>
            </w:pPr>
          </w:p>
        </w:tc>
      </w:tr>
      <w:tr>
        <w:trPr>
          <w:trHeight w:val="219"/>
        </w:trPr>
        <w:tc>
          <w:tcPr>
            <w:tcW w:w="5320" w:type="dxa"/>
            <w:vAlign w:val="bottom"/>
          </w:tcPr>
          <w:p>
            <w:pPr>
              <w:ind w:left="20"/>
              <w:spacing w:after="0"/>
              <w:rPr>
                <w:sz w:val="20"/>
                <w:szCs w:val="20"/>
                <w:color w:val="auto"/>
              </w:rPr>
            </w:pPr>
            <w:r>
              <w:rPr>
                <w:rFonts w:ascii="Arial" w:cs="Arial" w:eastAsia="Arial" w:hAnsi="Arial"/>
                <w:sz w:val="17"/>
                <w:szCs w:val="17"/>
                <w:color w:val="auto"/>
              </w:rPr>
              <w:t>income per share - diluted</w:t>
            </w: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320" w:type="dxa"/>
            <w:vAlign w:val="bottom"/>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394,556</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411,470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1,395,870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1,071,781</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Purchases of property and equipment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(111,816)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(58,517)</w:t>
            </w:r>
          </w:p>
        </w:tc>
        <w:tc>
          <w:tcPr>
            <w:tcW w:w="0" w:type="dxa"/>
            <w:vAlign w:val="bottom"/>
          </w:tcPr>
          <w:p>
            <w:pPr>
              <w:spacing w:after="0"/>
              <w:rPr>
                <w:sz w:val="1"/>
                <w:szCs w:val="1"/>
                <w:color w:val="auto"/>
              </w:rPr>
            </w:pPr>
          </w:p>
        </w:tc>
      </w:tr>
      <w:tr>
        <w:trPr>
          <w:trHeight w:val="23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Free cash flow (non-GAAP)</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374,789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388,206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1,284,054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1,013,264</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320" w:type="dxa"/>
            <w:vAlign w:val="bottom"/>
          </w:tcPr>
          <w:p>
            <w:pPr>
              <w:ind w:left="20"/>
              <w:spacing w:after="0" w:line="191" w:lineRule="exact"/>
              <w:rPr>
                <w:sz w:val="20"/>
                <w:szCs w:val="20"/>
                <w:color w:val="auto"/>
              </w:rPr>
            </w:pPr>
            <w:r>
              <w:rPr>
                <w:rFonts w:ascii="Arial" w:cs="Arial" w:eastAsia="Arial" w:hAnsi="Arial"/>
                <w:sz w:val="17"/>
                <w:szCs w:val="17"/>
                <w:color w:val="auto"/>
              </w:rPr>
              <w:t>Net cash used in investing activities</w:t>
            </w:r>
          </w:p>
        </w:tc>
        <w:tc>
          <w:tcPr>
            <w:tcW w:w="30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(1,002,916)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(437,816)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(2,367,098)</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(673,377)</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(44,219)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296,242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2021-11-22T15:13:27Z</dcterms:created>
  <dcterms:modified xsi:type="dcterms:W3CDTF">2021-11-22T15:13:27Z</dcterms:modified>
</cp:coreProperties>
</file>