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7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03/08/2021</w:t>
            </w: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5880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588073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7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24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gridSpan w:val="2"/>
          </w:tcPr>
          <w:p>
            <w:pPr>
              <w:jc w:val="center"/>
              <w:ind w:left="14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jc w:val="right"/>
              <w:ind w:right="218"/>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179</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310.77</w:t>
            </w:r>
            <w:r>
              <w:rPr>
                <w:rFonts w:ascii="Arial" w:cs="Arial" w:eastAsia="Arial" w:hAnsi="Arial"/>
                <w:sz w:val="22"/>
                <w:szCs w:val="22"/>
                <w:color w:val="008000"/>
                <w:w w:val="88"/>
                <w:vertAlign w:val="superscript"/>
              </w:rPr>
              <w:t>(2)</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173,618</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gridSpan w:val="2"/>
            <w:vMerge w:val="restart"/>
          </w:tcPr>
          <w:p>
            <w:pPr>
              <w:jc w:val="center"/>
              <w:ind w:left="55"/>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311.84</w:t>
            </w:r>
          </w:p>
        </w:tc>
        <w:tc>
          <w:tcPr>
            <w:tcW w:w="120" w:type="dxa"/>
            <w:vAlign w:val="bottom"/>
          </w:tcPr>
          <w:p>
            <w:pPr>
              <w:spacing w:after="0"/>
              <w:rPr>
                <w:sz w:val="22"/>
                <w:szCs w:val="2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173,518</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300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315.33</w:t>
            </w:r>
            <w:r>
              <w:rPr>
                <w:rFonts w:ascii="Arial" w:cs="Arial" w:eastAsia="Arial" w:hAnsi="Arial"/>
                <w:sz w:val="22"/>
                <w:szCs w:val="22"/>
                <w:color w:val="008000"/>
                <w:w w:val="88"/>
                <w:vertAlign w:val="superscript"/>
              </w:rPr>
              <w:t>(6)</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173,218</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gridSpan w:val="2"/>
            <w:vMerge w:val="restart"/>
          </w:tcPr>
          <w:p>
            <w:pPr>
              <w:jc w:val="center"/>
              <w:ind w:left="55"/>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317.91</w:t>
            </w:r>
          </w:p>
        </w:tc>
        <w:tc>
          <w:tcPr>
            <w:tcW w:w="120" w:type="dxa"/>
            <w:vAlign w:val="bottom"/>
          </w:tcPr>
          <w:p>
            <w:pPr>
              <w:spacing w:after="0"/>
              <w:rPr>
                <w:sz w:val="22"/>
                <w:szCs w:val="2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173,118</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314</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321.15</w:t>
            </w:r>
            <w:r>
              <w:rPr>
                <w:rFonts w:ascii="Arial" w:cs="Arial" w:eastAsia="Arial" w:hAnsi="Arial"/>
                <w:sz w:val="22"/>
                <w:szCs w:val="22"/>
                <w:color w:val="008000"/>
                <w:w w:val="88"/>
                <w:vertAlign w:val="superscript"/>
              </w:rPr>
              <w:t>(7)</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172,804</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gridSpan w:val="2"/>
            <w:vMerge w:val="restart"/>
          </w:tcPr>
          <w:p>
            <w:pPr>
              <w:jc w:val="center"/>
              <w:ind w:left="55"/>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321.55</w:t>
            </w:r>
          </w:p>
        </w:tc>
        <w:tc>
          <w:tcPr>
            <w:tcW w:w="120" w:type="dxa"/>
            <w:vAlign w:val="bottom"/>
          </w:tcPr>
          <w:p>
            <w:pPr>
              <w:spacing w:after="0"/>
              <w:rPr>
                <w:sz w:val="22"/>
                <w:szCs w:val="2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172,704</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gridSpan w:val="2"/>
            <w:vMerge w:val="restart"/>
          </w:tcPr>
          <w:p>
            <w:pPr>
              <w:jc w:val="center"/>
              <w:ind w:left="55"/>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324.14</w:t>
            </w:r>
          </w:p>
        </w:tc>
        <w:tc>
          <w:tcPr>
            <w:tcW w:w="120" w:type="dxa"/>
            <w:vAlign w:val="bottom"/>
          </w:tcPr>
          <w:p>
            <w:pPr>
              <w:spacing w:after="0"/>
              <w:rPr>
                <w:sz w:val="22"/>
                <w:szCs w:val="2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172,604</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gridSpan w:val="2"/>
            <w:vMerge w:val="restart"/>
          </w:tcPr>
          <w:p>
            <w:pPr>
              <w:jc w:val="center"/>
              <w:ind w:left="55"/>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325.57</w:t>
            </w:r>
          </w:p>
        </w:tc>
        <w:tc>
          <w:tcPr>
            <w:tcW w:w="120" w:type="dxa"/>
            <w:vAlign w:val="bottom"/>
          </w:tcPr>
          <w:p>
            <w:pPr>
              <w:spacing w:after="0"/>
              <w:rPr>
                <w:sz w:val="22"/>
                <w:szCs w:val="2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172,504</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300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328.78</w:t>
            </w:r>
            <w:r>
              <w:rPr>
                <w:rFonts w:ascii="Arial" w:cs="Arial" w:eastAsia="Arial" w:hAnsi="Arial"/>
                <w:sz w:val="22"/>
                <w:szCs w:val="22"/>
                <w:color w:val="008000"/>
                <w:w w:val="88"/>
                <w:vertAlign w:val="superscript"/>
              </w:rPr>
              <w:t>(8)</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172,204</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gridSpan w:val="2"/>
            <w:vMerge w:val="restart"/>
          </w:tcPr>
          <w:p>
            <w:pPr>
              <w:jc w:val="center"/>
              <w:ind w:left="55"/>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330.26</w:t>
            </w:r>
          </w:p>
        </w:tc>
        <w:tc>
          <w:tcPr>
            <w:tcW w:w="120" w:type="dxa"/>
            <w:vAlign w:val="bottom"/>
          </w:tcPr>
          <w:p>
            <w:pPr>
              <w:spacing w:after="0"/>
              <w:rPr>
                <w:sz w:val="22"/>
                <w:szCs w:val="2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172,104</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300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331.89</w:t>
            </w:r>
            <w:r>
              <w:rPr>
                <w:rFonts w:ascii="Arial" w:cs="Arial" w:eastAsia="Arial" w:hAnsi="Arial"/>
                <w:sz w:val="22"/>
                <w:szCs w:val="22"/>
                <w:color w:val="008000"/>
                <w:w w:val="88"/>
                <w:vertAlign w:val="superscript"/>
              </w:rPr>
              <w:t>(9)</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171,804</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300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334.13</w:t>
            </w:r>
            <w:r>
              <w:rPr>
                <w:rFonts w:ascii="Arial" w:cs="Arial" w:eastAsia="Arial" w:hAnsi="Arial"/>
                <w:sz w:val="22"/>
                <w:szCs w:val="22"/>
                <w:color w:val="008000"/>
                <w:w w:val="86"/>
                <w:vertAlign w:val="superscript"/>
              </w:rPr>
              <w:t>(10)</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171,504</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200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334.86</w:t>
            </w:r>
            <w:r>
              <w:rPr>
                <w:rFonts w:ascii="Arial" w:cs="Arial" w:eastAsia="Arial" w:hAnsi="Arial"/>
                <w:sz w:val="22"/>
                <w:szCs w:val="22"/>
                <w:color w:val="008000"/>
                <w:w w:val="86"/>
                <w:vertAlign w:val="superscript"/>
              </w:rPr>
              <w:t>(11)</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171,304</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jc w:val="center"/>
              <w:ind w:left="162"/>
              <w:spacing w:after="0"/>
              <w:rPr>
                <w:sz w:val="20"/>
                <w:szCs w:val="20"/>
                <w:color w:val="auto"/>
              </w:rPr>
            </w:pPr>
            <w:r>
              <w:rPr>
                <w:rFonts w:ascii="Arial" w:cs="Arial" w:eastAsia="Arial" w:hAnsi="Arial"/>
                <w:sz w:val="17"/>
                <w:szCs w:val="17"/>
                <w:color w:val="0000FF"/>
                <w:w w:val="93"/>
              </w:rPr>
              <w:t>03/08/2021</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18"/>
              <w:spacing w:after="0"/>
              <w:rPr>
                <w:sz w:val="20"/>
                <w:szCs w:val="20"/>
                <w:color w:val="auto"/>
              </w:rPr>
            </w:pPr>
            <w:r>
              <w:rPr>
                <w:rFonts w:ascii="Arial" w:cs="Arial" w:eastAsia="Arial" w:hAnsi="Arial"/>
                <w:sz w:val="17"/>
                <w:szCs w:val="17"/>
                <w:color w:val="0000FF"/>
              </w:rPr>
              <w:t>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gridSpan w:val="2"/>
            <w:vMerge w:val="restart"/>
          </w:tcPr>
          <w:p>
            <w:pPr>
              <w:jc w:val="center"/>
              <w:ind w:left="55"/>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338.46</w:t>
            </w:r>
          </w:p>
        </w:tc>
        <w:tc>
          <w:tcPr>
            <w:tcW w:w="120" w:type="dxa"/>
            <w:vAlign w:val="bottom"/>
          </w:tcPr>
          <w:p>
            <w:pPr>
              <w:spacing w:after="0"/>
              <w:rPr>
                <w:sz w:val="22"/>
                <w:szCs w:val="2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8"/>
              </w:rPr>
              <w:t>171,204</w:t>
            </w:r>
            <w:r>
              <w:rPr>
                <w:rFonts w:ascii="Arial" w:cs="Arial" w:eastAsia="Arial" w:hAnsi="Arial"/>
                <w:sz w:val="22"/>
                <w:szCs w:val="22"/>
                <w:color w:val="008000"/>
                <w:w w:val="98"/>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jc w:val="right"/>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-1276985</wp:posOffset>
            </wp:positionV>
            <wp:extent cx="7031355" cy="1666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666875"/>
                    </a:xfrm>
                    <a:prstGeom prst="rect">
                      <a:avLst/>
                    </a:prstGeom>
                    <a:noFill/>
                  </pic:spPr>
                </pic:pic>
              </a:graphicData>
            </a:graphic>
          </wp:anchor>
        </w:drawing>
      </w:r>
    </w:p>
    <w:p>
      <w:pPr>
        <w:sectPr>
          <w:pgSz w:w="11900" w:h="16838" w:orient="portrait"/>
          <w:cols w:equalWidth="0" w:num="1">
            <w:col w:w="11080"/>
          </w:cols>
          <w:pgMar w:left="460" w:top="225" w:right="359" w:bottom="17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96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6"/>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2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20"/>
              <w:spacing w:after="0" w:line="12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6880" w:type="dxa"/>
            <w:vAlign w:val="bottom"/>
            <w:gridSpan w:val="8"/>
          </w:tcPr>
          <w:p>
            <w:pPr>
              <w:ind w:left="40"/>
              <w:spacing w:after="0" w:line="67" w:lineRule="exact"/>
              <w:rPr>
                <w:sz w:val="20"/>
                <w:szCs w:val="20"/>
                <w:color w:val="auto"/>
              </w:rPr>
            </w:pPr>
            <w:r>
              <w:rPr>
                <w:rFonts w:ascii="Arial" w:cs="Arial" w:eastAsia="Arial" w:hAnsi="Arial"/>
                <w:sz w:val="7"/>
                <w:szCs w:val="7"/>
                <w:color w:val="008000"/>
              </w:rPr>
              <w:t>1. The sales reported on this Form 4 were effected pursuant to a Rule 10b5-1 trading plan adopted by the Reporting Person.</w:t>
            </w:r>
          </w:p>
        </w:tc>
        <w:tc>
          <w:tcPr>
            <w:tcW w:w="10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740" w:type="dxa"/>
            <w:vAlign w:val="bottom"/>
          </w:tcPr>
          <w:p>
            <w:pPr>
              <w:spacing w:after="0" w:line="81" w:lineRule="exact"/>
              <w:rPr>
                <w:sz w:val="20"/>
                <w:szCs w:val="20"/>
                <w:color w:val="auto"/>
              </w:rPr>
            </w:pPr>
            <w:r>
              <w:rPr>
                <w:rFonts w:ascii="Arial" w:cs="Arial" w:eastAsia="Arial" w:hAnsi="Arial"/>
                <w:sz w:val="8"/>
                <w:szCs w:val="8"/>
                <w:b w:val="1"/>
                <w:bCs w:val="1"/>
                <w:color w:val="auto"/>
              </w:rPr>
              <w:t>Derivative</w:t>
            </w: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Acquired</w:t>
            </w: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40" w:right="280" w:firstLine="7"/>
        <w:spacing w:after="0" w:line="288" w:lineRule="auto"/>
        <w:tabs>
          <w:tab w:leader="none" w:pos="173"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drawing>
          <wp:anchor simplePos="0" relativeHeight="251657728" behindDoc="1" locked="0" layoutInCell="0" allowOverlap="1">
            <wp:simplePos x="0" y="0"/>
            <wp:positionH relativeFrom="page">
              <wp:posOffset>296545</wp:posOffset>
            </wp:positionH>
            <wp:positionV relativeFrom="page">
              <wp:posOffset>88900</wp:posOffset>
            </wp:positionV>
            <wp:extent cx="7031355" cy="2276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1355" cy="2276475"/>
                    </a:xfrm>
                    <a:prstGeom prst="rect">
                      <a:avLst/>
                    </a:prstGeom>
                    <a:noFill/>
                  </pic:spPr>
                </pic:pic>
              </a:graphicData>
            </a:graphic>
          </wp:anchor>
        </w:drawing>
        <w:t>The price reported</w:t>
      </w:r>
      <w:r>
        <w:rPr>
          <w:rFonts w:ascii="Arial" w:cs="Arial" w:eastAsia="Arial" w:hAnsi="Arial"/>
          <w:sz w:val="8"/>
          <w:szCs w:val="8"/>
          <w:b w:val="1"/>
          <w:bCs w:val="1"/>
          <w:color w:val="000000"/>
        </w:rPr>
        <w:t>Security</w:t>
      </w:r>
      <w:r>
        <w:rPr>
          <w:rFonts w:ascii="Arial" w:cs="Arial" w:eastAsia="Arial" w:hAnsi="Arial"/>
          <w:sz w:val="10"/>
          <w:szCs w:val="10"/>
          <w:color w:val="008000"/>
        </w:rPr>
        <w:t>in column 4 is a weighted average price. These shares were sold in</w:t>
      </w:r>
      <w:r>
        <w:rPr>
          <w:rFonts w:ascii="Arial" w:cs="Arial" w:eastAsia="Arial" w:hAnsi="Arial"/>
          <w:sz w:val="8"/>
          <w:szCs w:val="8"/>
          <w:b w:val="1"/>
          <w:bCs w:val="1"/>
          <w:color w:val="000000"/>
        </w:rPr>
        <w:t>(A)</w:t>
      </w:r>
      <w:r>
        <w:rPr>
          <w:rFonts w:ascii="Arial" w:cs="Arial" w:eastAsia="Arial" w:hAnsi="Arial"/>
          <w:sz w:val="10"/>
          <w:szCs w:val="10"/>
          <w:color w:val="008000"/>
        </w:rPr>
        <w:t>multiple</w:t>
      </w:r>
      <w:r>
        <w:rPr>
          <w:rFonts w:ascii="Arial" w:cs="Arial" w:eastAsia="Arial" w:hAnsi="Arial"/>
          <w:sz w:val="8"/>
          <w:szCs w:val="8"/>
          <w:b w:val="1"/>
          <w:bCs w:val="1"/>
          <w:color w:val="000000"/>
        </w:rPr>
        <w:t>or</w:t>
      </w:r>
      <w:r>
        <w:rPr>
          <w:rFonts w:ascii="Arial" w:cs="Arial" w:eastAsia="Arial" w:hAnsi="Arial"/>
          <w:sz w:val="10"/>
          <w:szCs w:val="10"/>
          <w:color w:val="008000"/>
        </w:rPr>
        <w:t xml:space="preserve"> transactions at prices ranging from</w:t>
      </w:r>
      <w:r>
        <w:rPr>
          <w:rFonts w:ascii="Arial" w:cs="Arial" w:eastAsia="Arial" w:hAnsi="Arial"/>
          <w:sz w:val="8"/>
          <w:szCs w:val="8"/>
          <w:b w:val="1"/>
          <w:bCs w:val="1"/>
          <w:color w:val="000000"/>
        </w:rPr>
        <w:t>Security</w:t>
      </w:r>
      <w:r>
        <w:rPr>
          <w:rFonts w:ascii="Arial" w:cs="Arial" w:eastAsia="Arial" w:hAnsi="Arial"/>
          <w:sz w:val="10"/>
          <w:szCs w:val="10"/>
          <w:color w:val="008000"/>
        </w:rPr>
        <w:t>$310.36</w:t>
      </w:r>
      <w:r>
        <w:rPr>
          <w:rFonts w:ascii="Arial" w:cs="Arial" w:eastAsia="Arial" w:hAnsi="Arial"/>
          <w:sz w:val="8"/>
          <w:szCs w:val="8"/>
          <w:b w:val="1"/>
          <w:bCs w:val="1"/>
          <w:color w:val="000000"/>
        </w:rPr>
        <w:t>(Instr</w:t>
      </w:r>
      <w:r>
        <w:rPr>
          <w:rFonts w:ascii="Arial" w:cs="Arial" w:eastAsia="Arial" w:hAnsi="Arial"/>
          <w:sz w:val="10"/>
          <w:szCs w:val="10"/>
          <w:color w:val="008000"/>
        </w:rPr>
        <w:t>to</w:t>
      </w:r>
      <w:r>
        <w:rPr>
          <w:rFonts w:ascii="Arial" w:cs="Arial" w:eastAsia="Arial" w:hAnsi="Arial"/>
          <w:sz w:val="8"/>
          <w:szCs w:val="8"/>
          <w:b w:val="1"/>
          <w:bCs w:val="1"/>
          <w:color w:val="000000"/>
        </w:rPr>
        <w:t>.</w:t>
      </w:r>
      <w:r>
        <w:rPr>
          <w:rFonts w:ascii="Arial" w:cs="Arial" w:eastAsia="Arial" w:hAnsi="Arial"/>
          <w:sz w:val="10"/>
          <w:szCs w:val="10"/>
          <w:color w:val="008000"/>
        </w:rPr>
        <w:t>$311.09. The Reporting</w:t>
      </w:r>
      <w:r>
        <w:rPr>
          <w:rFonts w:ascii="Arial" w:cs="Arial" w:eastAsia="Arial" w:hAnsi="Arial"/>
          <w:sz w:val="8"/>
          <w:szCs w:val="8"/>
          <w:b w:val="1"/>
          <w:bCs w:val="1"/>
          <w:color w:val="000000"/>
        </w:rPr>
        <w:t>Following</w:t>
      </w:r>
      <w:r>
        <w:rPr>
          <w:rFonts w:ascii="Arial" w:cs="Arial" w:eastAsia="Arial" w:hAnsi="Arial"/>
          <w:sz w:val="10"/>
          <w:szCs w:val="10"/>
          <w:color w:val="008000"/>
        </w:rPr>
        <w:t>Person undertakes</w:t>
      </w:r>
      <w:r>
        <w:rPr>
          <w:rFonts w:ascii="Arial" w:cs="Arial" w:eastAsia="Arial" w:hAnsi="Arial"/>
          <w:sz w:val="8"/>
          <w:szCs w:val="8"/>
          <w:b w:val="1"/>
          <w:bCs w:val="1"/>
          <w:color w:val="000000"/>
        </w:rPr>
        <w:t>(I)(Instr.</w:t>
      </w:r>
      <w:r>
        <w:rPr>
          <w:rFonts w:ascii="Arial" w:cs="Arial" w:eastAsia="Arial" w:hAnsi="Arial"/>
          <w:sz w:val="10"/>
          <w:szCs w:val="10"/>
          <w:color w:val="008000"/>
        </w:rPr>
        <w:t>to</w:t>
      </w:r>
      <w:r>
        <w:rPr>
          <w:rFonts w:ascii="Arial" w:cs="Arial" w:eastAsia="Arial" w:hAnsi="Arial"/>
          <w:sz w:val="8"/>
          <w:szCs w:val="8"/>
          <w:b w:val="1"/>
          <w:bCs w:val="1"/>
          <w:color w:val="000000"/>
        </w:rPr>
        <w:t>4)</w:t>
      </w:r>
      <w:r>
        <w:rPr>
          <w:rFonts w:ascii="Arial" w:cs="Arial" w:eastAsia="Arial" w:hAnsi="Arial"/>
          <w:sz w:val="10"/>
          <w:szCs w:val="10"/>
          <w:color w:val="008000"/>
        </w:rPr>
        <w:t>provide the Issuer, any security holder of the Issuer, or the staff at the Securities and Exchange Commission,</w:t>
      </w:r>
      <w:r>
        <w:rPr>
          <w:rFonts w:ascii="Arial" w:cs="Arial" w:eastAsia="Arial" w:hAnsi="Arial"/>
          <w:sz w:val="8"/>
          <w:szCs w:val="8"/>
          <w:b w:val="1"/>
          <w:bCs w:val="1"/>
          <w:color w:val="000000"/>
        </w:rPr>
        <w:t>Disposed</w:t>
      </w:r>
      <w:r>
        <w:rPr>
          <w:rFonts w:ascii="Arial" w:cs="Arial" w:eastAsia="Arial" w:hAnsi="Arial"/>
          <w:sz w:val="10"/>
          <w:szCs w:val="10"/>
          <w:color w:val="008000"/>
        </w:rPr>
        <w:t>upon request, the full information</w:t>
      </w:r>
      <w:r>
        <w:rPr>
          <w:rFonts w:ascii="Arial" w:cs="Arial" w:eastAsia="Arial" w:hAnsi="Arial"/>
          <w:sz w:val="8"/>
          <w:szCs w:val="8"/>
          <w:b w:val="1"/>
          <w:bCs w:val="1"/>
          <w:color w:val="000000"/>
        </w:rPr>
        <w:t>3</w:t>
      </w:r>
      <w:r>
        <w:rPr>
          <w:rFonts w:ascii="Arial" w:cs="Arial" w:eastAsia="Arial" w:hAnsi="Arial"/>
          <w:sz w:val="10"/>
          <w:szCs w:val="10"/>
          <w:color w:val="008000"/>
        </w:rPr>
        <w:t xml:space="preserve"> regarding</w:t>
      </w:r>
      <w:r>
        <w:rPr>
          <w:rFonts w:ascii="Arial" w:cs="Arial" w:eastAsia="Arial" w:hAnsi="Arial"/>
          <w:sz w:val="8"/>
          <w:szCs w:val="8"/>
          <w:b w:val="1"/>
          <w:bCs w:val="1"/>
          <w:color w:val="000000"/>
        </w:rPr>
        <w:t>and4)</w:t>
      </w:r>
      <w:r>
        <w:rPr>
          <w:rFonts w:ascii="Arial" w:cs="Arial" w:eastAsia="Arial" w:hAnsi="Arial"/>
          <w:sz w:val="10"/>
          <w:szCs w:val="10"/>
          <w:color w:val="008000"/>
        </w:rPr>
        <w:t xml:space="preserve"> the number of shares</w:t>
      </w:r>
      <w:r>
        <w:rPr>
          <w:rFonts w:ascii="Arial" w:cs="Arial" w:eastAsia="Arial" w:hAnsi="Arial"/>
          <w:sz w:val="8"/>
          <w:szCs w:val="8"/>
          <w:b w:val="1"/>
          <w:bCs w:val="1"/>
          <w:color w:val="000000"/>
        </w:rPr>
        <w:t>Reported</w:t>
      </w:r>
      <w:r>
        <w:rPr>
          <w:rFonts w:ascii="Arial" w:cs="Arial" w:eastAsia="Arial" w:hAnsi="Arial"/>
          <w:sz w:val="10"/>
          <w:szCs w:val="10"/>
          <w:color w:val="008000"/>
        </w:rPr>
        <w:t>soldateach separate price within the</w:t>
      </w:r>
    </w:p>
    <w:tbl>
      <w:tblPr>
        <w:tblLayout w:type="fixed"/>
        <w:tblInd w:w="40" w:type="dxa"/>
        <w:tblCellMar>
          <w:top w:w="0" w:type="dxa"/>
          <w:left w:w="0" w:type="dxa"/>
          <w:bottom w:w="0" w:type="dxa"/>
          <w:right w:w="0" w:type="dxa"/>
        </w:tblCellMar>
      </w:tblPr>
      <w:tr>
        <w:trPr>
          <w:trHeight w:val="136"/>
        </w:trPr>
        <w:tc>
          <w:tcPr>
            <w:tcW w:w="2920" w:type="dxa"/>
            <w:vAlign w:val="bottom"/>
          </w:tcPr>
          <w:p>
            <w:pPr>
              <w:spacing w:after="0" w:line="136" w:lineRule="exact"/>
              <w:rPr>
                <w:sz w:val="20"/>
                <w:szCs w:val="20"/>
                <w:color w:val="auto"/>
              </w:rPr>
            </w:pPr>
            <w:r>
              <w:rPr>
                <w:rFonts w:ascii="Arial" w:cs="Arial" w:eastAsia="Arial" w:hAnsi="Arial"/>
                <w:sz w:val="13"/>
                <w:szCs w:val="13"/>
                <w:color w:val="008000"/>
              </w:rPr>
              <w:t>ranges set forth above.</w:t>
            </w:r>
          </w:p>
        </w:tc>
        <w:tc>
          <w:tcPr>
            <w:tcW w:w="3980" w:type="dxa"/>
            <w:vAlign w:val="bottom"/>
          </w:tcPr>
          <w:p>
            <w:pPr>
              <w:ind w:left="1720"/>
              <w:spacing w:after="0" w:line="136" w:lineRule="exact"/>
              <w:rPr>
                <w:sz w:val="20"/>
                <w:szCs w:val="20"/>
                <w:color w:val="auto"/>
              </w:rPr>
            </w:pPr>
            <w:r>
              <w:rPr>
                <w:rFonts w:ascii="Arial" w:cs="Arial" w:eastAsia="Arial" w:hAnsi="Arial"/>
                <w:sz w:val="12"/>
                <w:szCs w:val="12"/>
                <w:b w:val="1"/>
                <w:bCs w:val="1"/>
                <w:color w:val="auto"/>
              </w:rPr>
              <w:t>of (D)</w:t>
            </w:r>
          </w:p>
        </w:tc>
        <w:tc>
          <w:tcPr>
            <w:tcW w:w="2540" w:type="dxa"/>
            <w:vAlign w:val="bottom"/>
          </w:tcPr>
          <w:p>
            <w:pPr>
              <w:ind w:left="1720"/>
              <w:spacing w:after="0" w:line="136" w:lineRule="exact"/>
              <w:rPr>
                <w:sz w:val="20"/>
                <w:szCs w:val="20"/>
                <w:color w:val="auto"/>
              </w:rPr>
            </w:pPr>
            <w:r>
              <w:rPr>
                <w:rFonts w:ascii="Arial" w:cs="Arial" w:eastAsia="Arial" w:hAnsi="Arial"/>
                <w:sz w:val="12"/>
                <w:szCs w:val="12"/>
                <w:b w:val="1"/>
                <w:bCs w:val="1"/>
                <w:color w:val="auto"/>
                <w:w w:val="96"/>
              </w:rPr>
              <w:t>Transaction(s)</w:t>
            </w:r>
          </w:p>
        </w:tc>
      </w:tr>
      <w:tr>
        <w:trPr>
          <w:trHeight w:val="81"/>
        </w:trPr>
        <w:tc>
          <w:tcPr>
            <w:tcW w:w="2920" w:type="dxa"/>
            <w:vAlign w:val="bottom"/>
          </w:tcPr>
          <w:p>
            <w:pPr>
              <w:spacing w:after="0"/>
              <w:rPr>
                <w:sz w:val="7"/>
                <w:szCs w:val="7"/>
                <w:color w:val="auto"/>
              </w:rPr>
            </w:pPr>
          </w:p>
        </w:tc>
        <w:tc>
          <w:tcPr>
            <w:tcW w:w="3980" w:type="dxa"/>
            <w:vAlign w:val="bottom"/>
          </w:tcPr>
          <w:p>
            <w:pPr>
              <w:ind w:left="1720"/>
              <w:spacing w:after="0" w:line="81" w:lineRule="exact"/>
              <w:rPr>
                <w:sz w:val="20"/>
                <w:szCs w:val="20"/>
                <w:color w:val="auto"/>
              </w:rPr>
            </w:pPr>
            <w:r>
              <w:rPr>
                <w:rFonts w:ascii="Arial" w:cs="Arial" w:eastAsia="Arial" w:hAnsi="Arial"/>
                <w:sz w:val="8"/>
                <w:szCs w:val="8"/>
                <w:b w:val="1"/>
                <w:bCs w:val="1"/>
                <w:color w:val="auto"/>
              </w:rPr>
              <w:t>(Instr. 3, 4</w:t>
            </w:r>
          </w:p>
        </w:tc>
        <w:tc>
          <w:tcPr>
            <w:tcW w:w="2540" w:type="dxa"/>
            <w:vAlign w:val="bottom"/>
          </w:tcPr>
          <w:p>
            <w:pPr>
              <w:ind w:left="1720"/>
              <w:spacing w:after="0" w:line="81" w:lineRule="exact"/>
              <w:rPr>
                <w:sz w:val="20"/>
                <w:szCs w:val="20"/>
                <w:color w:val="auto"/>
              </w:rPr>
            </w:pPr>
            <w:r>
              <w:rPr>
                <w:rFonts w:ascii="Arial" w:cs="Arial" w:eastAsia="Arial" w:hAnsi="Arial"/>
                <w:sz w:val="8"/>
                <w:szCs w:val="8"/>
                <w:b w:val="1"/>
                <w:bCs w:val="1"/>
                <w:color w:val="auto"/>
              </w:rPr>
              <w:t>(Instr. 4)</w:t>
            </w:r>
          </w:p>
        </w:tc>
      </w:tr>
    </w:tbl>
    <w:p>
      <w:pPr>
        <w:jc w:val="center"/>
        <w:ind w:right="1140"/>
        <w:spacing w:after="0"/>
        <w:rPr>
          <w:sz w:val="20"/>
          <w:szCs w:val="20"/>
          <w:color w:val="auto"/>
        </w:rPr>
      </w:pPr>
      <w:r>
        <w:rPr>
          <w:rFonts w:ascii="Arial" w:cs="Arial" w:eastAsia="Arial" w:hAnsi="Arial"/>
          <w:sz w:val="4"/>
          <w:szCs w:val="4"/>
          <w:color w:val="008000"/>
        </w:rPr>
        <w:t>3. The shares were issued pursuant to an option that was early exercised by the Reporting Person, and 135,000 shares are subject to the Issuer's right to repurchase as of the date hereof.</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and 5)</w:t>
      </w:r>
    </w:p>
    <w:p>
      <w:pPr>
        <w:spacing w:after="0" w:line="7" w:lineRule="exact"/>
        <w:rPr>
          <w:sz w:val="20"/>
          <w:szCs w:val="20"/>
          <w:color w:val="auto"/>
        </w:rPr>
      </w:pPr>
    </w:p>
    <w:p>
      <w:pPr>
        <w:ind w:left="40" w:right="260"/>
        <w:spacing w:after="0" w:line="297" w:lineRule="auto"/>
        <w:rPr>
          <w:sz w:val="20"/>
          <w:szCs w:val="20"/>
          <w:color w:val="auto"/>
        </w:rPr>
      </w:pPr>
      <w:r>
        <w:rPr>
          <w:rFonts w:ascii="Arial" w:cs="Arial" w:eastAsia="Arial" w:hAnsi="Arial"/>
          <w:sz w:val="12"/>
          <w:szCs w:val="12"/>
          <w:color w:val="008000"/>
        </w:rPr>
        <w:t>4. Includes 91 shares of Class A Common Stock purchased pursuant to the Zoom Video Communications, Inc. 2019 Employee Stock Purchase Plan ("ESPP"), for the purchase period of June 15, 2020 to December 11, 2020. In accordance with the ESPP, these shares were purchased at a price equal to 85% of the closing price of Issuer's Class A Common Stock on December 11, 2020.</w:t>
      </w:r>
    </w:p>
    <w:p>
      <w:pPr>
        <w:ind w:left="40" w:right="400"/>
        <w:spacing w:after="0" w:line="253" w:lineRule="auto"/>
        <w:rPr>
          <w:sz w:val="20"/>
          <w:szCs w:val="20"/>
          <w:color w:val="auto"/>
        </w:rPr>
      </w:pPr>
      <w:r>
        <w:rPr>
          <w:rFonts w:ascii="Arial" w:cs="Arial" w:eastAsia="Arial" w:hAnsi="Arial"/>
          <w:sz w:val="13"/>
          <w:szCs w:val="13"/>
          <w:color w:val="008000"/>
        </w:rPr>
        <w:t>5. The shares are held of record by Rafik Bawa and Aparna Bawa, as Trustees of the Bawa Family Trust under agreement dated November 12, 2013, for which the Reporting Person and the Reporting Person's spouse serve as trustees.</w:t>
      </w:r>
    </w:p>
    <w:p>
      <w:pPr>
        <w:ind w:left="40" w:right="280"/>
        <w:spacing w:after="0" w:line="232" w:lineRule="auto"/>
        <w:rPr>
          <w:sz w:val="20"/>
          <w:szCs w:val="20"/>
          <w:color w:val="auto"/>
        </w:rPr>
      </w:pPr>
      <w:r>
        <w:rPr>
          <w:rFonts w:ascii="Arial" w:cs="Arial" w:eastAsia="Arial" w:hAnsi="Arial"/>
          <w:sz w:val="11"/>
          <w:szCs w:val="11"/>
          <w:color w:val="008000"/>
        </w:rPr>
        <w:t>6. The price reported in column 4 is a weighted average price. These shares were sold in multiple transactions at prices ranging from $315</w:t>
      </w:r>
      <w:r>
        <w:rPr>
          <w:rFonts w:ascii="Arial" w:cs="Arial" w:eastAsia="Arial" w:hAnsi="Arial"/>
          <w:sz w:val="19"/>
          <w:szCs w:val="19"/>
          <w:b w:val="1"/>
          <w:bCs w:val="1"/>
          <w:color w:val="000000"/>
          <w:vertAlign w:val="subscript"/>
        </w:rPr>
        <w:t>Amount</w:t>
      </w:r>
      <w:r>
        <w:rPr>
          <w:rFonts w:ascii="Arial" w:cs="Arial" w:eastAsia="Arial" w:hAnsi="Arial"/>
          <w:sz w:val="11"/>
          <w:szCs w:val="11"/>
          <w:color w:val="008000"/>
        </w:rPr>
        <w:t>.02to$315.58. The Reporting Person undertakes to provide the Issuer, any security holder of the Issuer, or the staff at the Securities and Exchange Commission, upon request, the full information regarding</w:t>
      </w:r>
      <w:r>
        <w:rPr>
          <w:rFonts w:ascii="Arial" w:cs="Arial" w:eastAsia="Arial" w:hAnsi="Arial"/>
          <w:sz w:val="10"/>
          <w:szCs w:val="10"/>
          <w:b w:val="1"/>
          <w:bCs w:val="1"/>
          <w:color w:val="000000"/>
        </w:rPr>
        <w:t>or</w:t>
      </w:r>
      <w:r>
        <w:rPr>
          <w:rFonts w:ascii="Arial" w:cs="Arial" w:eastAsia="Arial" w:hAnsi="Arial"/>
          <w:sz w:val="11"/>
          <w:szCs w:val="11"/>
          <w:color w:val="008000"/>
        </w:rPr>
        <w:t xml:space="preserve"> the number of shares sold at each separate price within the</w:t>
      </w:r>
    </w:p>
    <w:p>
      <w:pPr>
        <w:ind w:left="40"/>
        <w:spacing w:after="0"/>
        <w:tabs>
          <w:tab w:leader="none" w:pos="7320" w:val="left"/>
        </w:tabs>
        <w:rPr>
          <w:sz w:val="20"/>
          <w:szCs w:val="20"/>
          <w:color w:val="auto"/>
        </w:rPr>
      </w:pPr>
      <w:r>
        <w:rPr>
          <w:rFonts w:ascii="Arial" w:cs="Arial" w:eastAsia="Arial" w:hAnsi="Arial"/>
          <w:sz w:val="13"/>
          <w:szCs w:val="13"/>
          <w:color w:val="008000"/>
        </w:rPr>
        <w:t>ranges set forth above.</w:t>
      </w:r>
      <w:r>
        <w:rPr>
          <w:sz w:val="20"/>
          <w:szCs w:val="20"/>
          <w:color w:val="auto"/>
        </w:rPr>
        <w:tab/>
      </w:r>
      <w:r>
        <w:rPr>
          <w:rFonts w:ascii="Arial" w:cs="Arial" w:eastAsia="Arial" w:hAnsi="Arial"/>
          <w:sz w:val="11"/>
          <w:szCs w:val="11"/>
          <w:b w:val="1"/>
          <w:bCs w:val="1"/>
          <w:color w:val="auto"/>
        </w:rPr>
        <w:t>Number</w:t>
      </w:r>
    </w:p>
    <w:p>
      <w:pPr>
        <w:ind w:left="5400"/>
        <w:spacing w:after="0" w:line="197" w:lineRule="auto"/>
        <w:tabs>
          <w:tab w:leader="none" w:pos="6200" w:val="left"/>
          <w:tab w:leader="none" w:pos="7320" w:val="left"/>
        </w:tabs>
        <w:rPr>
          <w:sz w:val="20"/>
          <w:szCs w:val="20"/>
          <w:color w:val="auto"/>
        </w:rPr>
      </w:pPr>
      <w:r>
        <w:rPr>
          <w:rFonts w:ascii="Arial" w:cs="Arial" w:eastAsia="Arial" w:hAnsi="Arial"/>
          <w:sz w:val="6"/>
          <w:szCs w:val="6"/>
          <w:b w:val="1"/>
          <w:bCs w:val="1"/>
          <w:color w:val="auto"/>
        </w:rPr>
        <w:t>Date</w:t>
      </w:r>
      <w:r>
        <w:rPr>
          <w:sz w:val="20"/>
          <w:szCs w:val="20"/>
          <w:color w:val="auto"/>
        </w:rPr>
        <w:tab/>
      </w:r>
      <w:r>
        <w:rPr>
          <w:rFonts w:ascii="Arial" w:cs="Arial" w:eastAsia="Arial" w:hAnsi="Arial"/>
          <w:sz w:val="6"/>
          <w:szCs w:val="6"/>
          <w:b w:val="1"/>
          <w:bCs w:val="1"/>
          <w:color w:val="auto"/>
        </w:rPr>
        <w:t>Expiration</w:t>
      </w:r>
      <w:r>
        <w:rPr>
          <w:sz w:val="20"/>
          <w:szCs w:val="20"/>
          <w:color w:val="auto"/>
        </w:rPr>
        <w:tab/>
      </w:r>
      <w:r>
        <w:rPr>
          <w:rFonts w:ascii="Arial" w:cs="Arial" w:eastAsia="Arial" w:hAnsi="Arial"/>
          <w:sz w:val="6"/>
          <w:szCs w:val="6"/>
          <w:b w:val="1"/>
          <w:bCs w:val="1"/>
          <w:color w:val="auto"/>
        </w:rPr>
        <w:t>of</w:t>
      </w:r>
    </w:p>
    <w:p>
      <w:pPr>
        <w:ind w:left="40"/>
        <w:spacing w:after="0" w:line="200" w:lineRule="auto"/>
        <w:rPr>
          <w:sz w:val="20"/>
          <w:szCs w:val="20"/>
          <w:color w:val="auto"/>
        </w:rPr>
      </w:pPr>
      <w:r>
        <w:rPr>
          <w:rFonts w:ascii="Arial" w:cs="Arial" w:eastAsia="Arial" w:hAnsi="Arial"/>
          <w:sz w:val="8"/>
          <w:szCs w:val="8"/>
          <w:color w:val="008000"/>
        </w:rPr>
        <w:t>7. The price reported in column 4 is a weighted average price. These shares were sold in multiple transactions at prices ranging from $320.47 to $321.26. The Reporting Person undertakes to provide the</w:t>
      </w:r>
    </w:p>
    <w:p>
      <w:pPr>
        <w:ind w:left="3840"/>
        <w:spacing w:after="0" w:line="182" w:lineRule="auto"/>
        <w:tabs>
          <w:tab w:leader="none" w:pos="4260" w:val="left"/>
          <w:tab w:leader="none" w:pos="4660" w:val="left"/>
          <w:tab w:leader="none" w:pos="5020" w:val="left"/>
          <w:tab w:leader="none" w:pos="5380" w:val="left"/>
          <w:tab w:leader="none" w:pos="6200" w:val="left"/>
          <w:tab w:leader="none" w:pos="6920" w:val="left"/>
          <w:tab w:leader="none" w:pos="7320" w:val="left"/>
        </w:tabs>
        <w:rPr>
          <w:sz w:val="20"/>
          <w:szCs w:val="20"/>
          <w:color w:val="auto"/>
        </w:rPr>
      </w:pPr>
      <w:r>
        <w:rPr>
          <w:rFonts w:ascii="Arial" w:cs="Arial" w:eastAsia="Arial" w:hAnsi="Arial"/>
          <w:sz w:val="8"/>
          <w:szCs w:val="8"/>
          <w:b w:val="1"/>
          <w:bCs w:val="1"/>
          <w:color w:val="auto"/>
        </w:rPr>
        <w:t>Code</w:t>
        <w:tab/>
        <w:t>V</w:t>
      </w:r>
      <w:r>
        <w:rPr>
          <w:sz w:val="20"/>
          <w:szCs w:val="20"/>
          <w:color w:val="auto"/>
        </w:rPr>
        <w:tab/>
      </w:r>
      <w:r>
        <w:rPr>
          <w:rFonts w:ascii="Arial" w:cs="Arial" w:eastAsia="Arial" w:hAnsi="Arial"/>
          <w:sz w:val="8"/>
          <w:szCs w:val="8"/>
          <w:b w:val="1"/>
          <w:bCs w:val="1"/>
          <w:color w:val="auto"/>
        </w:rPr>
        <w:t>(A)</w:t>
      </w:r>
      <w:r>
        <w:rPr>
          <w:sz w:val="20"/>
          <w:szCs w:val="20"/>
          <w:color w:val="auto"/>
        </w:rPr>
        <w:tab/>
      </w:r>
      <w:r>
        <w:rPr>
          <w:rFonts w:ascii="Arial" w:cs="Arial" w:eastAsia="Arial" w:hAnsi="Arial"/>
          <w:sz w:val="8"/>
          <w:szCs w:val="8"/>
          <w:b w:val="1"/>
          <w:bCs w:val="1"/>
          <w:color w:val="auto"/>
        </w:rPr>
        <w:t>(D)</w:t>
      </w:r>
      <w:r>
        <w:rPr>
          <w:sz w:val="20"/>
          <w:szCs w:val="20"/>
          <w:color w:val="auto"/>
        </w:rPr>
        <w:tab/>
      </w:r>
      <w:r>
        <w:rPr>
          <w:rFonts w:ascii="Arial" w:cs="Arial" w:eastAsia="Arial" w:hAnsi="Arial"/>
          <w:sz w:val="8"/>
          <w:szCs w:val="8"/>
          <w:b w:val="1"/>
          <w:bCs w:val="1"/>
          <w:color w:val="auto"/>
        </w:rPr>
        <w:t>Exercisable</w:t>
        <w:tab/>
        <w:t>Date</w:t>
      </w:r>
      <w:r>
        <w:rPr>
          <w:sz w:val="20"/>
          <w:szCs w:val="20"/>
          <w:color w:val="auto"/>
        </w:rPr>
        <w:tab/>
      </w:r>
      <w:r>
        <w:rPr>
          <w:rFonts w:ascii="Arial" w:cs="Arial" w:eastAsia="Arial" w:hAnsi="Arial"/>
          <w:sz w:val="8"/>
          <w:szCs w:val="8"/>
          <w:b w:val="1"/>
          <w:bCs w:val="1"/>
          <w:color w:val="auto"/>
        </w:rPr>
        <w:t>Title</w:t>
        <w:tab/>
        <w:t>Shares</w:t>
      </w:r>
    </w:p>
    <w:p>
      <w:pPr>
        <w:ind w:left="40" w:right="380"/>
        <w:spacing w:after="0" w:line="250" w:lineRule="auto"/>
        <w:rPr>
          <w:sz w:val="20"/>
          <w:szCs w:val="20"/>
          <w:color w:val="auto"/>
        </w:rPr>
      </w:pPr>
      <w:r>
        <w:rPr>
          <w:rFonts w:ascii="Arial" w:cs="Arial" w:eastAsia="Arial" w:hAnsi="Arial"/>
          <w:sz w:val="13"/>
          <w:szCs w:val="13"/>
          <w:color w:val="008000"/>
        </w:rPr>
        <w:t>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sz w:val="20"/>
          <w:szCs w:val="20"/>
          <w:color w:val="auto"/>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$328.38 to $329.02.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$331.38 to $332.16.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$333.76 to $334.54.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$334.77 to $334.94.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03/10/2021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2021-03-10T17:42:47Z</dcterms:created>
  <dcterms:modified xsi:type="dcterms:W3CDTF">2021-03-10T17:42:47Z</dcterms:modified>
</cp:coreProperties>
</file>