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26, 2024</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On February 26, 2024, Zoom Video Communications, Inc. (the “Company”) issued a press release announcing its financial results for the three months and the fiscal year ended January 31, 2024.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February 26, 2024 of Zoom Video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20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26, 2024</w:t>
            </w:r>
          </w:p>
        </w:tc>
        <w:tc>
          <w:tcPr>
            <w:tcW w:w="244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Fourth Quarter and Fiscal Year 2024 Financial Results</w:t>
      </w:r>
    </w:p>
    <w:p>
      <w:pPr>
        <w:spacing w:after="0" w:line="216" w:lineRule="exact"/>
        <w:rPr>
          <w:sz w:val="20"/>
          <w:szCs w:val="20"/>
          <w:color w:val="auto"/>
        </w:rPr>
      </w:pPr>
    </w:p>
    <w:p>
      <w:pPr>
        <w:ind w:left="940" w:right="2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total revenue of $1,146.5 million, up 2.6% year over year as reported and 2.7% in constant currency; full fiscal year total revenue of $4,527.2 million, up 3.1% year over year as reported and 3.8% in constant currency</w:t>
      </w:r>
    </w:p>
    <w:p>
      <w:pPr>
        <w:spacing w:after="0" w:line="139" w:lineRule="exact"/>
        <w:rPr>
          <w:rFonts w:ascii="Times New Roman" w:cs="Times New Roman" w:eastAsia="Times New Roman" w:hAnsi="Times New Roman"/>
          <w:sz w:val="17"/>
          <w:szCs w:val="17"/>
          <w:b w:val="1"/>
          <w:bCs w:val="1"/>
          <w:i w:val="1"/>
          <w:iCs w:val="1"/>
          <w:color w:val="auto"/>
        </w:rPr>
      </w:pPr>
    </w:p>
    <w:p>
      <w:pPr>
        <w:ind w:left="940" w:right="3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Enterprise revenue of $667.3 million, up 4.9% year over year; full fiscal year Enterprise revenue of $2,619.3 million, up 8.7% year over year</w:t>
      </w:r>
    </w:p>
    <w:p>
      <w:pPr>
        <w:spacing w:after="0" w:line="139" w:lineRule="exact"/>
        <w:rPr>
          <w:rFonts w:ascii="Times New Roman" w:cs="Times New Roman" w:eastAsia="Times New Roman" w:hAnsi="Times New Roman"/>
          <w:sz w:val="17"/>
          <w:szCs w:val="17"/>
          <w:b w:val="1"/>
          <w:bCs w:val="1"/>
          <w:i w:val="1"/>
          <w:iCs w:val="1"/>
          <w:color w:val="auto"/>
        </w:rPr>
      </w:pPr>
    </w:p>
    <w:p>
      <w:pPr>
        <w:ind w:left="940" w:right="4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operating cash flow of $351.2 million, up 66.0% year over year; full fiscal year operating cash flow of $1,598.8 million, up 23.9% year over year; full fiscal year operating cash flow margin of 35.3%</w:t>
      </w:r>
    </w:p>
    <w:p>
      <w:pPr>
        <w:spacing w:after="0" w:line="139"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Authorization to repurchase up to $1.5 billion of Zoom’s Class A common stock</w:t>
      </w:r>
    </w:p>
    <w:p>
      <w:pPr>
        <w:spacing w:after="0" w:line="220" w:lineRule="exact"/>
        <w:rPr>
          <w:sz w:val="20"/>
          <w:szCs w:val="20"/>
          <w:color w:val="auto"/>
        </w:rPr>
      </w:pPr>
    </w:p>
    <w:p>
      <w:pPr>
        <w:ind w:right="54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February 26, 2024 – Zoom Video Communications, Inc. (NASDAQ: ZM), a platform delivering limitless human connection, 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financial results for the fourth quarter and fiscal year ended January 31, 2024.</w:t>
      </w:r>
    </w:p>
    <w:p>
      <w:pPr>
        <w:spacing w:after="0" w:line="16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"In FY24, we unveiled Zoom AI Companion, our generative AI digital assistant, aimed at boosting productivity, enhancing team effectiveness, and fostering skill development across the Zoom platform. We're committed to democratizing AI accessibility, offering it to all our customers regardless of business size, included at no extra charge with a paid license,” stated Eric S. Yuan, Zoom's founder and CEO. "Our team is dedicated to platform-wide innovation, introducing hundreds of new features, including those for Zoom Contact Center, which redefine the gold standard for customer experience. While delivering innovation for our customers, we also drove robust profitability and grew free cash flow, up 24.1% year over year to $1,471.9 million for the full fiscal year, representing a free cash flow margin of 32.5%.”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Fiscal Year 2024 Financial Highlights:</w:t>
      </w:r>
    </w:p>
    <w:p>
      <w:pPr>
        <w:spacing w:after="0" w:line="218" w:lineRule="exact"/>
        <w:rPr>
          <w:sz w:val="20"/>
          <w:szCs w:val="20"/>
          <w:color w:val="auto"/>
        </w:rPr>
      </w:pPr>
    </w:p>
    <w:p>
      <w:pPr>
        <w:jc w:val="both"/>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fourth quarter was $1,146.5 million, up 2.6%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$1,147.9 million, up 2.7% year over year. Enterprise revenue was $667.3 million, up 4.9% year over year, and Online revenue was $479.2 million, down 0.5%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right="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(Loss) from Operations and Operating Margin: </w:t>
      </w:r>
      <w:r>
        <w:rPr>
          <w:rFonts w:ascii="Times New Roman" w:cs="Times New Roman" w:eastAsia="Times New Roman" w:hAnsi="Times New Roman"/>
          <w:sz w:val="17"/>
          <w:szCs w:val="17"/>
          <w:color w:val="auto"/>
        </w:rPr>
        <w:t>GAAP income from operations for the fourth quarter was $168.5 million,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(loss) from operations of $(129.9) million in the fourth quarter of fiscal year 2023. After adjusting for stock-based compensation expense and related payroll taxes, litigation settlements, net, acquisition-related expenses, and restructuring expenses, non-GAAP income from operations for the fourth quarter was $443.7 million, compared to non-GAAP income from operations of $404.8 million in the fourth quarter of fiscal year 2023. For the fourth quarter, GAAP operating margin was 14.7% and non-GAAP operating margin was 38.7%.</w:t>
      </w:r>
    </w:p>
    <w:p>
      <w:pPr>
        <w:spacing w:after="0" w:line="65" w:lineRule="exact"/>
        <w:rPr>
          <w:rFonts w:ascii="Times New Roman" w:cs="Times New Roman" w:eastAsia="Times New Roman" w:hAnsi="Times New Roman"/>
          <w:sz w:val="17"/>
          <w:szCs w:val="17"/>
          <w:b w:val="1"/>
          <w:bCs w:val="1"/>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(Loss) and Diluted Net Income (Loss) Per Share: </w:t>
      </w:r>
      <w:r>
        <w:rPr>
          <w:rFonts w:ascii="Times New Roman" w:cs="Times New Roman" w:eastAsia="Times New Roman" w:hAnsi="Times New Roman"/>
          <w:sz w:val="17"/>
          <w:szCs w:val="17"/>
          <w:color w:val="auto"/>
        </w:rPr>
        <w:t>GAAP net income attributable to common stockholders for the fourth quarter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$298.8 million, or $0.95 per share, compared to GAAP net (loss) attributable to common stockholders of $(104.1) million, or $(0.36) per share in the fourth quarter of fiscal year 2023.</w:t>
      </w:r>
    </w:p>
    <w:p>
      <w:pPr>
        <w:spacing w:after="0" w:line="60" w:lineRule="exact"/>
        <w:rPr>
          <w:rFonts w:ascii="Times New Roman" w:cs="Times New Roman" w:eastAsia="Times New Roman" w:hAnsi="Times New Roman"/>
          <w:sz w:val="17"/>
          <w:szCs w:val="17"/>
          <w:b w:val="1"/>
          <w:bCs w:val="1"/>
          <w:color w:val="auto"/>
        </w:rPr>
      </w:pPr>
    </w:p>
    <w:p>
      <w:pPr>
        <w:ind w:left="940" w:right="8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fourth quarter was $444.0 million, after adjusting for stock-based compensation expense and related payroll taxes, litigation settlements, net, (gains) losses on strategic investments, net, acquisition-related expenses, restructuring expenses, income tax benefits from discrete activities, undistributed earnings attributable to participating securities, and the tax effects on non-GAAP adjustments. Non-GAAP net income per share was $1.42. In the fourth quarter of fiscal year 2023, non-GAAP net income was $366.6 million, or $1.22 per share.</w:t>
      </w:r>
    </w:p>
    <w:p>
      <w:pPr>
        <w:spacing w:after="0" w:line="62" w:lineRule="exact"/>
        <w:rPr>
          <w:rFonts w:ascii="Times New Roman" w:cs="Times New Roman" w:eastAsia="Times New Roman" w:hAnsi="Times New Roman"/>
          <w:sz w:val="17"/>
          <w:szCs w:val="17"/>
          <w:b w:val="1"/>
          <w:bCs w:val="1"/>
          <w:color w:val="auto"/>
        </w:rPr>
      </w:pPr>
    </w:p>
    <w:p>
      <w:pPr>
        <w:ind w:left="94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January 31, 2024 was $7.0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ind w:left="940" w:right="1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$351.2 million for the fourth quarter, compared to $211.6 million in the fourth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2023, up 66.0% year over year. Free cash flow, which is net cash provided by operating activities less purchases of property and equipment, was $332.7 million, compared to $183.3 million in the fourth quarter of fiscal year 2023, up 81.5% year over year.</w:t>
      </w:r>
    </w:p>
    <w:p>
      <w:pPr>
        <w:sectPr>
          <w:pgSz w:w="11900" w:h="16838" w:orient="portrait"/>
          <w:cols w:equalWidth="0" w:num="1">
            <w:col w:w="11240"/>
          </w:cols>
          <w:pgMar w:left="320" w:top="8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Full Fiscal Year 2024 Financial Highlights:</w:t>
      </w:r>
    </w:p>
    <w:p>
      <w:pPr>
        <w:spacing w:after="0" w:line="218" w:lineRule="exact"/>
        <w:rPr>
          <w:sz w:val="20"/>
          <w:szCs w:val="20"/>
          <w:color w:val="auto"/>
        </w:rPr>
      </w:pPr>
    </w:p>
    <w:p>
      <w:pPr>
        <w:ind w:left="940" w:right="34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fiscal year was $4,527.2 million, up 3.1%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$4,561.3 million, up 3.8% year over year. Enterprise revenue was $2,619.3 million, up 8.7% year over year, and Online revenue was $1,907.9 million, down 3.8%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right="360" w:hanging="316"/>
        <w:spacing w:after="0" w:line="26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fiscal year was $525.3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$245.4 million for fiscal year 2023. After adjusting for stock-based compensation expense and related payroll taxes, litigation settlements, net, acquisition-related expenses, and restructuring expenses, non-GAAP income from operations for the fiscal year was $1,774.9 million, compared to non-GAAP income from operations of $1,579.1 million for fiscal year 2023. For the fiscal year, GAAP operating margin was 11.6% and non-GAAP operating margin was 39.2%.</w:t>
      </w:r>
    </w:p>
    <w:p>
      <w:pPr>
        <w:spacing w:after="0" w:line="65" w:lineRule="exact"/>
        <w:rPr>
          <w:rFonts w:ascii="Times New Roman" w:cs="Times New Roman" w:eastAsia="Times New Roman" w:hAnsi="Times New Roman"/>
          <w:sz w:val="17"/>
          <w:szCs w:val="17"/>
          <w:b w:val="1"/>
          <w:bCs w:val="1"/>
          <w:color w:val="auto"/>
        </w:rPr>
      </w:pPr>
    </w:p>
    <w:p>
      <w:pPr>
        <w:ind w:left="940" w:right="100" w:hanging="316"/>
        <w:spacing w:after="0" w:line="29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attributable to common stockholders for the fiscal year was $637.5 million,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$2.07 per share, compared to GAAP net income attributable to common stockholders of $103.7 million, or $0.34 per share for fiscal year 2023.</w:t>
      </w:r>
    </w:p>
    <w:p>
      <w:pPr>
        <w:spacing w:after="0" w:line="43" w:lineRule="exact"/>
        <w:rPr>
          <w:rFonts w:ascii="Times New Roman" w:cs="Times New Roman" w:eastAsia="Times New Roman" w:hAnsi="Times New Roman"/>
          <w:sz w:val="17"/>
          <w:szCs w:val="17"/>
          <w:b w:val="1"/>
          <w:bCs w:val="1"/>
          <w:color w:val="auto"/>
        </w:rPr>
      </w:pPr>
    </w:p>
    <w:p>
      <w:pPr>
        <w:ind w:left="940" w:right="8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fiscal year was $1,608.0 million, after adjusting for stock-based compensation expense and related payroll taxes, litigation settlements, net, (gains) losses on strategic investments, net, acquisition-related expenses, restructuring expenses, income tax benefits from discrete activities, undistributed earnings attributable to participating securities, and the tax effects on non-GAAP adjustments. Non-GAAP net income per share was $5.21. In fiscal year 2023, non-GAAP net income was $1,329.0 million, or $4.37 per share.</w:t>
      </w:r>
    </w:p>
    <w:p>
      <w:pPr>
        <w:spacing w:after="0" w:line="62" w:lineRule="exact"/>
        <w:rPr>
          <w:rFonts w:ascii="Times New Roman" w:cs="Times New Roman" w:eastAsia="Times New Roman" w:hAnsi="Times New Roman"/>
          <w:sz w:val="17"/>
          <w:szCs w:val="17"/>
          <w:b w:val="1"/>
          <w:bCs w:val="1"/>
          <w:color w:val="auto"/>
        </w:rPr>
      </w:pPr>
    </w:p>
    <w:p>
      <w:pPr>
        <w:ind w:left="940" w:right="14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$1,598.8 million for the fiscal year, compared to $1,290.3 million for fiscal year 2023 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23.9% year over year. Free cash flow, which is net cash provided by operating activities less purchases of property and equipment, was $1,471.9 million, compared to $1,186.4 million for fiscal year 2023 up 24.1% year over year.</w:t>
      </w:r>
    </w:p>
    <w:p>
      <w:pPr>
        <w:spacing w:after="0" w:line="16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and expanding across existing customers. At the end of the fourth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2024, Zoom had:</w:t>
      </w:r>
    </w:p>
    <w:p>
      <w:pPr>
        <w:spacing w:after="0" w:line="44" w:lineRule="exact"/>
        <w:rPr>
          <w:sz w:val="20"/>
          <w:szCs w:val="20"/>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220,400 Enterprise customers, up 3.5% year over year.</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101%.</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3,810 customers contributing more than $100,000 in trailing 12 months revenue, up approximately 9.8% from the same quarter last fiscal year.</w:t>
      </w:r>
    </w:p>
    <w:p>
      <w:pPr>
        <w:spacing w:after="0" w:line="114" w:lineRule="exact"/>
        <w:rPr>
          <w:rFonts w:ascii="Times New Roman" w:cs="Times New Roman" w:eastAsia="Times New Roman" w:hAnsi="Times New Roman"/>
          <w:sz w:val="17"/>
          <w:szCs w:val="17"/>
          <w:b w:val="1"/>
          <w:bCs w:val="1"/>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3.0% for the fourth quarter, down 40 bps from the same quarter last fiscal year.</w:t>
      </w:r>
    </w:p>
    <w:p>
      <w:pPr>
        <w:spacing w:after="0" w:line="114" w:lineRule="exact"/>
        <w:rPr>
          <w:rFonts w:ascii="Times New Roman" w:cs="Times New Roman" w:eastAsia="Times New Roman" w:hAnsi="Times New Roman"/>
          <w:sz w:val="17"/>
          <w:szCs w:val="17"/>
          <w:color w:val="auto"/>
        </w:rPr>
      </w:pPr>
    </w:p>
    <w:p>
      <w:pPr>
        <w:ind w:left="940" w:right="300" w:hanging="316"/>
        <w:spacing w:after="0" w:line="288"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Finally, at the end of the fourth quarter, the percentage of total Online MRR from Online customers with a continual term of service of at least 16 months was 74.2%, up 220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first quarter of fiscal year 2025 and its full fiscal year 2025.</w:t>
      </w:r>
    </w:p>
    <w:p>
      <w:pPr>
        <w:spacing w:after="0" w:line="119" w:lineRule="exact"/>
        <w:rPr>
          <w:sz w:val="20"/>
          <w:szCs w:val="20"/>
          <w:color w:val="auto"/>
        </w:rPr>
      </w:pPr>
    </w:p>
    <w:p>
      <w:pPr>
        <w:ind w:left="940" w:right="20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First Quarter Fiscal Year 2025: Total revenue is expected to be approximately $1.125 billion and revenue in constant currency is expected to be approximately $1.125 billion. Non-GAAP income from operations is expected to be between $410.0 million and $415.0 million. First quarter non-GAAP diluted EPS is expected to be between $1.18 and $1.20 with approximately 316 million non-GAAP weighted average shares outstanding.</w:t>
      </w:r>
    </w:p>
    <w:p>
      <w:pPr>
        <w:spacing w:after="0" w:line="63" w:lineRule="exact"/>
        <w:rPr>
          <w:rFonts w:ascii="Times New Roman" w:cs="Times New Roman" w:eastAsia="Times New Roman" w:hAnsi="Times New Roman"/>
          <w:sz w:val="17"/>
          <w:szCs w:val="17"/>
          <w:b w:val="1"/>
          <w:bCs w:val="1"/>
          <w:color w:val="auto"/>
        </w:rPr>
      </w:pPr>
    </w:p>
    <w:p>
      <w:pPr>
        <w:ind w:left="94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2025: Total revenue is expected to be approximately $4.600 billion and revenue in constant currency is expected to be approximately $4.597 billion. Non-GAAP income from operations is expected to be between $1.720 billion and $1.730 billion. Full fiscal year non-GAAP diluted EPS is expected to be between $4.85 and $4.88 with approximately 321 million non-GAAP weighted average shares outstanding. Full fiscal year free cash flow is expected to be between $1.440 billion and $1.480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the impact from the share repurchase authorization discussed below.</w:t>
      </w:r>
    </w:p>
    <w:p>
      <w:pPr>
        <w:spacing w:after="0" w:line="21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Stock Repurchase Authorization: </w:t>
      </w:r>
      <w:r>
        <w:rPr>
          <w:rFonts w:ascii="Times New Roman" w:cs="Times New Roman" w:eastAsia="Times New Roman" w:hAnsi="Times New Roman"/>
          <w:sz w:val="17"/>
          <w:szCs w:val="17"/>
          <w:color w:val="auto"/>
        </w:rPr>
        <w:t>Zoom’s Board of Directors has authorized a stock repurchase program of up to $1.5 billion of Zoom’s outstanding Class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w:t>
      </w:r>
    </w:p>
    <w:p>
      <w:pPr>
        <w:spacing w:after="0" w:line="173"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Repurchases of Zoom’s Class A common stock may be effected, from time to time, either on the open market (including pre-set trading plans), in privately negotiated transactions, and other transactions in accordance with applicable securities laws.</w:t>
      </w:r>
    </w:p>
    <w:p>
      <w:pPr>
        <w:spacing w:after="0" w:line="17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The timing and the amount of any repurchased Class A common stock will be determined by Zoom's management based on its evaluation of market conditions and other factors. The repurchase program will be funded using Zoom's working capital. Any repurchased shares of Class A common stock will be retired. The repurchase program does not obligate Zoom to acquire any particular amount of Class A common stock, and the repurchase program may be suspended or discontinued at any time at Zoom’s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1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February 26, 2024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Zoom is an all-in-one intelligent collaboration platform that makes connecting easier, more immersive, and more dynamic for businesses and individuals. Zoom technology puts people at the center, enabling meaningful connections, facilitating modern collaboration, and driving human innovation through solutions like team chat, phone, meetings, omnichannel cloud contact center, smart recordings, whiteboard, and more, in one offering. Founded in 2011, Zoom is publicly traded (NASDAQ:ZM) and headquartered in San Jose, California. Get more info at zoom.com.</w:t>
      </w:r>
    </w:p>
    <w:p>
      <w:pPr>
        <w:sectPr>
          <w:pgSz w:w="11900" w:h="16838" w:orient="portrait"/>
          <w:cols w:equalWidth="0" w:num="1">
            <w:col w:w="11200"/>
          </w:cols>
          <w:pgMar w:left="320" w:top="106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first quarter of fiscal year 2025 and full fiscal year 2025, Zoom’s market position, opportunities, and growth strategy, product initiatives, including Zoom AI Companion,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2023.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w:t>
      </w:r>
    </w:p>
    <w:p>
      <w:pPr>
        <w:spacing w:after="0" w:line="7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w:t>
      </w:r>
    </w:p>
    <w:p>
      <w:pPr>
        <w:sectPr>
          <w:pgSz w:w="11900" w:h="16838" w:orient="portrait"/>
          <w:cols w:equalWidth="0" w:num="1">
            <w:col w:w="11220"/>
          </w:cols>
          <w:pgMar w:left="320" w:top="1062" w:right="359" w:bottom="1440" w:gutter="0" w:footer="0" w:header="0"/>
        </w:sectPr>
      </w:pPr>
    </w:p>
    <w:bookmarkStart w:id="7" w:name="page8"/>
    <w:bookmarkEnd w:id="7"/>
    <w:p>
      <w:pPr>
        <w:ind w:right="280"/>
        <w:spacing w:after="0" w:line="262" w:lineRule="auto"/>
        <w:rPr>
          <w:sz w:val="20"/>
          <w:szCs w:val="20"/>
          <w:color w:val="auto"/>
        </w:rPr>
      </w:pPr>
      <w:r>
        <w:rPr>
          <w:rFonts w:ascii="Times New Roman" w:cs="Times New Roman" w:eastAsia="Times New Roman" w:hAnsi="Times New Roman"/>
          <w:sz w:val="17"/>
          <w:szCs w:val="17"/>
          <w:color w:val="auto"/>
        </w:rPr>
        <w:t>compensation expense and related payroll taxes, acquisition-related expenses, restructuring expenses, gains/losses on strategic investments, net, litigation settlements, net, income tax benefits from discrete activities, undistributed earnings attributable to participating securities,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McCallum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1,558,252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1,086,830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4,325,836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557,404</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223,250</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219,182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163,092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7,926,219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6,356,412</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179,991</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252,821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80,906</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398,992</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122,641</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558,428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177,874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8,128,065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14,414</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457,716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1,251,848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1,266,514</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1,762,187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1,738,644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41,932</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67,195</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1,910,387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1,921,458</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5,228,756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4,104,880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(50,385)</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2,789,280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2,151,818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8,019,406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6,206,607</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9,929,793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8,128,065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consolidated balance sheets was $124.8 million and $91.6 million as of January 31, 2024 and 2023, respectively.</w:t>
      </w:r>
    </w:p>
    <w:p>
      <w:pPr>
        <w:sectPr>
          <w:pgSz w:w="11900" w:h="16838" w:orient="portrait"/>
          <w:cols w:equalWidth="0" w:num="1">
            <w:col w:w="11240"/>
          </w:cols>
          <w:pgMar w:left="320" w:top="85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40" w:type="dxa"/>
            <w:vAlign w:val="bottom"/>
          </w:tcPr>
          <w:p>
            <w:pPr>
              <w:spacing w:after="0"/>
              <w:rPr>
                <w:sz w:val="15"/>
                <w:szCs w:val="15"/>
                <w:color w:val="auto"/>
              </w:rPr>
            </w:pPr>
          </w:p>
        </w:tc>
        <w:tc>
          <w:tcPr>
            <w:tcW w:w="26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23"/>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4,527,224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4,392,960</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1,077,801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1,100,451</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870,150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3,449,423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3,292,509</w:t>
            </w: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774,059</w:t>
            </w: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505,586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1,541,307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1,696,590</w:t>
            </w: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576,431</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701,620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953,336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2,924,144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3,047,080</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245,429</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(37,571)</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249,276</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145,565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637,462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103,711</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298,832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(104,050)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637,462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103,704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(0.36)</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0.34</w:t>
            </w:r>
          </w:p>
        </w:tc>
      </w:tr>
    </w:tbl>
    <w:p>
      <w:pPr>
        <w:spacing w:after="0" w:line="9" w:lineRule="exact"/>
        <w:rPr>
          <w:sz w:val="20"/>
          <w:szCs w:val="20"/>
          <w:color w:val="auto"/>
        </w:rPr>
      </w:pPr>
    </w:p>
    <w:p>
      <w:pPr>
        <w:sectPr>
          <w:pgSz w:w="11900" w:h="16838" w:orient="portrait"/>
          <w:cols w:equalWidth="0" w:num="1">
            <w:col w:w="11240"/>
          </w:cols>
          <w:pgMar w:left="320" w:top="856" w:right="339" w:bottom="1440" w:gutter="0" w:footer="0" w:header="0"/>
        </w:sectPr>
      </w:pPr>
    </w:p>
    <w:p>
      <w:pPr>
        <w:ind w:left="20" w:right="44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305,822,936</w:t>
      </w:r>
      <w:r>
        <w:rPr>
          <w:sz w:val="20"/>
          <w:szCs w:val="20"/>
          <w:color w:val="auto"/>
        </w:rPr>
        <w:tab/>
      </w:r>
      <w:r>
        <w:rPr>
          <w:rFonts w:ascii="Times New Roman" w:cs="Times New Roman" w:eastAsia="Times New Roman" w:hAnsi="Times New Roman"/>
          <w:sz w:val="17"/>
          <w:szCs w:val="17"/>
          <w:color w:val="auto"/>
        </w:rPr>
        <w:t>292,983,772</w:t>
      </w:r>
      <w:r>
        <w:rPr>
          <w:sz w:val="20"/>
          <w:szCs w:val="20"/>
          <w:color w:val="auto"/>
        </w:rPr>
        <w:tab/>
      </w:r>
      <w:r>
        <w:rPr>
          <w:rFonts w:ascii="Times New Roman" w:cs="Times New Roman" w:eastAsia="Times New Roman" w:hAnsi="Times New Roman"/>
          <w:sz w:val="17"/>
          <w:szCs w:val="17"/>
          <w:color w:val="auto"/>
        </w:rPr>
        <w:t>300,748,162</w:t>
      </w:r>
      <w:r>
        <w:rPr>
          <w:sz w:val="20"/>
          <w:szCs w:val="20"/>
          <w:color w:val="auto"/>
        </w:rPr>
        <w:tab/>
      </w:r>
      <w:r>
        <w:rPr>
          <w:rFonts w:ascii="Times New Roman" w:cs="Times New Roman" w:eastAsia="Times New Roman" w:hAnsi="Times New Roman"/>
          <w:sz w:val="17"/>
          <w:szCs w:val="17"/>
          <w:color w:val="auto"/>
        </w:rPr>
        <w:t>296,560,501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17780</wp:posOffset>
            </wp:positionV>
            <wp:extent cx="713803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8859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-375920</wp:posOffset>
            </wp:positionV>
            <wp:extent cx="7138035"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313,467,303</w:t>
      </w:r>
      <w:r>
        <w:rPr>
          <w:sz w:val="20"/>
          <w:szCs w:val="20"/>
          <w:color w:val="auto"/>
        </w:rPr>
        <w:tab/>
      </w:r>
      <w:r>
        <w:rPr>
          <w:rFonts w:ascii="Times New Roman" w:cs="Times New Roman" w:eastAsia="Times New Roman" w:hAnsi="Times New Roman"/>
          <w:sz w:val="17"/>
          <w:szCs w:val="17"/>
          <w:color w:val="auto"/>
        </w:rPr>
        <w:t>292,983,772</w:t>
      </w:r>
      <w:r>
        <w:rPr>
          <w:sz w:val="20"/>
          <w:szCs w:val="20"/>
          <w:color w:val="auto"/>
        </w:rPr>
        <w:tab/>
      </w:r>
      <w:r>
        <w:rPr>
          <w:rFonts w:ascii="Times New Roman" w:cs="Times New Roman" w:eastAsia="Times New Roman" w:hAnsi="Times New Roman"/>
          <w:sz w:val="17"/>
          <w:szCs w:val="17"/>
          <w:color w:val="auto"/>
        </w:rPr>
        <w:t>308,519,897</w:t>
      </w:r>
      <w:r>
        <w:rPr>
          <w:sz w:val="20"/>
          <w:szCs w:val="20"/>
          <w:color w:val="auto"/>
        </w:rPr>
        <w:tab/>
      </w:r>
      <w:r>
        <w:rPr>
          <w:rFonts w:ascii="Times New Roman" w:cs="Times New Roman" w:eastAsia="Times New Roman" w:hAnsi="Times New Roman"/>
          <w:sz w:val="17"/>
          <w:szCs w:val="17"/>
          <w:color w:val="auto"/>
        </w:rPr>
        <w:t>304,231,350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41910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6" w:right="3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January 31,</w:t>
            </w:r>
          </w:p>
        </w:tc>
        <w:tc>
          <w:tcPr>
            <w:tcW w:w="340" w:type="dxa"/>
            <w:vAlign w:val="bottom"/>
          </w:tcPr>
          <w:p>
            <w:pPr>
              <w:spacing w:after="0"/>
              <w:rPr>
                <w:sz w:val="17"/>
                <w:szCs w:val="17"/>
                <w:color w:val="auto"/>
              </w:rPr>
            </w:pPr>
          </w:p>
        </w:tc>
        <w:tc>
          <w:tcPr>
            <w:tcW w:w="2700" w:type="dxa"/>
            <w:vAlign w:val="bottom"/>
            <w:gridSpan w:val="4"/>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Year Ended January 31,</w:t>
            </w:r>
          </w:p>
        </w:tc>
      </w:tr>
      <w:tr>
        <w:trPr>
          <w:trHeight w:val="190"/>
        </w:trPr>
        <w:tc>
          <w:tcPr>
            <w:tcW w:w="50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7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298,832</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(104,050)</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637,462</w:t>
            </w:r>
          </w:p>
        </w:tc>
        <w:tc>
          <w:tcPr>
            <w:tcW w:w="1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103,711</w:t>
            </w:r>
          </w:p>
        </w:tc>
      </w:tr>
      <w:tr>
        <w:trPr>
          <w:trHeight w:val="152"/>
        </w:trPr>
        <w:tc>
          <w:tcPr>
            <w:tcW w:w="50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1,057,161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1,285,752</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(136,735)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(160,961)</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deferred contract acquisition costs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270,701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259,368</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losses on strategic investments, net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37,571</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82,321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accounts receivable allowances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50,285</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Unrealized foreign exchange losses (gains)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13,266</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Non-cash operating lease cost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28,933</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discount/premium on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1,206</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1,647</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(231,845)</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(18,066)</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contract acquisition costs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(298,629)</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11,611</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20,530</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Deferred revenue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127,401</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Operating lease liabilities, net</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(23,839)</w:t>
            </w:r>
          </w:p>
        </w:tc>
      </w:tr>
      <w:tr>
        <w:trPr>
          <w:trHeight w:val="185"/>
        </w:trPr>
        <w:tc>
          <w:tcPr>
            <w:tcW w:w="50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1,598,836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1,290,262</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(1,120,371)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(4,083,968)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(2,849,121)</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773,341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697,321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3,131,419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2,835,196</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(103,826)</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strategic investments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(69,050)</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Proceeds from strategic investments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300</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for acquisition, net of cash acquired</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(204,918)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(120,553)</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(11,268)</w:t>
            </w:r>
          </w:p>
        </w:tc>
      </w:tr>
      <w:tr>
        <w:trPr>
          <w:trHeight w:val="185"/>
        </w:trPr>
        <w:tc>
          <w:tcPr>
            <w:tcW w:w="50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(319,283)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(257,709)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(1,183,689)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(318,322)</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for repurchases of common stock</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(1,000,003)</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stock for employee stock purchase plan</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53,710</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8,577</w:t>
            </w:r>
          </w:p>
        </w:tc>
      </w:tr>
      <w:tr>
        <w:trPr>
          <w:trHeight w:val="152"/>
        </w:trPr>
        <w:tc>
          <w:tcPr>
            <w:tcW w:w="506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5"/>
                <w:szCs w:val="15"/>
                <w:color w:val="auto"/>
              </w:rPr>
              <w:t>Proceeds from employee equity transactions to be remitted (remitted) to</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8"/>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employees and tax authorities, net</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774</w:t>
            </w:r>
          </w:p>
        </w:tc>
      </w:tr>
      <w:tr>
        <w:trPr>
          <w:trHeight w:val="185"/>
        </w:trPr>
        <w:tc>
          <w:tcPr>
            <w:tcW w:w="50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(936,942)</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(8,108)</w:t>
            </w:r>
          </w:p>
        </w:tc>
      </w:tr>
      <w:tr>
        <w:trPr>
          <w:trHeight w:val="185"/>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465,137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26,890</w:t>
            </w:r>
          </w:p>
        </w:tc>
      </w:tr>
      <w:tr>
        <w:trPr>
          <w:trHeight w:val="19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cash—beginning of year</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1,498,127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1,106,088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1,100,243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1,073,353</w:t>
            </w: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cash—end of year</w:t>
            </w: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1,565,380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1,100,243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1,565,380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1,100,243</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tcPr>
          <w:p>
            <w:pPr>
              <w:spacing w:after="0"/>
              <w:rPr>
                <w:sz w:val="15"/>
                <w:szCs w:val="15"/>
                <w:color w:val="auto"/>
              </w:rPr>
            </w:pPr>
          </w:p>
        </w:tc>
        <w:tc>
          <w:tcPr>
            <w:tcW w:w="284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(loss)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168,530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(129,887)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525,279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245,429</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262,754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520,951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1,076,212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1,301,663</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52,500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(4,226)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47,904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36,218</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72,993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443,749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404,832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1,774,888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1,579,084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5.6 %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income (loss) attributable to common stockholders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298,832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(104,050)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637,462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103,704</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262,754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520,951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1,076,212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1,301,663</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52,500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(4,226)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(101,296)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(109,770)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37,571</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47,904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36,218</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72,993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benefits from discrete activities</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(20,512)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(23,672)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(161,006)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(145,926)</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443,971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366,554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1,608,023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1,329,011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per share - basic and diluted: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GAAP net income (loss) per share - 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0.98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GAAP net income (loss)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per share - basic</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305,822,936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292,983,772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300,748,162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296,560,501</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weighted-average shares used to compute net income (loss)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 diluted</w:t>
            </w: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313,467,303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292,983,772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308,519,897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304,231,350</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Non-GAAP weighted-average shares used to compute net income</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 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313,467,303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301,143,279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308,519,897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304,231,350</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351,225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211,588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1,598,836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1,290,262</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(18,540)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(28,258)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(126,953)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(103,826)</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332,685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183,330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1,471,883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1,186,436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(319,283)</w:t>
            </w:r>
          </w:p>
        </w:tc>
        <w:tc>
          <w:tcPr>
            <w:tcW w:w="100" w:type="dxa"/>
            <w:vAlign w:val="bottom"/>
          </w:tcPr>
          <w:p>
            <w:pPr>
              <w:spacing w:after="0"/>
              <w:rPr>
                <w:sz w:val="16"/>
                <w:szCs w:val="16"/>
                <w:color w:val="auto"/>
              </w:rPr>
            </w:pPr>
          </w:p>
        </w:tc>
        <w:tc>
          <w:tcPr>
            <w:tcW w:w="28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(257,709)</w:t>
            </w:r>
          </w:p>
        </w:tc>
        <w:tc>
          <w:tcPr>
            <w:tcW w:w="100" w:type="dxa"/>
            <w:vAlign w:val="bottom"/>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(1,183,689)</w:t>
            </w:r>
          </w:p>
        </w:tc>
        <w:tc>
          <w:tcPr>
            <w:tcW w:w="100" w:type="dxa"/>
            <w:vAlign w:val="bottom"/>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(318,322)</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24,234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60,186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(936,942)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30.6 %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35.3 %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29.4 %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49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80" w:type="dxa"/>
            <w:vAlign w:val="bottom"/>
            <w:shd w:val="clear" w:color="auto" w:fill="CCEEFF"/>
          </w:tcPr>
          <w:p>
            <w:pPr>
              <w:spacing w:after="0"/>
              <w:rPr>
                <w:sz w:val="16"/>
                <w:szCs w:val="16"/>
                <w:color w:val="auto"/>
              </w:rPr>
            </w:pPr>
          </w:p>
        </w:tc>
        <w:tc>
          <w:tcPr>
            <w:tcW w:w="2700" w:type="dxa"/>
            <w:vAlign w:val="bottom"/>
            <w:gridSpan w:val="4"/>
            <w:shd w:val="clear" w:color="auto" w:fill="CCEEFF"/>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3"/>
          </w:tcPr>
          <w:p>
            <w:pPr>
              <w:jc w:val="right"/>
              <w:ind w:right="12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3"/>
              <w:spacing w:after="0" w:line="128"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3"/>
              <w:spacing w:after="0" w:line="128"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660" w:type="dxa"/>
            <w:vAlign w:val="bottom"/>
            <w:gridSpan w:val="3"/>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640" w:type="dxa"/>
            <w:vAlign w:val="bottom"/>
            <w:gridSpan w:val="3"/>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1,146,457</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4,527,224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1,147,930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4,561,288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2024-02-26T15:14:04Z</dcterms:created>
  <dcterms:modified xsi:type="dcterms:W3CDTF">2024-02-26T15:14:04Z</dcterms:modified>
</cp:coreProperties>
</file>