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88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07/26/2022</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6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07/26/2022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1,100</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vMerge w:val="restart"/>
          </w:tcPr>
          <w:p>
            <w:pPr>
              <w:jc w:val="center"/>
              <w:ind w:left="21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100.42</w:t>
            </w:r>
            <w:r>
              <w:rPr>
                <w:rFonts w:ascii="Times New Roman" w:cs="Times New Roman" w:eastAsia="Times New Roman" w:hAnsi="Times New Roman"/>
                <w:sz w:val="22"/>
                <w:szCs w:val="22"/>
                <w:color w:val="008000"/>
                <w:w w:val="95"/>
                <w:vertAlign w:val="superscript"/>
              </w:rPr>
              <w:t>(2)</w:t>
            </w: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76,643</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07/26/2022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101.5389</w:t>
            </w:r>
            <w:r>
              <w:rPr>
                <w:rFonts w:ascii="Times New Roman" w:cs="Times New Roman" w:eastAsia="Times New Roman" w:hAnsi="Times New Roman"/>
                <w:sz w:val="22"/>
                <w:szCs w:val="22"/>
                <w:color w:val="008000"/>
                <w:w w:val="97"/>
                <w:vertAlign w:val="superscript"/>
              </w:rPr>
              <w:t>(5)</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76,243</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07/26/2022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7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102.725</w:t>
            </w:r>
            <w:r>
              <w:rPr>
                <w:rFonts w:ascii="Times New Roman" w:cs="Times New Roman" w:eastAsia="Times New Roman" w:hAnsi="Times New Roman"/>
                <w:sz w:val="22"/>
                <w:szCs w:val="22"/>
                <w:color w:val="008000"/>
                <w:w w:val="95"/>
                <w:vertAlign w:val="superscript"/>
              </w:rPr>
              <w:t>(6)</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75,843</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07/26/2022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ind w:left="29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75,743</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07/27/2022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404</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ind w:left="29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102.16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75,339</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$100.09 to $100.81.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15,000 shares are subject to the Issuer's right to repurchase as of the date hereof.</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$101.19 to $101.95.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$102.59 to $102.87.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07/28/2022</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2022-07-28T17:40:45Z</dcterms:created>
  <dcterms:modified xsi:type="dcterms:W3CDTF">2022-07-28T17:40:45Z</dcterms:modified>
</cp:coreProperties>
</file>