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219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21906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Yuan Eric S.</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ZOOM COMMUNICATIONS,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Zoom Communications,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04/09/2026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1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91"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480" w:type="dxa"/>
            <w:vAlign w:val="bottom"/>
            <w:gridSpan w:val="9"/>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120" w:type="dxa"/>
            <w:vAlign w:val="bottom"/>
          </w:tcPr>
          <w:p>
            <w:pPr>
              <w:spacing w:after="0"/>
              <w:rPr>
                <w:sz w:val="2"/>
                <w:szCs w:val="2"/>
                <w:color w:val="auto"/>
              </w:rPr>
            </w:pPr>
          </w:p>
        </w:tc>
        <w:tc>
          <w:tcPr>
            <w:tcW w:w="3720" w:type="dxa"/>
            <w:vAlign w:val="bottom"/>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80" w:type="dxa"/>
            <w:vAlign w:val="bottom"/>
            <w:gridSpan w:val="9"/>
            <w:vMerge w:val="continue"/>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360"/>
              <w:spacing w:after="0" w:line="138"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95113</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6"/>
              <w:spacing w:after="0"/>
              <w:rPr>
                <w:sz w:val="20"/>
                <w:szCs w:val="20"/>
                <w:color w:val="auto"/>
              </w:rPr>
            </w:pPr>
            <w:r>
              <w:rPr>
                <w:rFonts w:ascii="Arial" w:cs="Arial" w:eastAsia="Arial" w:hAnsi="Arial"/>
                <w:sz w:val="11"/>
                <w:szCs w:val="11"/>
                <w:b w:val="1"/>
                <w:bCs w:val="1"/>
                <w:color w:val="auto"/>
                <w:w w:val="86"/>
              </w:rPr>
              <w:t>3.</w:t>
            </w:r>
          </w:p>
        </w:tc>
        <w:tc>
          <w:tcPr>
            <w:tcW w:w="280" w:type="dxa"/>
            <w:vAlign w:val="bottom"/>
          </w:tcPr>
          <w:p>
            <w:pPr>
              <w:spacing w:after="0"/>
              <w:rPr>
                <w:sz w:val="14"/>
                <w:szCs w:val="14"/>
                <w:color w:val="auto"/>
              </w:rPr>
            </w:pP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66"/>
              <w:spacing w:after="0" w:line="125" w:lineRule="exact"/>
              <w:rPr>
                <w:sz w:val="20"/>
                <w:szCs w:val="20"/>
                <w:color w:val="auto"/>
              </w:rPr>
            </w:pPr>
            <w:r>
              <w:rPr>
                <w:rFonts w:ascii="Arial" w:cs="Arial" w:eastAsia="Arial" w:hAnsi="Arial"/>
                <w:sz w:val="11"/>
                <w:szCs w:val="11"/>
                <w:b w:val="1"/>
                <w:bCs w:val="1"/>
                <w:color w:val="auto"/>
                <w:w w:val="81"/>
              </w:rPr>
              <w:t>8)</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660" w:type="dxa"/>
            <w:vAlign w:val="bottom"/>
            <w:tcBorders>
              <w:bottom w:val="single" w:sz="8" w:color="2C2C2C"/>
            </w:tcBorders>
            <w:gridSpan w:val="7"/>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5"/>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5"/>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5"/>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4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4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5"/>
                <w:szCs w:val="15"/>
                <w:color w:val="auto"/>
              </w:rPr>
            </w:pPr>
          </w:p>
        </w:tc>
        <w:tc>
          <w:tcPr>
            <w:tcW w:w="500" w:type="dxa"/>
            <w:vAlign w:val="bottom"/>
            <w:vMerge w:val="restart"/>
          </w:tcPr>
          <w:p>
            <w:pPr>
              <w:jc w:val="center"/>
              <w:ind w:right="246"/>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7"/>
              </w:rPr>
              <w:t>Class A</w:t>
            </w:r>
          </w:p>
        </w:tc>
        <w:tc>
          <w:tcPr>
            <w:tcW w:w="120" w:type="dxa"/>
            <w:vAlign w:val="bottom"/>
          </w:tcPr>
          <w:p>
            <w:pPr>
              <w:spacing w:after="0"/>
              <w:rPr>
                <w:sz w:val="15"/>
                <w:szCs w:val="15"/>
                <w:color w:val="auto"/>
              </w:rPr>
            </w:pPr>
          </w:p>
        </w:tc>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6"/>
                <w:szCs w:val="16"/>
                <w:color w:val="0000FF"/>
                <w:w w:val="99"/>
              </w:rPr>
              <w:t>561,588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77"/>
              <w:spacing w:after="0" w:line="138" w:lineRule="exact"/>
              <w:rPr>
                <w:sz w:val="20"/>
                <w:szCs w:val="20"/>
                <w:color w:val="auto"/>
              </w:rPr>
            </w:pPr>
            <w:r>
              <w:rPr>
                <w:rFonts w:ascii="Times New Roman" w:cs="Times New Roman" w:eastAsia="Times New Roman" w:hAnsi="Times New Roman"/>
                <w:sz w:val="13"/>
                <w:szCs w:val="13"/>
                <w:color w:val="0000FF"/>
              </w:rPr>
              <w:t>04/09/2026</w:t>
            </w:r>
          </w:p>
        </w:tc>
        <w:tc>
          <w:tcPr>
            <w:tcW w:w="1060" w:type="dxa"/>
            <w:vAlign w:val="bottom"/>
          </w:tcPr>
          <w:p>
            <w:pPr>
              <w:spacing w:after="0"/>
              <w:rPr>
                <w:sz w:val="11"/>
                <w:szCs w:val="11"/>
                <w:color w:val="auto"/>
              </w:rPr>
            </w:pPr>
          </w:p>
        </w:tc>
        <w:tc>
          <w:tcPr>
            <w:tcW w:w="80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561,588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80" w:type="dxa"/>
            <w:vAlign w:val="bottom"/>
          </w:tcPr>
          <w:p>
            <w:pPr>
              <w:jc w:val="center"/>
              <w:ind w:right="2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9"/>
              </w:rPr>
              <w:t>561,588</w:t>
            </w:r>
          </w:p>
        </w:tc>
        <w:tc>
          <w:tcPr>
            <w:tcW w:w="620" w:type="dxa"/>
            <w:vAlign w:val="bottom"/>
          </w:tcPr>
          <w:p>
            <w:pPr>
              <w:jc w:val="center"/>
              <w:ind w:left="42"/>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(3)</w:t>
            </w:r>
          </w:p>
        </w:tc>
        <w:tc>
          <w:tcPr>
            <w:tcW w:w="280" w:type="dxa"/>
            <w:vAlign w:val="bottom"/>
          </w:tcPr>
          <w:p>
            <w:pPr>
              <w:spacing w:after="0"/>
              <w:rPr>
                <w:sz w:val="15"/>
                <w:szCs w:val="15"/>
                <w:color w:val="auto"/>
              </w:rPr>
            </w:pPr>
          </w:p>
        </w:tc>
        <w:tc>
          <w:tcPr>
            <w:tcW w:w="500" w:type="dxa"/>
            <w:vAlign w:val="bottom"/>
            <w:vMerge w:val="restart"/>
          </w:tcPr>
          <w:p>
            <w:pPr>
              <w:jc w:val="center"/>
              <w:ind w:right="246"/>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7"/>
              </w:rPr>
              <w:t>Class A</w:t>
            </w:r>
          </w:p>
        </w:tc>
        <w:tc>
          <w:tcPr>
            <w:tcW w:w="120" w:type="dxa"/>
            <w:vAlign w:val="bottom"/>
          </w:tcPr>
          <w:p>
            <w:pPr>
              <w:spacing w:after="0"/>
              <w:rPr>
                <w:sz w:val="15"/>
                <w:szCs w:val="15"/>
                <w:color w:val="auto"/>
              </w:rPr>
            </w:pPr>
          </w:p>
        </w:tc>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6"/>
                <w:szCs w:val="16"/>
                <w:color w:val="0000FF"/>
                <w:w w:val="99"/>
              </w:rPr>
              <w:t>38,282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80" w:type="dxa"/>
            <w:vAlign w:val="bottom"/>
          </w:tcPr>
          <w:p>
            <w:pPr>
              <w:jc w:val="center"/>
              <w:ind w:right="2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38,282</w:t>
            </w:r>
          </w:p>
        </w:tc>
        <w:tc>
          <w:tcPr>
            <w:tcW w:w="620" w:type="dxa"/>
            <w:vAlign w:val="bottom"/>
          </w:tcPr>
          <w:p>
            <w:pPr>
              <w:jc w:val="center"/>
              <w:ind w:left="42"/>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15"/>
                <w:szCs w:val="15"/>
                <w:color w:val="auto"/>
              </w:rPr>
            </w:pPr>
          </w:p>
        </w:tc>
        <w:tc>
          <w:tcPr>
            <w:tcW w:w="500" w:type="dxa"/>
            <w:vAlign w:val="bottom"/>
            <w:vMerge w:val="restart"/>
          </w:tcPr>
          <w:p>
            <w:pPr>
              <w:jc w:val="center"/>
              <w:ind w:right="246"/>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7"/>
              </w:rPr>
              <w:t>Class A</w:t>
            </w:r>
          </w:p>
        </w:tc>
        <w:tc>
          <w:tcPr>
            <w:tcW w:w="120" w:type="dxa"/>
            <w:vAlign w:val="bottom"/>
          </w:tcPr>
          <w:p>
            <w:pPr>
              <w:spacing w:after="0"/>
              <w:rPr>
                <w:sz w:val="15"/>
                <w:szCs w:val="15"/>
                <w:color w:val="auto"/>
              </w:rPr>
            </w:pPr>
          </w:p>
        </w:tc>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6"/>
                <w:szCs w:val="16"/>
                <w:color w:val="0000FF"/>
                <w:w w:val="99"/>
              </w:rPr>
              <w:t>30,173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80" w:type="dxa"/>
            <w:vAlign w:val="bottom"/>
          </w:tcPr>
          <w:p>
            <w:pPr>
              <w:jc w:val="center"/>
              <w:ind w:right="20"/>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center"/>
              <w:ind w:right="4"/>
              <w:spacing w:after="0" w:line="138" w:lineRule="exact"/>
              <w:rPr>
                <w:sz w:val="20"/>
                <w:szCs w:val="20"/>
                <w:color w:val="auto"/>
              </w:rPr>
            </w:pPr>
            <w:r>
              <w:rPr>
                <w:rFonts w:ascii="Times New Roman" w:cs="Times New Roman" w:eastAsia="Times New Roman" w:hAnsi="Times New Roman"/>
                <w:sz w:val="13"/>
                <w:szCs w:val="13"/>
                <w:color w:val="0000FF"/>
                <w:w w:val="94"/>
              </w:rPr>
              <w:t>30,173</w:t>
            </w:r>
          </w:p>
        </w:tc>
        <w:tc>
          <w:tcPr>
            <w:tcW w:w="620" w:type="dxa"/>
            <w:vAlign w:val="bottom"/>
          </w:tcPr>
          <w:p>
            <w:pPr>
              <w:jc w:val="center"/>
              <w:ind w:left="42"/>
              <w:spacing w:after="0" w:line="138"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(5)</w:t>
            </w:r>
          </w:p>
        </w:tc>
        <w:tc>
          <w:tcPr>
            <w:tcW w:w="280" w:type="dxa"/>
            <w:vAlign w:val="bottom"/>
          </w:tcPr>
          <w:p>
            <w:pPr>
              <w:spacing w:after="0"/>
              <w:rPr>
                <w:sz w:val="15"/>
                <w:szCs w:val="15"/>
                <w:color w:val="auto"/>
              </w:rPr>
            </w:pPr>
          </w:p>
        </w:tc>
        <w:tc>
          <w:tcPr>
            <w:tcW w:w="500" w:type="dxa"/>
            <w:vAlign w:val="bottom"/>
            <w:vMerge w:val="restart"/>
          </w:tcPr>
          <w:p>
            <w:pPr>
              <w:jc w:val="center"/>
              <w:ind w:right="246"/>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7"/>
              </w:rPr>
              <w:t>Class A</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20,837,285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580" w:type="dxa"/>
            <w:vAlign w:val="bottom"/>
            <w:vMerge w:val="restart"/>
          </w:tcPr>
          <w:p>
            <w:pPr>
              <w:jc w:val="center"/>
              <w:ind w:right="2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20,837,285</w:t>
            </w:r>
          </w:p>
        </w:tc>
        <w:tc>
          <w:tcPr>
            <w:tcW w:w="620" w:type="dxa"/>
            <w:vAlign w:val="bottom"/>
            <w:vMerge w:val="restart"/>
          </w:tcPr>
          <w:p>
            <w:pPr>
              <w:jc w:val="center"/>
              <w:ind w:left="42"/>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-2656205</wp:posOffset>
            </wp:positionV>
            <wp:extent cx="28575" cy="2661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619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jc w:val="both"/>
        <w:ind w:left="40" w:right="420" w:hanging="2"/>
        <w:spacing w:after="0" w:line="292" w:lineRule="auto"/>
        <w:tabs>
          <w:tab w:leader="none" w:pos="165"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Reporting Person received an award of restricted stock units ("RSUs") on April 9, 2026 which will vest as follows: 8.3375% of the RSUs shall vest every three months following April 9, 2026 (the "Vesting Commencement Date"), such that the RSU award is 66.7% vested on the second anniversary of the RSU Vesting Commencement Date. Thereafter, 5.55% of RSUs shall vest every three months such that the RSU award is 88.9% vested on the third anniversary of the RSU Vesting Commencement Date. Thereafter, 2.775% of RSUs shall vest every three months, such that the RSU award is fully vested on April 9, 2030.</w:t>
      </w:r>
    </w:p>
    <w:p>
      <w:pPr>
        <w:spacing w:after="0" w:line="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8" w:lineRule="exact"/>
        <w:rPr>
          <w:rFonts w:ascii="Times New Roman" w:cs="Times New Roman" w:eastAsia="Times New Roman" w:hAnsi="Times New Roman"/>
          <w:sz w:val="13"/>
          <w:szCs w:val="13"/>
          <w:color w:val="008000"/>
        </w:rPr>
      </w:pPr>
    </w:p>
    <w:p>
      <w:pPr>
        <w:ind w:left="40" w:right="400" w:hanging="2"/>
        <w:spacing w:after="0" w:line="229"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shares are held of record by Zheng Yuan and Hongyu Zhang, cotrustees of the the 2018 Yuan and Zhang Revocable Trust, for which the Reporting Person and the Reporting Person's spouse serve as cotrustees.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04/13/2026</w:t>
            </w:r>
          </w:p>
        </w:tc>
        <w:tc>
          <w:tcPr>
            <w:tcW w:w="0" w:type="dxa"/>
            <w:vAlign w:val="bottom"/>
          </w:tcPr>
          <w:p>
            <w:pPr>
              <w:spacing w:after="0"/>
              <w:rPr>
                <w:sz w:val="1"/>
                <w:szCs w:val="1"/>
                <w:color w:val="auto"/>
              </w:rPr>
            </w:pPr>
          </w:p>
        </w:tc>
      </w:tr>
      <w:tr>
        <w:trPr>
          <w:trHeight w:val="80"/>
        </w:trPr>
        <w:tc>
          <w:tcPr>
            <w:tcW w:w="28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4"/>
              </w:rPr>
              <w:t>Fact</w:t>
            </w:r>
          </w:p>
        </w:tc>
        <w:tc>
          <w:tcPr>
            <w:tcW w:w="168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continue"/>
          </w:tcPr>
          <w:p>
            <w:pPr>
              <w:spacing w:after="0"/>
              <w:rPr>
                <w:sz w:val="6"/>
                <w:szCs w:val="6"/>
                <w:color w:val="auto"/>
              </w:rPr>
            </w:pPr>
          </w:p>
        </w:tc>
        <w:tc>
          <w:tcPr>
            <w:tcW w:w="168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2026-04-13T18:07:51Z</dcterms:created>
  <dcterms:modified xsi:type="dcterms:W3CDTF">2026-04-13T18:07:51Z</dcterms:modified>
</cp:coreProperties>
</file>