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Filed Pursuant to Rule 424(b)(5)</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Registration No. 333-252035</w:t>
            </w: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4"/>
                <w:szCs w:val="24"/>
                <w:color w:val="auto"/>
              </w:rPr>
            </w:pPr>
          </w:p>
        </w:tc>
        <w:tc>
          <w:tcPr>
            <w:tcW w:w="44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0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Proposed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vMerge w:val="restart"/>
          </w:tcPr>
          <w:p>
            <w:pPr>
              <w:jc w:val="center"/>
              <w:ind w:left="1262"/>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3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3500" w:type="dxa"/>
            <w:vAlign w:val="bottom"/>
            <w:vMerge w:val="continue"/>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00" w:type="dxa"/>
            <w:vAlign w:val="bottom"/>
            <w:tcBorders>
              <w:bottom w:val="single" w:sz="8" w:color="auto"/>
            </w:tcBorders>
          </w:tcPr>
          <w:p>
            <w:pPr>
              <w:jc w:val="center"/>
              <w:ind w:left="1282"/>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38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Registration Fee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13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5,882,353</w:t>
            </w:r>
            <w:r>
              <w:rPr>
                <w:rFonts w:ascii="Times New Roman" w:cs="Times New Roman" w:eastAsia="Times New Roman" w:hAnsi="Times New Roman"/>
                <w:sz w:val="15"/>
                <w:szCs w:val="15"/>
                <w:color w:val="auto"/>
                <w:w w:val="98"/>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$2,000,000,020</w:t>
            </w:r>
          </w:p>
        </w:tc>
        <w:tc>
          <w:tcPr>
            <w:tcW w:w="15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$218,200</w:t>
            </w: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40" w:hanging="424"/>
        <w:spacing w:after="0" w:line="255"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under the Securities Act of 1933, as amended (the “Securities Act”). Payment of the registration fee at the time of filing of the registrant’s Registration Statement on Form S-3 (File No. 333-252035) on January 12, 2021 was deferred pursuant to Rule 456(b) and 457(r) under the Securities Act and is paid herewith.</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735,294 shares that the underwriter has an option to purchase.</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January 12, 2021)</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5,147,059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158115</wp:posOffset>
            </wp:positionV>
            <wp:extent cx="1234440"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Class A common stock</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offering 5,147,059 shares of our Class A common stock.</w:t>
      </w:r>
    </w:p>
    <w:p>
      <w:pPr>
        <w:spacing w:after="0" w:line="158" w:lineRule="exact"/>
        <w:rPr>
          <w:sz w:val="20"/>
          <w:szCs w:val="20"/>
          <w:color w:val="auto"/>
        </w:rPr>
      </w:pPr>
    </w:p>
    <w:p>
      <w:pPr>
        <w:ind w:left="120" w:right="160"/>
        <w:spacing w:after="0" w:line="243"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 Outstanding shares of Class B common stock will represent approximately 81.2% of the voting power of our outstanding capital stock immediately following this offering.</w:t>
      </w:r>
    </w:p>
    <w:p>
      <w:pPr>
        <w:spacing w:after="0" w:line="127" w:lineRule="exact"/>
        <w:rPr>
          <w:sz w:val="20"/>
          <w:szCs w:val="20"/>
          <w:color w:val="auto"/>
        </w:rPr>
      </w:pPr>
    </w:p>
    <w:p>
      <w:pPr>
        <w:ind w:left="120" w:right="60"/>
        <w:spacing w:after="0" w:line="269" w:lineRule="auto"/>
        <w:rPr>
          <w:sz w:val="20"/>
          <w:szCs w:val="20"/>
          <w:color w:val="auto"/>
        </w:rPr>
      </w:pPr>
      <w:r>
        <w:rPr>
          <w:rFonts w:ascii="Arial" w:cs="Arial" w:eastAsia="Arial" w:hAnsi="Arial"/>
          <w:sz w:val="18"/>
          <w:szCs w:val="18"/>
          <w:color w:val="auto"/>
        </w:rPr>
        <w:t>Our Class A common stock is listed on The Nasdaq Global Select Market under the symbol “ZM”. On January 12, 2021, the last reported sale price of our Class A common stock on The Nasdaq Global Select Market was $356.81 per share.</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an “emerging growth company” as defined under the federal securities laws. Investing in our Class A common stock involves risks.</w:t>
      </w:r>
    </w:p>
    <w:p>
      <w:pPr>
        <w:spacing w:after="0" w:line="18" w:lineRule="exact"/>
        <w:rPr>
          <w:sz w:val="20"/>
          <w:szCs w:val="20"/>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See “</w:t>
      </w:r>
      <w:hyperlink w:anchor="page17">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59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2"/>
          </w:tcPr>
          <w:p>
            <w:pPr>
              <w:ind w:left="2540"/>
              <w:spacing w:after="0"/>
              <w:rPr>
                <w:sz w:val="20"/>
                <w:szCs w:val="20"/>
                <w:color w:val="auto"/>
              </w:rPr>
            </w:pPr>
            <w:r>
              <w:rPr>
                <w:rFonts w:ascii="Arial" w:cs="Arial" w:eastAsia="Arial" w:hAnsi="Arial"/>
                <w:sz w:val="18"/>
                <w:szCs w:val="18"/>
                <w:b w:val="1"/>
                <w:bCs w:val="1"/>
                <w:color w:val="auto"/>
              </w:rPr>
              <w:t>Per Share</w:t>
            </w:r>
          </w:p>
        </w:tc>
        <w:tc>
          <w:tcPr>
            <w:tcW w:w="15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115"/>
        </w:trPr>
        <w:tc>
          <w:tcPr>
            <w:tcW w:w="59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to Public</w:t>
            </w:r>
          </w:p>
        </w:tc>
        <w:tc>
          <w:tcPr>
            <w:tcW w:w="2740" w:type="dxa"/>
            <w:vAlign w:val="bottom"/>
            <w:shd w:val="clear" w:color="auto" w:fill="CCEEFF"/>
          </w:tcPr>
          <w:p>
            <w:pPr>
              <w:ind w:left="25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340.00</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1,750,000,060</w:t>
            </w:r>
          </w:p>
        </w:tc>
      </w:tr>
      <w:tr>
        <w:trPr>
          <w:trHeight w:val="203"/>
        </w:trPr>
        <w:tc>
          <w:tcPr>
            <w:tcW w:w="5920" w:type="dxa"/>
            <w:vAlign w:val="bottom"/>
          </w:tcPr>
          <w:p>
            <w:pPr>
              <w:spacing w:after="0" w:line="203"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2"/>
                <w:szCs w:val="22"/>
                <w:color w:val="auto"/>
                <w:vertAlign w:val="superscript"/>
              </w:rPr>
              <w:t>(1)</w:t>
            </w:r>
          </w:p>
        </w:tc>
        <w:tc>
          <w:tcPr>
            <w:tcW w:w="2740" w:type="dxa"/>
            <w:vAlign w:val="bottom"/>
          </w:tcPr>
          <w:p>
            <w:pPr>
              <w:ind w:left="25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3.40</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17,500,001</w:t>
            </w:r>
          </w:p>
        </w:tc>
      </w:tr>
      <w:tr>
        <w:trPr>
          <w:trHeight w:val="203"/>
        </w:trPr>
        <w:tc>
          <w:tcPr>
            <w:tcW w:w="5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Zoom, Before Expenses</w:t>
            </w:r>
          </w:p>
        </w:tc>
        <w:tc>
          <w:tcPr>
            <w:tcW w:w="2740" w:type="dxa"/>
            <w:vAlign w:val="bottom"/>
            <w:tcBorders>
              <w:bottom w:val="single" w:sz="8" w:color="auto"/>
            </w:tcBorders>
            <w:shd w:val="clear" w:color="auto" w:fill="CCEEFF"/>
          </w:tcPr>
          <w:p>
            <w:pPr>
              <w:ind w:left="254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336.60</w:t>
            </w:r>
          </w:p>
        </w:tc>
        <w:tc>
          <w:tcPr>
            <w:tcW w:w="3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1,732,500,059</w:t>
            </w:r>
          </w:p>
        </w:tc>
      </w:tr>
    </w:tbl>
    <w:p>
      <w:pPr>
        <w:spacing w:after="0" w:line="64"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“Underwriting” for a description of the compensation payable to the underwriter.</w:t>
      </w:r>
    </w:p>
    <w:p>
      <w:pPr>
        <w:spacing w:after="0" w:line="159" w:lineRule="exact"/>
        <w:rPr>
          <w:sz w:val="20"/>
          <w:szCs w:val="20"/>
          <w:color w:val="auto"/>
        </w:rPr>
      </w:pPr>
    </w:p>
    <w:p>
      <w:pPr>
        <w:ind w:left="120" w:right="340"/>
        <w:spacing w:after="0" w:line="269" w:lineRule="auto"/>
        <w:rPr>
          <w:sz w:val="20"/>
          <w:szCs w:val="20"/>
          <w:color w:val="auto"/>
        </w:rPr>
      </w:pPr>
      <w:r>
        <w:rPr>
          <w:rFonts w:ascii="Arial" w:cs="Arial" w:eastAsia="Arial" w:hAnsi="Arial"/>
          <w:sz w:val="18"/>
          <w:szCs w:val="18"/>
          <w:color w:val="auto"/>
        </w:rPr>
        <w:t>We have granted the underwriter an option for a period of 30 days to purchase up to an additional 735,294 shares of our Class A common stock.</w:t>
      </w:r>
    </w:p>
    <w:p>
      <w:pPr>
        <w:spacing w:after="0" w:line="101" w:lineRule="exact"/>
        <w:rPr>
          <w:sz w:val="20"/>
          <w:szCs w:val="20"/>
          <w:color w:val="auto"/>
        </w:rPr>
      </w:pPr>
    </w:p>
    <w:p>
      <w:pPr>
        <w:ind w:left="120" w:right="560"/>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 expects to deliver the shares to purchasers on January 15, 2021.</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J.P. Morgan</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January 12, 2021</w:t>
      </w:r>
    </w:p>
    <w:p>
      <w:pPr>
        <w:sectPr>
          <w:pgSz w:w="11900" w:h="16838" w:orient="portrait"/>
          <w:cols w:equalWidth="0" w:num="1">
            <w:col w:w="11140"/>
          </w:cols>
          <w:pgMar w:left="32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Table of contents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Prospectus supplement</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38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supplement summary</w:t>
              </w:r>
            </w:hyperlink>
          </w:p>
        </w:tc>
        <w:tc>
          <w:tcPr>
            <w:tcW w:w="1240" w:type="dxa"/>
            <w:vAlign w:val="bottom"/>
          </w:tcPr>
          <w:p>
            <w:pPr>
              <w:jc w:val="right"/>
              <w:ind w:right="315"/>
              <w:spacing w:after="0"/>
              <w:rPr>
                <w:sz w:val="20"/>
                <w:szCs w:val="20"/>
                <w:color w:val="auto"/>
              </w:rPr>
            </w:pPr>
            <w:r>
              <w:rPr>
                <w:rFonts w:ascii="Arial" w:cs="Arial" w:eastAsia="Arial" w:hAnsi="Arial"/>
                <w:sz w:val="13"/>
                <w:szCs w:val="13"/>
                <w:b w:val="1"/>
                <w:bCs w:val="1"/>
                <w:color w:val="auto"/>
              </w:rPr>
              <w:t>Page</w:t>
            </w:r>
          </w:p>
        </w:tc>
        <w:tc>
          <w:tcPr>
            <w:tcW w:w="4500" w:type="dxa"/>
            <w:vAlign w:val="bottom"/>
            <w:gridSpan w:val="3"/>
            <w:vMerge w:val="restart"/>
          </w:tcPr>
          <w:p>
            <w:pPr>
              <w:spacing w:after="0"/>
              <w:rPr>
                <w:rFonts w:ascii="Arial" w:cs="Arial" w:eastAsia="Arial" w:hAnsi="Arial"/>
                <w:sz w:val="18"/>
                <w:szCs w:val="18"/>
                <w:color w:val="0000EE"/>
                <w:w w:val="96"/>
              </w:rPr>
            </w:pPr>
            <w:hyperlink w:anchor="page65">
              <w:r>
                <w:rPr>
                  <w:rFonts w:ascii="Arial" w:cs="Arial" w:eastAsia="Arial" w:hAnsi="Arial"/>
                  <w:sz w:val="18"/>
                  <w:szCs w:val="18"/>
                  <w:color w:val="0000EE"/>
                  <w:w w:val="96"/>
                </w:rPr>
                <w:t>Material U.S. federal income tax considerations for certain</w:t>
              </w:r>
            </w:hyperlink>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99"/>
        </w:trPr>
        <w:tc>
          <w:tcPr>
            <w:tcW w:w="4380" w:type="dxa"/>
            <w:vAlign w:val="bottom"/>
            <w:vMerge w:val="continue"/>
          </w:tcPr>
          <w:p>
            <w:pPr>
              <w:spacing w:after="0"/>
              <w:rPr>
                <w:sz w:val="16"/>
                <w:szCs w:val="16"/>
                <w:color w:val="auto"/>
              </w:rPr>
            </w:pPr>
          </w:p>
        </w:tc>
        <w:tc>
          <w:tcPr>
            <w:tcW w:w="1240" w:type="dxa"/>
            <w:vAlign w:val="bottom"/>
          </w:tcPr>
          <w:p>
            <w:pPr>
              <w:jc w:val="right"/>
              <w:ind w:right="315"/>
              <w:spacing w:after="0" w:line="195" w:lineRule="exact"/>
              <w:rPr>
                <w:sz w:val="20"/>
                <w:szCs w:val="20"/>
                <w:color w:val="auto"/>
              </w:rPr>
            </w:pPr>
            <w:r>
              <w:rPr>
                <w:rFonts w:ascii="Arial" w:cs="Arial" w:eastAsia="Arial" w:hAnsi="Arial"/>
                <w:sz w:val="18"/>
                <w:szCs w:val="18"/>
                <w:color w:val="auto"/>
              </w:rPr>
              <w:t>S-1</w:t>
            </w:r>
          </w:p>
        </w:tc>
        <w:tc>
          <w:tcPr>
            <w:tcW w:w="4500" w:type="dxa"/>
            <w:vAlign w:val="bottom"/>
            <w:tcBorders>
              <w:bottom w:val="single" w:sz="8" w:color="0000EE"/>
            </w:tcBorders>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line="182"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The offering</w:t>
              </w:r>
            </w:hyperlink>
          </w:p>
        </w:tc>
        <w:tc>
          <w:tcPr>
            <w:tcW w:w="1240" w:type="dxa"/>
            <w:vAlign w:val="bottom"/>
          </w:tcPr>
          <w:p>
            <w:pPr>
              <w:jc w:val="right"/>
              <w:ind w:right="315"/>
              <w:spacing w:after="0" w:line="182" w:lineRule="exact"/>
              <w:rPr>
                <w:sz w:val="20"/>
                <w:szCs w:val="20"/>
                <w:color w:val="auto"/>
              </w:rPr>
            </w:pPr>
            <w:r>
              <w:rPr>
                <w:rFonts w:ascii="Arial" w:cs="Arial" w:eastAsia="Arial" w:hAnsi="Arial"/>
                <w:sz w:val="18"/>
                <w:szCs w:val="18"/>
                <w:color w:val="auto"/>
              </w:rPr>
              <w:t>S-5</w:t>
            </w:r>
          </w:p>
        </w:tc>
        <w:tc>
          <w:tcPr>
            <w:tcW w:w="220" w:type="dxa"/>
            <w:vAlign w:val="bottom"/>
          </w:tcPr>
          <w:p>
            <w:pPr>
              <w:spacing w:after="0"/>
              <w:rPr>
                <w:sz w:val="15"/>
                <w:szCs w:val="15"/>
                <w:color w:val="auto"/>
              </w:rPr>
            </w:pPr>
          </w:p>
        </w:tc>
        <w:tc>
          <w:tcPr>
            <w:tcW w:w="4280" w:type="dxa"/>
            <w:vAlign w:val="bottom"/>
            <w:gridSpan w:val="2"/>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non-U.S. holders</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S-61</w:t>
            </w:r>
          </w:p>
        </w:tc>
        <w:tc>
          <w:tcPr>
            <w:tcW w:w="0" w:type="dxa"/>
            <w:vAlign w:val="bottom"/>
          </w:tcPr>
          <w:p>
            <w:pPr>
              <w:spacing w:after="0"/>
              <w:rPr>
                <w:sz w:val="1"/>
                <w:szCs w:val="1"/>
                <w:color w:val="auto"/>
              </w:rPr>
            </w:pPr>
          </w:p>
        </w:tc>
      </w:tr>
      <w:tr>
        <w:trPr>
          <w:trHeight w:val="191"/>
        </w:trPr>
        <w:tc>
          <w:tcPr>
            <w:tcW w:w="4380" w:type="dxa"/>
            <w:vAlign w:val="bottom"/>
          </w:tcPr>
          <w:p>
            <w:pPr>
              <w:spacing w:after="0" w:line="191"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1240" w:type="dxa"/>
            <w:vAlign w:val="bottom"/>
          </w:tcPr>
          <w:p>
            <w:pPr>
              <w:jc w:val="right"/>
              <w:ind w:right="315"/>
              <w:spacing w:after="0" w:line="191" w:lineRule="exact"/>
              <w:rPr>
                <w:sz w:val="20"/>
                <w:szCs w:val="20"/>
                <w:color w:val="auto"/>
              </w:rPr>
            </w:pPr>
            <w:r>
              <w:rPr>
                <w:rFonts w:ascii="Arial" w:cs="Arial" w:eastAsia="Arial" w:hAnsi="Arial"/>
                <w:sz w:val="18"/>
                <w:szCs w:val="18"/>
                <w:color w:val="auto"/>
              </w:rPr>
              <w:t>S-13</w:t>
            </w:r>
          </w:p>
        </w:tc>
        <w:tc>
          <w:tcPr>
            <w:tcW w:w="220" w:type="dxa"/>
            <w:vAlign w:val="bottom"/>
          </w:tcPr>
          <w:p>
            <w:pPr>
              <w:spacing w:after="0"/>
              <w:rPr>
                <w:sz w:val="16"/>
                <w:szCs w:val="16"/>
                <w:color w:val="auto"/>
              </w:rPr>
            </w:pPr>
          </w:p>
        </w:tc>
        <w:tc>
          <w:tcPr>
            <w:tcW w:w="1320" w:type="dxa"/>
            <w:vAlign w:val="bottom"/>
            <w:tcBorders>
              <w:top w:val="single" w:sz="8" w:color="0000EE"/>
            </w:tcBorders>
          </w:tcPr>
          <w:p>
            <w:pPr>
              <w:spacing w:after="0" w:line="191" w:lineRule="exact"/>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Underwriting</w:t>
              </w:r>
            </w:hyperlink>
          </w:p>
        </w:tc>
        <w:tc>
          <w:tcPr>
            <w:tcW w:w="296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Arial" w:cs="Arial" w:eastAsia="Arial" w:hAnsi="Arial"/>
                <w:sz w:val="18"/>
                <w:szCs w:val="18"/>
                <w:color w:val="auto"/>
              </w:rPr>
              <w:t>S-65</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Special note regarding forward-looking statements</w:t>
              </w:r>
            </w:hyperlink>
          </w:p>
        </w:tc>
        <w:tc>
          <w:tcPr>
            <w:tcW w:w="1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S-55</w:t>
            </w:r>
          </w:p>
        </w:tc>
        <w:tc>
          <w:tcPr>
            <w:tcW w:w="4500" w:type="dxa"/>
            <w:vAlign w:val="bottom"/>
            <w:gridSpan w:val="3"/>
          </w:tcPr>
          <w:p>
            <w:pPr>
              <w:spacing w:after="0" w:line="202" w:lineRule="exact"/>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Legal matters</w:t>
              </w:r>
            </w:hyperlink>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S-79</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Use of proceeds</w:t>
              </w:r>
            </w:hyperlink>
          </w:p>
        </w:tc>
        <w:tc>
          <w:tcPr>
            <w:tcW w:w="1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S-57</w:t>
            </w:r>
          </w:p>
        </w:tc>
        <w:tc>
          <w:tcPr>
            <w:tcW w:w="4500" w:type="dxa"/>
            <w:vAlign w:val="bottom"/>
            <w:gridSpan w:val="3"/>
          </w:tcPr>
          <w:p>
            <w:pPr>
              <w:spacing w:after="0" w:line="202"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Experts</w:t>
              </w:r>
            </w:hyperlink>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S-80</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Dividend policy</w:t>
              </w:r>
            </w:hyperlink>
          </w:p>
        </w:tc>
        <w:tc>
          <w:tcPr>
            <w:tcW w:w="1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S-58</w:t>
            </w:r>
          </w:p>
        </w:tc>
        <w:tc>
          <w:tcPr>
            <w:tcW w:w="4500" w:type="dxa"/>
            <w:vAlign w:val="bottom"/>
            <w:gridSpan w:val="3"/>
          </w:tcPr>
          <w:p>
            <w:pPr>
              <w:spacing w:after="0" w:line="202"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Where you can find additional information</w:t>
              </w:r>
            </w:hyperlink>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S-81</w:t>
            </w:r>
          </w:p>
        </w:tc>
        <w:tc>
          <w:tcPr>
            <w:tcW w:w="0" w:type="dxa"/>
            <w:vAlign w:val="bottom"/>
          </w:tcPr>
          <w:p>
            <w:pPr>
              <w:spacing w:after="0"/>
              <w:rPr>
                <w:sz w:val="1"/>
                <w:szCs w:val="1"/>
                <w:color w:val="auto"/>
              </w:rPr>
            </w:pPr>
          </w:p>
        </w:tc>
      </w:tr>
      <w:tr>
        <w:trPr>
          <w:trHeight w:val="237"/>
        </w:trPr>
        <w:tc>
          <w:tcPr>
            <w:tcW w:w="438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Dilution</w:t>
              </w:r>
            </w:hyperlink>
          </w:p>
        </w:tc>
        <w:tc>
          <w:tcPr>
            <w:tcW w:w="1240" w:type="dxa"/>
            <w:vAlign w:val="bottom"/>
          </w:tcPr>
          <w:p>
            <w:pPr>
              <w:jc w:val="right"/>
              <w:ind w:right="315"/>
              <w:spacing w:after="0"/>
              <w:rPr>
                <w:sz w:val="20"/>
                <w:szCs w:val="20"/>
                <w:color w:val="auto"/>
              </w:rPr>
            </w:pPr>
            <w:r>
              <w:rPr>
                <w:rFonts w:ascii="Arial" w:cs="Arial" w:eastAsia="Arial" w:hAnsi="Arial"/>
                <w:sz w:val="18"/>
                <w:szCs w:val="18"/>
                <w:color w:val="auto"/>
              </w:rPr>
              <w:t>S-59</w:t>
            </w:r>
          </w:p>
        </w:tc>
        <w:tc>
          <w:tcPr>
            <w:tcW w:w="4500" w:type="dxa"/>
            <w:vAlign w:val="bottom"/>
            <w:gridSpan w:val="3"/>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Incorporation of certain information by reference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S-82</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Prospectus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00" w:type="dxa"/>
            <w:vAlign w:val="bottom"/>
            <w:vMerge w:val="restart"/>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About this prospectus</w:t>
              </w:r>
            </w:hyperlink>
          </w:p>
        </w:tc>
        <w:tc>
          <w:tcPr>
            <w:tcW w:w="1020" w:type="dxa"/>
            <w:vAlign w:val="bottom"/>
          </w:tcPr>
          <w:p>
            <w:pPr>
              <w:jc w:val="right"/>
              <w:ind w:right="115"/>
              <w:spacing w:after="0"/>
              <w:rPr>
                <w:sz w:val="20"/>
                <w:szCs w:val="20"/>
                <w:color w:val="auto"/>
              </w:rPr>
            </w:pPr>
            <w:r>
              <w:rPr>
                <w:rFonts w:ascii="Arial" w:cs="Arial" w:eastAsia="Arial" w:hAnsi="Arial"/>
                <w:sz w:val="13"/>
                <w:szCs w:val="13"/>
                <w:b w:val="1"/>
                <w:bCs w:val="1"/>
                <w:color w:val="auto"/>
              </w:rPr>
              <w:t>Page</w:t>
            </w:r>
          </w:p>
        </w:tc>
        <w:tc>
          <w:tcPr>
            <w:tcW w:w="4580" w:type="dxa"/>
            <w:vAlign w:val="bottom"/>
            <w:vMerge w:val="restart"/>
          </w:tcPr>
          <w:p>
            <w:pPr>
              <w:ind w:left="20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Legal ownership of securities</w:t>
              </w:r>
            </w:hyperlink>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ii</w:t>
            </w:r>
          </w:p>
        </w:tc>
        <w:tc>
          <w:tcPr>
            <w:tcW w:w="4580" w:type="dxa"/>
            <w:vAlign w:val="bottom"/>
            <w:vMerge w:val="continue"/>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Prospectus summary</w:t>
              </w:r>
            </w:hyperlink>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w:t>
            </w:r>
          </w:p>
        </w:tc>
        <w:tc>
          <w:tcPr>
            <w:tcW w:w="4580" w:type="dxa"/>
            <w:vAlign w:val="bottom"/>
          </w:tcPr>
          <w:p>
            <w:pPr>
              <w:ind w:left="200"/>
              <w:spacing w:after="0" w:line="202" w:lineRule="exact"/>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Selling securityholders</w:t>
              </w:r>
            </w:hyperlink>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4400" w:type="dxa"/>
            <w:vAlign w:val="bottom"/>
          </w:tcPr>
          <w:p>
            <w:pPr>
              <w:spacing w:after="0" w:line="202" w:lineRule="exact"/>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Risk factors</w:t>
              </w:r>
            </w:hyperlink>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6</w:t>
            </w:r>
          </w:p>
        </w:tc>
        <w:tc>
          <w:tcPr>
            <w:tcW w:w="4580" w:type="dxa"/>
            <w:vAlign w:val="bottom"/>
          </w:tcPr>
          <w:p>
            <w:pPr>
              <w:ind w:left="200"/>
              <w:spacing w:after="0" w:line="202" w:lineRule="exact"/>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Plan of distribution</w:t>
              </w:r>
            </w:hyperlink>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Special note regarding forward-looking statements</w:t>
              </w:r>
            </w:hyperlink>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7</w:t>
            </w:r>
          </w:p>
        </w:tc>
        <w:tc>
          <w:tcPr>
            <w:tcW w:w="4580" w:type="dxa"/>
            <w:vAlign w:val="bottom"/>
          </w:tcPr>
          <w:p>
            <w:pPr>
              <w:ind w:left="200"/>
              <w:spacing w:after="0" w:line="202" w:lineRule="exact"/>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Legal matters</w:t>
              </w:r>
            </w:hyperlink>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Use of proceeds</w:t>
              </w:r>
            </w:hyperlink>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8</w:t>
            </w:r>
          </w:p>
        </w:tc>
        <w:tc>
          <w:tcPr>
            <w:tcW w:w="4580" w:type="dxa"/>
            <w:vAlign w:val="bottom"/>
          </w:tcPr>
          <w:p>
            <w:pPr>
              <w:ind w:left="200"/>
              <w:spacing w:after="0" w:line="202" w:lineRule="exact"/>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Experts</w:t>
              </w:r>
            </w:hyperlink>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Description of capital stock</w:t>
              </w:r>
            </w:hyperlink>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9</w:t>
            </w:r>
          </w:p>
        </w:tc>
        <w:tc>
          <w:tcPr>
            <w:tcW w:w="4580" w:type="dxa"/>
            <w:vAlign w:val="bottom"/>
          </w:tcPr>
          <w:p>
            <w:pPr>
              <w:ind w:left="200"/>
              <w:spacing w:after="0" w:line="202" w:lineRule="exact"/>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Where you can find additional information</w:t>
              </w:r>
            </w:hyperlink>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Description of debt securities</w:t>
              </w:r>
            </w:hyperlink>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14</w:t>
            </w:r>
          </w:p>
        </w:tc>
        <w:tc>
          <w:tcPr>
            <w:tcW w:w="4580" w:type="dxa"/>
            <w:vAlign w:val="bottom"/>
          </w:tcPr>
          <w:p>
            <w:pPr>
              <w:ind w:left="200"/>
              <w:spacing w:after="0" w:line="202" w:lineRule="exact"/>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Incorporation of certain information by reference</w:t>
              </w:r>
            </w:hyperlink>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4400" w:type="dxa"/>
            <w:vAlign w:val="bottom"/>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Description of warrants</w:t>
              </w:r>
            </w:hyperlink>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21</w:t>
            </w:r>
          </w:p>
        </w:tc>
        <w:tc>
          <w:tcPr>
            <w:tcW w:w="4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20"/>
        <w:spacing w:after="0" w:line="277" w:lineRule="auto"/>
        <w:rPr>
          <w:sz w:val="20"/>
          <w:szCs w:val="20"/>
          <w:color w:val="auto"/>
        </w:rPr>
      </w:pPr>
      <w:r>
        <w:rPr>
          <w:rFonts w:ascii="Arial" w:cs="Arial" w:eastAsia="Arial" w:hAnsi="Arial"/>
          <w:sz w:val="16"/>
          <w:szCs w:val="16"/>
          <w:color w:val="auto"/>
        </w:rPr>
        <w:t>Neither we nor the underwriter have authorized anyone to provide you with any information or to make any representations other than those contained in this prospectus or in any free writing prospectuses we have prepared. Neither we nor the underwriter take any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49"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For investors outside the United States: Neither we nor the underwriter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About this prospectus supplement</w:t>
      </w:r>
    </w:p>
    <w:p>
      <w:pPr>
        <w:spacing w:after="0" w:line="141"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terms of this offering of our Class A common stock and also adds to and updates information contained in the accompanying prospectus and the documents incorporated by reference in this prospectus supplement. The second part is the accompanying prospectus dated January 12, 2021, which includes the documents incorporated by reference therein and provides more general information. To the extent the information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contained in this prospectus supplement differs or varies from the information contained in the accompanying prospectus or the documents incorporated by reference herein or therein, you should rely on the information in this prospectus supplement. Generally, when we refer to the prospectus, we are referring to this prospectus supplement and the accompanying prospectus combined. You should read both this prospectus supplement and the accompanying prospectus, together with the documents incorporated by reference herein and therein and any additional information described under the heading “Where You Can Find Additional Information.”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5" w:right="5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07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Prospectus supplement summary</w:t>
      </w:r>
    </w:p>
    <w:p>
      <w:pPr>
        <w:spacing w:after="0" w:line="143" w:lineRule="exact"/>
        <w:rPr>
          <w:sz w:val="20"/>
          <w:szCs w:val="20"/>
          <w:color w:val="auto"/>
        </w:rPr>
      </w:pPr>
    </w:p>
    <w:p>
      <w:pPr>
        <w:ind w:left="300" w:right="20"/>
        <w:spacing w:after="0" w:line="238" w:lineRule="auto"/>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or incorporated by reference in this prospectus supplement and the accompanying prospectus. This summary provides an overview of selected information and does not contain all of the information you should consider before deciding whether to invest in our securities. Therefore, you should read the entire prospectus supplement and the accompanying prospectus carefully (including the documents incorporated by reference herein and therein), especially the “Risk Factors” section beginning on page S-13 of this prospectus supplement and page 6 of the accompanying prospectus and in the documents incorporated by reference and our consolidated financial statements (which we refer to as our “Financial Statements”) and the related notes incorporated by reference in this prospectus supplement and the accompanying prospectus, before deciding to invest in our securities. Unless the content otherwise requires, the terms “Zoom,” “company,” “our,” “us,” and “we” in this prospectus supplement and the accompanying prospectus refer to Zoom Video Communications, Inc. and where appropriate our consolidated subsidiaries.</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Zoom Video Communications, Inc.</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mission is to make video communications frictionless and secure.</w:t>
      </w:r>
    </w:p>
    <w:p>
      <w:pPr>
        <w:spacing w:after="0" w:line="104" w:lineRule="exact"/>
        <w:rPr>
          <w:sz w:val="20"/>
          <w:szCs w:val="20"/>
          <w:color w:val="auto"/>
        </w:rPr>
      </w:pPr>
    </w:p>
    <w:p>
      <w:pPr>
        <w:ind w:left="300" w:right="20"/>
        <w:spacing w:after="0" w:line="239" w:lineRule="auto"/>
        <w:rPr>
          <w:sz w:val="20"/>
          <w:szCs w:val="20"/>
          <w:color w:val="auto"/>
        </w:rPr>
      </w:pPr>
      <w:r>
        <w:rPr>
          <w:rFonts w:ascii="Arial" w:cs="Arial" w:eastAsia="Arial" w:hAnsi="Arial"/>
          <w:sz w:val="18"/>
          <w:szCs w:val="18"/>
          <w:color w:val="auto"/>
        </w:rPr>
        <w:t>We provide a video-first unified communications platform that delivers happiness and fundamentally changes how people interact. We connect people through frictionless and secure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applications and physical spaces. We believe that rich and reliable communications lead to interactions that build greater empathy and trust. We strive to live up to the trust our customers place in us by delivering a communications solution that “just works” while prioritizing their privacy and security. Our goal is to make Zoom Meetings better than in-person meetings. Our 21 co-located data centers located worldwide and the public cloud enable us to provide both high-quality and high-definition, real-time video to our customers even in low-bandwidth environments.</w:t>
      </w:r>
    </w:p>
    <w:p>
      <w:pPr>
        <w:spacing w:after="0" w:line="75"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The cornerstone of our platform is Zoom Meetings, around which we provide a full suite of products and features designed to give users an easy, reliable, and innovative video-first communications experience. As a result of the COVID-19 pandemic, we have experienced unprecedented usage from free users and new and existing customers. In April 2020, our platform surpassed more than 300 million daily meeting participants, up from approximately 10 million as of December 31, 2019, and as of October 31, 2020, our annualized meeting minutes run rate was more than 3.5 trillion. Annualized meeting minute run-rate is calculated by multiplying the quarter ending month’s exit meeting minutes by 12. In 2019, we launched Zoom Phone, a cloud-based PBX system that has already sold one million seats, creating a unique video-first unified communications platform. Many customers also choose to implement Zoom Rooms, our software-based conference room system, which enables users to easily experience Zoom Meetings in their physical meeting spaces. Based on International Data Corporation’s Worldwide Unified Communications and Collaboration Forecast, 2018-2024, we estimate that the total market opportunity for our platform could exceed $47 billion by 2024, and that the market opportunity for Zoom Phone specifically could exceed $23 billion by 2024. Our partner ecosystem, App Marketplace, and developer platform help enterprises create elevated experiences with third-party applications to create customized workflows.</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5" w:right="6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333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Impact of the COVID-19 pandemic</w:t>
      </w:r>
    </w:p>
    <w:p>
      <w:pPr>
        <w:spacing w:after="0" w:line="116" w:lineRule="exact"/>
        <w:rPr>
          <w:sz w:val="20"/>
          <w:szCs w:val="20"/>
          <w:color w:val="auto"/>
        </w:rPr>
      </w:pPr>
    </w:p>
    <w:p>
      <w:pPr>
        <w:ind w:left="300" w:right="20"/>
        <w:spacing w:after="0" w:line="239" w:lineRule="auto"/>
        <w:rPr>
          <w:sz w:val="20"/>
          <w:szCs w:val="20"/>
          <w:color w:val="auto"/>
        </w:rPr>
      </w:pPr>
      <w:r>
        <w:rPr>
          <w:rFonts w:ascii="Arial" w:cs="Arial" w:eastAsia="Arial" w:hAnsi="Arial"/>
          <w:sz w:val="18"/>
          <w:szCs w:val="18"/>
          <w:color w:val="auto"/>
        </w:rPr>
        <w:t>In December 2019, an outbreak of the COVID-19 disease was first identified and began to spread across the globe. In March 2020, the World Health Organization declared COVID-19 a pandemic, impacting many countries around the world. Governments have instituted lockdown or other similar measures to slow infection rates. Many organizations have resorted to mandating employees to work from home, which has resulted in these organizations seeking out video communication solutions like ours to keep employees as productive as possible, even while working from home. Schools, colleges, and universities globally have also closed as a result of this pandemic. Many of these institutions are utilizing our platform to provide remote instruction to their students. To help teachers and students navigate this unprecedented situation, we have temporarily removed the 40-minute time limit for meetings with more than two endpoints from our free Basic accounts for more than 125,000 K-12 school domains worldwide.</w:t>
      </w:r>
    </w:p>
    <w:p>
      <w:pPr>
        <w:spacing w:after="0" w:line="79" w:lineRule="exact"/>
        <w:rPr>
          <w:sz w:val="20"/>
          <w:szCs w:val="20"/>
          <w:color w:val="auto"/>
        </w:rPr>
      </w:pPr>
    </w:p>
    <w:p>
      <w:pPr>
        <w:ind w:left="300" w:right="120"/>
        <w:spacing w:after="0"/>
        <w:rPr>
          <w:sz w:val="20"/>
          <w:szCs w:val="20"/>
          <w:color w:val="auto"/>
        </w:rPr>
      </w:pPr>
      <w:r>
        <w:rPr>
          <w:rFonts w:ascii="Arial" w:cs="Arial" w:eastAsia="Arial" w:hAnsi="Arial"/>
          <w:sz w:val="18"/>
          <w:szCs w:val="18"/>
          <w:color w:val="auto"/>
        </w:rPr>
        <w:t>While we have experienced a significant increase in paid hosts and revenue due to the pandemic, the aforementioned factors have also driven increased usage of our services and have required us to expand our network and data storage and processing capacity, both in our own co-located data centers as well as through third-party cloud hosting, which has resulted, and is continuing to result, in an increase in our operating costs. Furthermore, a significant portion of the increase in usage of our platform is attributable to free Basic accounts and our removal of the time limit for school domains, which do not generate any revenue but still require us to incur these additional operating costs to expand our capacity. Therefore, the recent increase in usage of our platform has adversely impacted, and may continue to adversely impact, our gross margin.</w:t>
      </w:r>
    </w:p>
    <w:p>
      <w:pPr>
        <w:spacing w:after="0" w:line="77" w:lineRule="exact"/>
        <w:rPr>
          <w:sz w:val="20"/>
          <w:szCs w:val="20"/>
          <w:color w:val="auto"/>
        </w:rPr>
      </w:pPr>
    </w:p>
    <w:p>
      <w:pPr>
        <w:ind w:left="300"/>
        <w:spacing w:after="0" w:line="246" w:lineRule="auto"/>
        <w:rPr>
          <w:sz w:val="20"/>
          <w:szCs w:val="20"/>
          <w:color w:val="auto"/>
        </w:rPr>
      </w:pPr>
      <w:r>
        <w:rPr>
          <w:rFonts w:ascii="Arial" w:cs="Arial" w:eastAsia="Arial" w:hAnsi="Arial"/>
          <w:sz w:val="18"/>
          <w:szCs w:val="18"/>
          <w:color w:val="auto"/>
        </w:rPr>
        <w:t>In addition, there is no assurance that we will experience an increase in paid hosts or that new or existing users will continue to utilize our service after the COVID-19 pandemic has tapered. Moreover, the tapering of the COVID-19 pandemic, particularly as vaccinations become widely available, may result in a decline in paid hosts and users once individuals are no longer working or attending school from home.</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Selected risks affecting our business</w:t>
      </w:r>
    </w:p>
    <w:p>
      <w:pPr>
        <w:spacing w:after="0" w:line="116" w:lineRule="exact"/>
        <w:rPr>
          <w:sz w:val="20"/>
          <w:szCs w:val="20"/>
          <w:color w:val="auto"/>
        </w:rPr>
      </w:pPr>
    </w:p>
    <w:p>
      <w:pPr>
        <w:ind w:left="300" w:right="140"/>
        <w:spacing w:after="0" w:line="246" w:lineRule="auto"/>
        <w:rPr>
          <w:sz w:val="20"/>
          <w:szCs w:val="20"/>
          <w:color w:val="auto"/>
        </w:rPr>
      </w:pPr>
      <w:r>
        <w:rPr>
          <w:rFonts w:ascii="Arial" w:cs="Arial" w:eastAsia="Arial" w:hAnsi="Arial"/>
          <w:sz w:val="18"/>
          <w:szCs w:val="18"/>
          <w:color w:val="auto"/>
        </w:rPr>
        <w:t>Investing in our Class A common stock involves risk. You should carefully consider all of the information in this prospectus supplement and in the documents incorporated by reference prior to investing in our Class A common stock. These risks are discussed more fully in the section titled “Risk Factors” beginning on page S-13 immediately following this prospectus summary. These risks and uncertainties include, but are not limited to, the following:</w:t>
      </w:r>
    </w:p>
    <w:p>
      <w:pPr>
        <w:spacing w:after="0" w:line="83" w:lineRule="exact"/>
        <w:rPr>
          <w:sz w:val="20"/>
          <w:szCs w:val="20"/>
          <w:color w:val="auto"/>
        </w:rPr>
      </w:pPr>
    </w:p>
    <w:p>
      <w:pPr>
        <w:ind w:left="480" w:right="220" w:hanging="182"/>
        <w:spacing w:after="0" w:line="252"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77" w:lineRule="exact"/>
        <w:rPr>
          <w:rFonts w:ascii="Arial" w:cs="Arial" w:eastAsia="Arial" w:hAnsi="Arial"/>
          <w:sz w:val="18"/>
          <w:szCs w:val="18"/>
          <w:color w:val="auto"/>
        </w:rPr>
      </w:pPr>
    </w:p>
    <w:p>
      <w:pPr>
        <w:ind w:left="480" w:right="20" w:hanging="182"/>
        <w:spacing w:after="0" w:line="246"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Beginning in the fiscal quarter ended April 30, 2020, we faced unprecedented usage of our video-first communications platform largely due to the COVID-19 pandemic.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82" w:lineRule="exact"/>
        <w:rPr>
          <w:rFonts w:ascii="Arial" w:cs="Arial" w:eastAsia="Arial" w:hAnsi="Arial"/>
          <w:sz w:val="18"/>
          <w:szCs w:val="18"/>
          <w:color w:val="auto"/>
        </w:rPr>
      </w:pPr>
    </w:p>
    <w:p>
      <w:pPr>
        <w:ind w:left="480" w:hanging="18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evaluate our prospects and future results of operations;</w:t>
      </w:r>
    </w:p>
    <w:p>
      <w:pPr>
        <w:spacing w:after="0" w:line="117" w:lineRule="exact"/>
        <w:rPr>
          <w:rFonts w:ascii="Arial" w:cs="Arial" w:eastAsia="Arial" w:hAnsi="Arial"/>
          <w:sz w:val="18"/>
          <w:szCs w:val="18"/>
          <w:color w:val="auto"/>
        </w:rPr>
      </w:pPr>
    </w:p>
    <w:p>
      <w:pPr>
        <w:ind w:left="480" w:right="180" w:hanging="182"/>
        <w:spacing w:after="0" w:line="252"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50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hanging="18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117" w:lineRule="exact"/>
        <w:rPr>
          <w:rFonts w:ascii="Arial" w:cs="Arial" w:eastAsia="Arial" w:hAnsi="Arial"/>
          <w:sz w:val="18"/>
          <w:szCs w:val="18"/>
          <w:color w:val="auto"/>
        </w:rPr>
      </w:pPr>
    </w:p>
    <w:p>
      <w:pPr>
        <w:ind w:left="480" w:right="320" w:hanging="182"/>
        <w:spacing w:after="0" w:line="269"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 and we expect our revenue growth rate to generally decline in future periods;</w:t>
      </w:r>
    </w:p>
    <w:p>
      <w:pPr>
        <w:spacing w:after="0" w:line="62" w:lineRule="exact"/>
        <w:rPr>
          <w:rFonts w:ascii="Arial" w:cs="Arial" w:eastAsia="Arial" w:hAnsi="Arial"/>
          <w:sz w:val="18"/>
          <w:szCs w:val="18"/>
          <w:color w:val="auto"/>
        </w:rPr>
      </w:pPr>
    </w:p>
    <w:p>
      <w:pPr>
        <w:ind w:left="480" w:hanging="18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117" w:lineRule="exact"/>
        <w:rPr>
          <w:rFonts w:ascii="Arial" w:cs="Arial" w:eastAsia="Arial" w:hAnsi="Arial"/>
          <w:sz w:val="18"/>
          <w:szCs w:val="18"/>
          <w:color w:val="auto"/>
        </w:rPr>
      </w:pPr>
    </w:p>
    <w:p>
      <w:pPr>
        <w:ind w:left="480" w:right="240" w:hanging="182"/>
        <w:spacing w:after="0" w:line="252"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77" w:lineRule="exact"/>
        <w:rPr>
          <w:rFonts w:ascii="Arial" w:cs="Arial" w:eastAsia="Arial" w:hAnsi="Arial"/>
          <w:sz w:val="18"/>
          <w:szCs w:val="18"/>
          <w:color w:val="auto"/>
        </w:rPr>
      </w:pPr>
    </w:p>
    <w:p>
      <w:pPr>
        <w:ind w:left="480" w:hanging="182"/>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we increase sales to large organizations, our sales cycles could lengthen, and we could experience greater deployment challenges;</w:t>
      </w:r>
    </w:p>
    <w:p>
      <w:pPr>
        <w:spacing w:after="0" w:line="140" w:lineRule="exact"/>
        <w:rPr>
          <w:rFonts w:ascii="Arial" w:cs="Arial" w:eastAsia="Arial" w:hAnsi="Arial"/>
          <w:sz w:val="16"/>
          <w:szCs w:val="16"/>
          <w:color w:val="auto"/>
        </w:rPr>
      </w:pPr>
    </w:p>
    <w:p>
      <w:pPr>
        <w:ind w:left="480" w:right="260" w:hanging="182"/>
        <w:spacing w:after="0" w:line="269"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rFonts w:ascii="Arial" w:cs="Arial" w:eastAsia="Arial" w:hAnsi="Arial"/>
          <w:sz w:val="18"/>
          <w:szCs w:val="18"/>
          <w:color w:val="auto"/>
        </w:rPr>
      </w:pPr>
    </w:p>
    <w:p>
      <w:pPr>
        <w:ind w:left="480" w:right="560" w:hanging="182"/>
        <w:spacing w:after="0" w:line="269"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net losses in the past, and we expect to increase our expenses in the future, which could prevent us from maintaining profitability;</w:t>
      </w:r>
    </w:p>
    <w:p>
      <w:pPr>
        <w:spacing w:after="0" w:line="62" w:lineRule="exact"/>
        <w:rPr>
          <w:rFonts w:ascii="Arial" w:cs="Arial" w:eastAsia="Arial" w:hAnsi="Arial"/>
          <w:sz w:val="18"/>
          <w:szCs w:val="18"/>
          <w:color w:val="auto"/>
        </w:rPr>
      </w:pPr>
    </w:p>
    <w:p>
      <w:pPr>
        <w:ind w:left="480" w:hanging="18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w:t>
      </w:r>
    </w:p>
    <w:p>
      <w:pPr>
        <w:spacing w:after="0" w:line="117" w:lineRule="exact"/>
        <w:rPr>
          <w:rFonts w:ascii="Arial" w:cs="Arial" w:eastAsia="Arial" w:hAnsi="Arial"/>
          <w:sz w:val="18"/>
          <w:szCs w:val="18"/>
          <w:color w:val="auto"/>
        </w:rPr>
      </w:pPr>
    </w:p>
    <w:p>
      <w:pPr>
        <w:ind w:left="480" w:right="60" w:hanging="182"/>
        <w:spacing w:after="0" w:line="243"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86" w:lineRule="exact"/>
        <w:rPr>
          <w:rFonts w:ascii="Arial" w:cs="Arial" w:eastAsia="Arial" w:hAnsi="Arial"/>
          <w:sz w:val="18"/>
          <w:szCs w:val="18"/>
          <w:color w:val="auto"/>
        </w:rPr>
      </w:pPr>
    </w:p>
    <w:p>
      <w:pPr>
        <w:ind w:left="480" w:right="240" w:hanging="182"/>
        <w:spacing w:after="0" w:line="252"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77" w:lineRule="exact"/>
        <w:rPr>
          <w:rFonts w:ascii="Arial" w:cs="Arial" w:eastAsia="Arial" w:hAnsi="Arial"/>
          <w:sz w:val="18"/>
          <w:szCs w:val="18"/>
          <w:color w:val="auto"/>
        </w:rPr>
      </w:pPr>
    </w:p>
    <w:p>
      <w:pPr>
        <w:ind w:left="480" w:right="120" w:hanging="182"/>
        <w:spacing w:after="0" w:line="269"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significant and expanding operations outside the United States, which may subject us to increased business, regulatory and economic risks that could harm our business;</w:t>
      </w:r>
    </w:p>
    <w:p>
      <w:pPr>
        <w:spacing w:after="0" w:line="62" w:lineRule="exact"/>
        <w:rPr>
          <w:rFonts w:ascii="Arial" w:cs="Arial" w:eastAsia="Arial" w:hAnsi="Arial"/>
          <w:sz w:val="18"/>
          <w:szCs w:val="18"/>
          <w:color w:val="auto"/>
        </w:rPr>
      </w:pPr>
    </w:p>
    <w:p>
      <w:pPr>
        <w:ind w:left="480" w:right="200" w:hanging="182"/>
        <w:spacing w:after="0" w:line="252"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6" w:lineRule="exact"/>
        <w:rPr>
          <w:rFonts w:ascii="Arial" w:cs="Arial" w:eastAsia="Arial" w:hAnsi="Arial"/>
          <w:sz w:val="18"/>
          <w:szCs w:val="18"/>
          <w:color w:val="auto"/>
        </w:rPr>
      </w:pPr>
    </w:p>
    <w:p>
      <w:pPr>
        <w:ind w:left="480" w:right="140" w:hanging="182"/>
        <w:spacing w:after="0" w:line="252"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77" w:lineRule="exact"/>
        <w:rPr>
          <w:rFonts w:ascii="Arial" w:cs="Arial" w:eastAsia="Arial" w:hAnsi="Arial"/>
          <w:sz w:val="18"/>
          <w:szCs w:val="18"/>
          <w:color w:val="auto"/>
        </w:rPr>
      </w:pPr>
    </w:p>
    <w:p>
      <w:pPr>
        <w:ind w:left="480" w:right="220" w:hanging="182"/>
        <w:spacing w:after="0" w:line="252"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 and</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333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right="560" w:hanging="182"/>
        <w:spacing w:after="0" w:line="26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experienced net losses in the past, and we expect to increase our expenses in the future, which could prevent us from maintaining profitability.</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16" w:lineRule="exact"/>
        <w:rPr>
          <w:sz w:val="20"/>
          <w:szCs w:val="20"/>
          <w:color w:val="auto"/>
        </w:rPr>
      </w:pPr>
    </w:p>
    <w:p>
      <w:pPr>
        <w:ind w:left="300"/>
        <w:spacing w:after="0" w:line="275" w:lineRule="auto"/>
        <w:rPr>
          <w:sz w:val="20"/>
          <w:szCs w:val="20"/>
          <w:color w:val="auto"/>
        </w:rPr>
      </w:pPr>
      <w:r>
        <w:rPr>
          <w:rFonts w:ascii="Arial" w:cs="Arial" w:eastAsia="Arial" w:hAnsi="Arial"/>
          <w:sz w:val="16"/>
          <w:szCs w:val="16"/>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prospectus. 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16" w:lineRule="exact"/>
        <w:rPr>
          <w:sz w:val="20"/>
          <w:szCs w:val="20"/>
          <w:color w:val="auto"/>
        </w:rPr>
      </w:pPr>
    </w:p>
    <w:p>
      <w:pPr>
        <w:ind w:left="300"/>
        <w:spacing w:after="0" w:line="298"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(the “JOBS Act”) enacted in April 2012. An emerging growth company may take advantage of reduced reporting requirements that are otherwise applicable to public companies. These provisions include, but are not limited to:</w:t>
      </w:r>
    </w:p>
    <w:p>
      <w:pPr>
        <w:spacing w:after="0" w:line="44" w:lineRule="exact"/>
        <w:rPr>
          <w:sz w:val="20"/>
          <w:szCs w:val="20"/>
          <w:color w:val="auto"/>
        </w:rPr>
      </w:pPr>
    </w:p>
    <w:p>
      <w:pPr>
        <w:ind w:left="480" w:right="20" w:hanging="182"/>
        <w:spacing w:after="0" w:line="26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being required to comply for a certain period of time with the auditor attestation requirements of Section 404 of the Sarbanes-Oxley Act of 2002, as amended;</w:t>
      </w:r>
    </w:p>
    <w:p>
      <w:pPr>
        <w:spacing w:after="0" w:line="62" w:lineRule="exact"/>
        <w:rPr>
          <w:rFonts w:ascii="Arial" w:cs="Arial" w:eastAsia="Arial" w:hAnsi="Arial"/>
          <w:sz w:val="18"/>
          <w:szCs w:val="18"/>
          <w:color w:val="auto"/>
        </w:rPr>
      </w:pPr>
    </w:p>
    <w:p>
      <w:pPr>
        <w:ind w:left="480" w:right="940" w:hanging="182"/>
        <w:spacing w:after="0" w:line="26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62" w:lineRule="exact"/>
        <w:rPr>
          <w:rFonts w:ascii="Arial" w:cs="Arial" w:eastAsia="Arial" w:hAnsi="Arial"/>
          <w:sz w:val="18"/>
          <w:szCs w:val="18"/>
          <w:color w:val="auto"/>
        </w:rPr>
      </w:pPr>
    </w:p>
    <w:p>
      <w:pPr>
        <w:ind w:left="480" w:right="560" w:hanging="182"/>
        <w:spacing w:after="0" w:line="26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exemptions from the requirements of holding a stockholder advisory vote on executive compensation and any golden parachute payments not previously approved.</w:t>
      </w:r>
    </w:p>
    <w:p>
      <w:pPr>
        <w:spacing w:after="0" w:line="49" w:lineRule="exact"/>
        <w:rPr>
          <w:sz w:val="20"/>
          <w:szCs w:val="20"/>
          <w:color w:val="auto"/>
        </w:rPr>
      </w:pPr>
    </w:p>
    <w:p>
      <w:pPr>
        <w:ind w:left="300" w:right="20"/>
        <w:spacing w:after="0" w:line="241"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Class A common stock in our initial public offering. However, if certain events occur prior to the end of such five-year period, including if (i) we become a “large accelerated filer,” with at least $700 million of equity securities held by non-affiliates; (ii) our annual gross revenue exceeds $1.07 billion; or (iii) we issue more than $1.0 billion of non-convertible debt in any three-year period, we will cease to be an emerging growth company prior to the end of such five-year period. We currently anticipate that we will lose our “emerging growth company” status as of the end of the fiscal year ending January 31, 2021.</w:t>
      </w:r>
    </w:p>
    <w:p>
      <w:pPr>
        <w:spacing w:after="0" w:line="76" w:lineRule="exact"/>
        <w:rPr>
          <w:sz w:val="20"/>
          <w:szCs w:val="20"/>
          <w:color w:val="auto"/>
        </w:rPr>
      </w:pPr>
    </w:p>
    <w:p>
      <w:pPr>
        <w:ind w:left="300" w:right="80"/>
        <w:spacing w:after="0" w:line="246"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69" w:lineRule="exact"/>
        <w:rPr>
          <w:sz w:val="20"/>
          <w:szCs w:val="20"/>
          <w:color w:val="auto"/>
        </w:rPr>
      </w:pPr>
    </w:p>
    <w:p>
      <w:pPr>
        <w:ind w:left="300" w:right="160"/>
        <w:spacing w:after="0" w:line="243"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5" w:right="6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73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The offering</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Class A common stock offered</w:t>
            </w:r>
          </w:p>
        </w:tc>
        <w:tc>
          <w:tcPr>
            <w:tcW w:w="7980" w:type="dxa"/>
            <w:vAlign w:val="bottom"/>
          </w:tcPr>
          <w:p>
            <w:pPr>
              <w:spacing w:after="0"/>
              <w:rPr>
                <w:sz w:val="17"/>
                <w:szCs w:val="17"/>
                <w:color w:val="auto"/>
              </w:rPr>
            </w:pP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by us</w:t>
            </w:r>
          </w:p>
        </w:tc>
        <w:tc>
          <w:tcPr>
            <w:tcW w:w="7980" w:type="dxa"/>
            <w:vAlign w:val="bottom"/>
          </w:tcPr>
          <w:p>
            <w:pPr>
              <w:ind w:left="100"/>
              <w:spacing w:after="0"/>
              <w:rPr>
                <w:sz w:val="20"/>
                <w:szCs w:val="20"/>
                <w:color w:val="auto"/>
              </w:rPr>
            </w:pPr>
            <w:r>
              <w:rPr>
                <w:rFonts w:ascii="Arial" w:cs="Arial" w:eastAsia="Arial" w:hAnsi="Arial"/>
                <w:sz w:val="18"/>
                <w:szCs w:val="18"/>
                <w:color w:val="auto"/>
              </w:rPr>
              <w:t>5,147,059 shares of Class A common stock</w:t>
            </w:r>
          </w:p>
        </w:tc>
      </w:tr>
      <w:tr>
        <w:trPr>
          <w:trHeight w:val="293"/>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Option to purchase additional</w:t>
            </w:r>
          </w:p>
        </w:tc>
        <w:tc>
          <w:tcPr>
            <w:tcW w:w="7980" w:type="dxa"/>
            <w:vAlign w:val="bottom"/>
          </w:tcPr>
          <w:p>
            <w:pPr>
              <w:spacing w:after="0"/>
              <w:rPr>
                <w:sz w:val="24"/>
                <w:szCs w:val="24"/>
                <w:color w:val="auto"/>
              </w:rPr>
            </w:pPr>
          </w:p>
        </w:tc>
      </w:tr>
      <w:tr>
        <w:trPr>
          <w:trHeight w:val="203"/>
        </w:trPr>
        <w:tc>
          <w:tcPr>
            <w:tcW w:w="304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shares of Class A common stock</w:t>
            </w:r>
          </w:p>
        </w:tc>
        <w:tc>
          <w:tcPr>
            <w:tcW w:w="7980" w:type="dxa"/>
            <w:vAlign w:val="bottom"/>
          </w:tcPr>
          <w:p>
            <w:pPr>
              <w:spacing w:after="0"/>
              <w:rPr>
                <w:sz w:val="17"/>
                <w:szCs w:val="17"/>
                <w:color w:val="auto"/>
              </w:rPr>
            </w:pP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from us</w:t>
            </w:r>
          </w:p>
        </w:tc>
        <w:tc>
          <w:tcPr>
            <w:tcW w:w="7980" w:type="dxa"/>
            <w:vAlign w:val="bottom"/>
          </w:tcPr>
          <w:p>
            <w:pPr>
              <w:ind w:left="100"/>
              <w:spacing w:after="0"/>
              <w:rPr>
                <w:sz w:val="20"/>
                <w:szCs w:val="20"/>
                <w:color w:val="auto"/>
              </w:rPr>
            </w:pPr>
            <w:r>
              <w:rPr>
                <w:rFonts w:ascii="Arial" w:cs="Arial" w:eastAsia="Arial" w:hAnsi="Arial"/>
                <w:sz w:val="18"/>
                <w:szCs w:val="18"/>
                <w:color w:val="auto"/>
              </w:rPr>
              <w:t>735,294 shares of Class A common stock</w:t>
            </w:r>
          </w:p>
        </w:tc>
      </w:tr>
      <w:tr>
        <w:trPr>
          <w:trHeight w:val="293"/>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Class A common stock to be</w:t>
            </w:r>
          </w:p>
        </w:tc>
        <w:tc>
          <w:tcPr>
            <w:tcW w:w="7980" w:type="dxa"/>
            <w:vAlign w:val="bottom"/>
          </w:tcPr>
          <w:p>
            <w:pPr>
              <w:spacing w:after="0"/>
              <w:rPr>
                <w:sz w:val="24"/>
                <w:szCs w:val="24"/>
                <w:color w:val="auto"/>
              </w:rPr>
            </w:pPr>
          </w:p>
        </w:tc>
      </w:tr>
      <w:tr>
        <w:trPr>
          <w:trHeight w:val="205"/>
        </w:trPr>
        <w:tc>
          <w:tcPr>
            <w:tcW w:w="304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outstanding after this offering</w:t>
            </w:r>
          </w:p>
        </w:tc>
        <w:tc>
          <w:tcPr>
            <w:tcW w:w="7980" w:type="dxa"/>
            <w:vAlign w:val="bottom"/>
          </w:tcPr>
          <w:p>
            <w:pPr>
              <w:ind w:left="100"/>
              <w:spacing w:after="0" w:line="205" w:lineRule="exact"/>
              <w:rPr>
                <w:sz w:val="20"/>
                <w:szCs w:val="20"/>
                <w:color w:val="auto"/>
              </w:rPr>
            </w:pPr>
            <w:r>
              <w:rPr>
                <w:rFonts w:ascii="Arial" w:cs="Arial" w:eastAsia="Arial" w:hAnsi="Arial"/>
                <w:sz w:val="18"/>
                <w:szCs w:val="18"/>
                <w:color w:val="auto"/>
              </w:rPr>
              <w:t>203,326,868 shares (or 204,062,162 shares if the underwriter exercises its option to purchase</w:t>
            </w:r>
          </w:p>
        </w:tc>
      </w:tr>
      <w:tr>
        <w:trPr>
          <w:trHeight w:val="237"/>
        </w:trPr>
        <w:tc>
          <w:tcPr>
            <w:tcW w:w="304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additional shares in full)</w:t>
            </w:r>
          </w:p>
        </w:tc>
      </w:tr>
      <w:tr>
        <w:trPr>
          <w:trHeight w:val="288"/>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Class B common stock</w:t>
            </w:r>
          </w:p>
        </w:tc>
        <w:tc>
          <w:tcPr>
            <w:tcW w:w="7980" w:type="dxa"/>
            <w:vAlign w:val="bottom"/>
          </w:tcPr>
          <w:p>
            <w:pPr>
              <w:spacing w:after="0"/>
              <w:rPr>
                <w:sz w:val="24"/>
                <w:szCs w:val="24"/>
                <w:color w:val="auto"/>
              </w:rPr>
            </w:pP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outstanding after the offering</w:t>
            </w:r>
          </w:p>
        </w:tc>
        <w:tc>
          <w:tcPr>
            <w:tcW w:w="7980" w:type="dxa"/>
            <w:vAlign w:val="bottom"/>
          </w:tcPr>
          <w:p>
            <w:pPr>
              <w:ind w:left="100"/>
              <w:spacing w:after="0"/>
              <w:rPr>
                <w:sz w:val="20"/>
                <w:szCs w:val="20"/>
                <w:color w:val="auto"/>
              </w:rPr>
            </w:pPr>
            <w:r>
              <w:rPr>
                <w:rFonts w:ascii="Arial" w:cs="Arial" w:eastAsia="Arial" w:hAnsi="Arial"/>
                <w:sz w:val="18"/>
                <w:szCs w:val="18"/>
                <w:color w:val="auto"/>
              </w:rPr>
              <w:t>87,765,770 shares</w:t>
            </w:r>
          </w:p>
        </w:tc>
      </w:tr>
      <w:tr>
        <w:trPr>
          <w:trHeight w:val="293"/>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Total Class A and Class B</w:t>
            </w:r>
          </w:p>
        </w:tc>
        <w:tc>
          <w:tcPr>
            <w:tcW w:w="7980" w:type="dxa"/>
            <w:vAlign w:val="bottom"/>
          </w:tcPr>
          <w:p>
            <w:pPr>
              <w:spacing w:after="0"/>
              <w:rPr>
                <w:sz w:val="24"/>
                <w:szCs w:val="24"/>
                <w:color w:val="auto"/>
              </w:rPr>
            </w:pPr>
          </w:p>
        </w:tc>
      </w:tr>
      <w:tr>
        <w:trPr>
          <w:trHeight w:val="203"/>
        </w:trPr>
        <w:tc>
          <w:tcPr>
            <w:tcW w:w="304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common stock outstanding</w:t>
            </w:r>
          </w:p>
        </w:tc>
        <w:tc>
          <w:tcPr>
            <w:tcW w:w="7980" w:type="dxa"/>
            <w:vAlign w:val="bottom"/>
          </w:tcPr>
          <w:p>
            <w:pPr>
              <w:spacing w:after="0"/>
              <w:rPr>
                <w:sz w:val="17"/>
                <w:szCs w:val="17"/>
                <w:color w:val="auto"/>
              </w:rPr>
            </w:pPr>
          </w:p>
        </w:tc>
      </w:tr>
      <w:tr>
        <w:trPr>
          <w:trHeight w:val="205"/>
        </w:trPr>
        <w:tc>
          <w:tcPr>
            <w:tcW w:w="304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after the offering</w:t>
            </w:r>
          </w:p>
        </w:tc>
        <w:tc>
          <w:tcPr>
            <w:tcW w:w="7980" w:type="dxa"/>
            <w:vAlign w:val="bottom"/>
          </w:tcPr>
          <w:p>
            <w:pPr>
              <w:ind w:left="100"/>
              <w:spacing w:after="0" w:line="205" w:lineRule="exact"/>
              <w:rPr>
                <w:sz w:val="20"/>
                <w:szCs w:val="20"/>
                <w:color w:val="auto"/>
              </w:rPr>
            </w:pPr>
            <w:r>
              <w:rPr>
                <w:rFonts w:ascii="Arial" w:cs="Arial" w:eastAsia="Arial" w:hAnsi="Arial"/>
                <w:sz w:val="18"/>
                <w:szCs w:val="18"/>
                <w:color w:val="auto"/>
              </w:rPr>
              <w:t>291,092,638 shares (or 291,827,932 shares if the underwriter exercises its option to purchase</w:t>
            </w:r>
          </w:p>
        </w:tc>
      </w:tr>
      <w:tr>
        <w:trPr>
          <w:trHeight w:val="237"/>
        </w:trPr>
        <w:tc>
          <w:tcPr>
            <w:tcW w:w="304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additional shares in full)</w:t>
            </w:r>
          </w:p>
        </w:tc>
      </w:tr>
      <w:tr>
        <w:trPr>
          <w:trHeight w:val="290"/>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7980" w:type="dxa"/>
            <w:vAlign w:val="bottom"/>
          </w:tcPr>
          <w:p>
            <w:pPr>
              <w:ind w:left="100"/>
              <w:spacing w:after="0"/>
              <w:rPr>
                <w:sz w:val="20"/>
                <w:szCs w:val="20"/>
                <w:color w:val="auto"/>
              </w:rPr>
            </w:pPr>
            <w:r>
              <w:rPr>
                <w:rFonts w:ascii="Arial" w:cs="Arial" w:eastAsia="Arial" w:hAnsi="Arial"/>
                <w:sz w:val="18"/>
                <w:szCs w:val="18"/>
                <w:color w:val="auto"/>
              </w:rPr>
              <w:t>We estimate that our net proceeds from the sale of our Class A common stock that we are offering</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will be approximately $1.73 billion (or approximately $1.98 billion if the underwriter exercises its</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option to purchase additional shares in full) after deducting underwriting discounts and</w:t>
            </w:r>
          </w:p>
        </w:tc>
      </w:tr>
      <w:tr>
        <w:trPr>
          <w:trHeight w:val="237"/>
        </w:trPr>
        <w:tc>
          <w:tcPr>
            <w:tcW w:w="304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commissions and estimated expenses related to the offering.</w:t>
            </w:r>
          </w:p>
        </w:tc>
      </w:tr>
      <w:tr>
        <w:trPr>
          <w:trHeight w:val="290"/>
        </w:trPr>
        <w:tc>
          <w:tcPr>
            <w:tcW w:w="3040" w:type="dxa"/>
            <w:vAlign w:val="bottom"/>
          </w:tcPr>
          <w:p>
            <w:pPr>
              <w:spacing w:after="0"/>
              <w:rPr>
                <w:sz w:val="24"/>
                <w:szCs w:val="24"/>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We currently intend to use the net proceeds we receive from this offering for general corporate</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purposes, including working capital, operating expenses and capital expenditures. We may also</w:t>
            </w:r>
          </w:p>
        </w:tc>
      </w:tr>
      <w:tr>
        <w:trPr>
          <w:trHeight w:val="202"/>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use a portion of the net proceeds for acquisitions or strategic investments in complementary</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businesses, products, services or technologies, although we do not currently have any plans or</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commitments for any such acquisitions or investments. See the section titled “Use of Proceeds” for</w:t>
            </w:r>
          </w:p>
        </w:tc>
      </w:tr>
      <w:tr>
        <w:trPr>
          <w:trHeight w:val="237"/>
        </w:trPr>
        <w:tc>
          <w:tcPr>
            <w:tcW w:w="304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additional information.</w:t>
            </w:r>
          </w:p>
        </w:tc>
      </w:tr>
      <w:tr>
        <w:trPr>
          <w:trHeight w:val="290"/>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Concentration of Ownership</w:t>
            </w:r>
          </w:p>
        </w:tc>
        <w:tc>
          <w:tcPr>
            <w:tcW w:w="7980" w:type="dxa"/>
            <w:vAlign w:val="bottom"/>
          </w:tcPr>
          <w:p>
            <w:pPr>
              <w:ind w:left="100"/>
              <w:spacing w:after="0"/>
              <w:rPr>
                <w:sz w:val="20"/>
                <w:szCs w:val="20"/>
                <w:color w:val="auto"/>
              </w:rPr>
            </w:pPr>
            <w:r>
              <w:rPr>
                <w:rFonts w:ascii="Arial" w:cs="Arial" w:eastAsia="Arial" w:hAnsi="Arial"/>
                <w:sz w:val="18"/>
                <w:szCs w:val="18"/>
                <w:color w:val="auto"/>
              </w:rPr>
              <w:t>Our officers, directors and their affiliated funds and each of our stockholders who own greater than</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5% of our outstanding Class A common stock or Class B common stock and their affiliates, in the</w:t>
            </w:r>
          </w:p>
        </w:tc>
      </w:tr>
      <w:tr>
        <w:trPr>
          <w:trHeight w:val="202"/>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aggregate, will beneficially own an aggregate of approximately 27.5% of our outstanding capital</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stock immediately following this offering, representing approximately 73.3% of the voting power of</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our outstanding capital stock immediately following this offering, assuming no exercise of the</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underwriter’s option to purchase additional shares. As a result, if some of these persons or entities</w:t>
            </w:r>
          </w:p>
        </w:tc>
      </w:tr>
      <w:tr>
        <w:trPr>
          <w:trHeight w:val="203"/>
        </w:trPr>
        <w:tc>
          <w:tcPr>
            <w:tcW w:w="304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act together, they will have significant influence over the outcome of matters submitted to our</w:t>
            </w:r>
          </w:p>
        </w:tc>
      </w:tr>
      <w:tr>
        <w:trPr>
          <w:trHeight w:val="237"/>
        </w:trPr>
        <w:tc>
          <w:tcPr>
            <w:tcW w:w="304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stockholders for approval.</w:t>
            </w:r>
          </w:p>
        </w:tc>
      </w:tr>
      <w:tr>
        <w:trPr>
          <w:trHeight w:val="288"/>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Nasdaq Global Select Market</w:t>
            </w:r>
          </w:p>
        </w:tc>
        <w:tc>
          <w:tcPr>
            <w:tcW w:w="7980" w:type="dxa"/>
            <w:vAlign w:val="bottom"/>
          </w:tcPr>
          <w:p>
            <w:pPr>
              <w:spacing w:after="0"/>
              <w:rPr>
                <w:sz w:val="24"/>
                <w:szCs w:val="24"/>
                <w:color w:val="auto"/>
              </w:rPr>
            </w:pPr>
          </w:p>
        </w:tc>
      </w:tr>
      <w:tr>
        <w:trPr>
          <w:trHeight w:val="234"/>
        </w:trPr>
        <w:tc>
          <w:tcPr>
            <w:tcW w:w="3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Symbol</w:t>
            </w:r>
          </w:p>
        </w:tc>
        <w:tc>
          <w:tcPr>
            <w:tcW w:w="7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“ZM”</w:t>
            </w:r>
          </w:p>
        </w:tc>
      </w:tr>
      <w:tr>
        <w:trPr>
          <w:trHeight w:val="363"/>
        </w:trPr>
        <w:tc>
          <w:tcPr>
            <w:tcW w:w="3040" w:type="dxa"/>
            <w:vAlign w:val="bottom"/>
          </w:tcPr>
          <w:p>
            <w:pPr>
              <w:spacing w:after="0"/>
              <w:rPr>
                <w:sz w:val="24"/>
                <w:szCs w:val="24"/>
                <w:color w:val="auto"/>
              </w:rPr>
            </w:pPr>
          </w:p>
        </w:tc>
        <w:tc>
          <w:tcPr>
            <w:tcW w:w="7980" w:type="dxa"/>
            <w:vAlign w:val="bottom"/>
          </w:tcPr>
          <w:p>
            <w:pPr>
              <w:ind w:left="232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261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32613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40"/>
        <w:spacing w:after="0" w:line="252"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 on 198,179,809 shares of our Class A common stock and 87,765,770 shares of our Class B common stock outstanding as of October 31, 2020 and excludes:</w:t>
      </w:r>
    </w:p>
    <w:p>
      <w:pPr>
        <w:spacing w:after="0" w:line="77" w:lineRule="exact"/>
        <w:rPr>
          <w:sz w:val="20"/>
          <w:szCs w:val="20"/>
          <w:color w:val="auto"/>
        </w:rPr>
      </w:pPr>
    </w:p>
    <w:p>
      <w:pPr>
        <w:ind w:left="480" w:right="120" w:hanging="182"/>
        <w:spacing w:after="0" w:line="26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313,772 shares of our Class A common stock issuable upon the exercise of options to purchase shares of our Class A common stock outstanding as of October 31, 2020, with a weighted-average exercise price of $65.66 per share;</w:t>
      </w:r>
    </w:p>
    <w:p>
      <w:pPr>
        <w:spacing w:after="0" w:line="62" w:lineRule="exact"/>
        <w:rPr>
          <w:rFonts w:ascii="Arial" w:cs="Arial" w:eastAsia="Arial" w:hAnsi="Arial"/>
          <w:sz w:val="18"/>
          <w:szCs w:val="18"/>
          <w:color w:val="auto"/>
        </w:rPr>
      </w:pPr>
    </w:p>
    <w:p>
      <w:pPr>
        <w:ind w:left="480" w:right="320" w:hanging="182"/>
        <w:spacing w:after="0" w:line="26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10,164,397 shares of our Class B common stock issuable upon the exercise of options to purchase shares of our Class B common stock outstanding as of October 31, 2020, with a weighted-average exercise price of $5.45 per share;</w:t>
      </w:r>
    </w:p>
    <w:p>
      <w:pPr>
        <w:spacing w:after="0" w:line="62" w:lineRule="exact"/>
        <w:rPr>
          <w:rFonts w:ascii="Arial" w:cs="Arial" w:eastAsia="Arial" w:hAnsi="Arial"/>
          <w:sz w:val="18"/>
          <w:szCs w:val="18"/>
          <w:color w:val="auto"/>
        </w:rPr>
      </w:pPr>
    </w:p>
    <w:p>
      <w:pPr>
        <w:ind w:left="480" w:right="520" w:hanging="182"/>
        <w:spacing w:after="0" w:line="26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4,458,602 shares of our Class A common stock issuable upon the settlement of restricted stock units (“RSUs”) outstanding as of October 31, 2020;</w:t>
      </w:r>
    </w:p>
    <w:p>
      <w:pPr>
        <w:spacing w:after="0" w:line="62" w:lineRule="exact"/>
        <w:rPr>
          <w:rFonts w:ascii="Arial" w:cs="Arial" w:eastAsia="Arial" w:hAnsi="Arial"/>
          <w:sz w:val="18"/>
          <w:szCs w:val="18"/>
          <w:color w:val="auto"/>
        </w:rPr>
      </w:pPr>
    </w:p>
    <w:p>
      <w:pPr>
        <w:jc w:val="both"/>
        <w:ind w:left="480" w:right="160" w:hanging="182"/>
        <w:spacing w:after="0" w:line="252"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44,801,908 shares of our Class A common stock reserved for future issuance under our 2019 Equity Incentive Plan (the “2019 Plan”) as of October 31, 2020, as well as any automatic increases in the number of shares of Class A common stock reserved for issuance under the 2019 Plan;</w:t>
      </w:r>
    </w:p>
    <w:p>
      <w:pPr>
        <w:spacing w:after="0" w:line="77" w:lineRule="exact"/>
        <w:rPr>
          <w:rFonts w:ascii="Arial" w:cs="Arial" w:eastAsia="Arial" w:hAnsi="Arial"/>
          <w:sz w:val="18"/>
          <w:szCs w:val="18"/>
          <w:color w:val="auto"/>
        </w:rPr>
      </w:pPr>
    </w:p>
    <w:p>
      <w:pPr>
        <w:ind w:left="480" w:hanging="182"/>
        <w:spacing w:after="0" w:line="252"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10,691,086 shares of our Class A common stock reserved for future issuance under our 2019 Employee Stock Purchase Plan (the “ESPP”), as well as any automatic increases in the number of shares of Class A common stock reserved for issuance under the ESPP; and</w:t>
      </w:r>
    </w:p>
    <w:p>
      <w:pPr>
        <w:spacing w:after="0" w:line="76" w:lineRule="exact"/>
        <w:rPr>
          <w:rFonts w:ascii="Arial" w:cs="Arial" w:eastAsia="Arial" w:hAnsi="Arial"/>
          <w:sz w:val="18"/>
          <w:szCs w:val="18"/>
          <w:color w:val="auto"/>
        </w:rPr>
      </w:pPr>
    </w:p>
    <w:p>
      <w:pPr>
        <w:ind w:left="480" w:hanging="18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conversion of 10,385,980 shares of our Class B common stock to Class A common stock after October 31, 2020.</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17" w:lineRule="exact"/>
        <w:rPr>
          <w:sz w:val="20"/>
          <w:szCs w:val="20"/>
          <w:color w:val="auto"/>
        </w:rPr>
      </w:pPr>
    </w:p>
    <w:p>
      <w:pPr>
        <w:ind w:left="480" w:hanging="18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outstanding stock options and no settlement of outstanding RSUs after October 31, 2020; and</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by the underwriter of its option to purchase additional shares of Class A common stock.</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27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32765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Summary consolidated financial data</w:t>
      </w:r>
    </w:p>
    <w:p>
      <w:pPr>
        <w:spacing w:after="0" w:line="141" w:lineRule="exact"/>
        <w:rPr>
          <w:sz w:val="20"/>
          <w:szCs w:val="20"/>
          <w:color w:val="auto"/>
        </w:rPr>
      </w:pPr>
    </w:p>
    <w:p>
      <w:pPr>
        <w:ind w:left="300" w:right="240"/>
        <w:spacing w:after="0" w:line="237" w:lineRule="auto"/>
        <w:rPr>
          <w:sz w:val="20"/>
          <w:szCs w:val="20"/>
          <w:color w:val="auto"/>
        </w:rPr>
      </w:pPr>
      <w:r>
        <w:rPr>
          <w:rFonts w:ascii="Arial" w:cs="Arial" w:eastAsia="Arial" w:hAnsi="Arial"/>
          <w:sz w:val="18"/>
          <w:szCs w:val="18"/>
          <w:color w:val="auto"/>
        </w:rPr>
        <w:t>The following tables summarize our historical consolidated financial data. We have derived the historical consolidated statements of operations data for the years ended January 31, 2018, 2019 and 2020 from our audited consolidated financial statements included in our Annual Report on Form 10-K for the year ended January 31, 2020 (“2020 Annual Report”), which is incorporated by reference in this prospectus supplement and the accompanying prospectus. We have derived the consolidated statement of operations data for the nine months ended October 31, 2019 and 2020, and the consolidated balance sheet data as of October 31, 2020, from our unaudited interim condensed consolidated financial statements included in our Quarterly Report on Form 10-Q for the quarter ended October 31, 2020 (“Q3 Quarterly Report”), which is incorporated by reference in this prospectus supplement and the accompanying prospectus. Our unaudited consolidated interim financial statements were prepared on the same basis as our audited consolidated financial statements and include, in our opinion, all adjustments, consisting of normal recurring adjustments that we consider necessary for a fair presentation of the financial information set forth in those financial statements. The following summary consolidated financial data should be read in conjunction with the section titled “Management’s Discussion and Analysis of Financial Condition and Results of Operations” in our 2020 Annual Report and in our Q3 Quarterly Report, which are incorporated by reference in this prospectus supplement and the accompanying prospectus, and our consolidated financial statements and related notes incorporated by reference in this prospectus supplement and the accompanying prospectus. Our historical results are not necessarily indicative of the results that may be expected in the future.</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1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Year ended January 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Nine months ended October 31,</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gridSpan w:val="7"/>
          </w:tcPr>
          <w:p>
            <w:pPr>
              <w:jc w:val="right"/>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80" w:type="dxa"/>
            <w:vAlign w:val="bottom"/>
            <w:vMerge w:val="continue"/>
          </w:tcPr>
          <w:p>
            <w:pPr>
              <w:spacing w:after="0"/>
              <w:rPr>
                <w:sz w:val="15"/>
                <w:szCs w:val="15"/>
                <w:color w:val="auto"/>
              </w:rPr>
            </w:pPr>
          </w:p>
        </w:tc>
        <w:tc>
          <w:tcPr>
            <w:tcW w:w="38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Consolidated Statements of Operations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Data:</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5"/>
              </w:rPr>
              <w:t>622,658</w:t>
            </w:r>
          </w:p>
        </w:tc>
        <w:tc>
          <w:tcPr>
            <w:tcW w:w="340" w:type="dxa"/>
            <w:vAlign w:val="bottom"/>
          </w:tcPr>
          <w:p>
            <w:pPr>
              <w:jc w:val="center"/>
              <w:ind w:left="152"/>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5"/>
              </w:rPr>
              <w:t>330,517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151,478</w:t>
            </w:r>
          </w:p>
        </w:tc>
        <w:tc>
          <w:tcPr>
            <w:tcW w:w="260" w:type="dxa"/>
            <w:vAlign w:val="bottom"/>
          </w:tcPr>
          <w:p>
            <w:pPr>
              <w:spacing w:after="0"/>
              <w:rPr>
                <w:sz w:val="17"/>
                <w:szCs w:val="17"/>
                <w:color w:val="auto"/>
              </w:rPr>
            </w:pP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1,768,883</w:t>
            </w:r>
          </w:p>
        </w:tc>
        <w:tc>
          <w:tcPr>
            <w:tcW w:w="5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434,407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115,396</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61,001</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30,780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554,705</w:t>
            </w:r>
          </w:p>
        </w:tc>
        <w:tc>
          <w:tcPr>
            <w:tcW w:w="5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82,849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w w:val="95"/>
              </w:rPr>
              <w:t>507,262</w:t>
            </w:r>
          </w:p>
        </w:tc>
        <w:tc>
          <w:tcPr>
            <w:tcW w:w="340" w:type="dxa"/>
            <w:vAlign w:val="bottom"/>
          </w:tcPr>
          <w:p>
            <w:pPr>
              <w:spacing w:after="0"/>
              <w:rPr>
                <w:sz w:val="20"/>
                <w:szCs w:val="20"/>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w w:val="95"/>
              </w:rPr>
              <w:t>269,516</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120,698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1,214,178</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351,558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tcPr>
          <w:p>
            <w:pPr>
              <w:ind w:left="220"/>
              <w:spacing w:after="0" w:line="20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67,079</w:t>
            </w:r>
          </w:p>
        </w:tc>
        <w:tc>
          <w:tcPr>
            <w:tcW w:w="34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33,014</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15,733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111,705</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46,410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340,646</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185,821</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82,707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470,886</w:t>
            </w:r>
          </w:p>
        </w:tc>
        <w:tc>
          <w:tcPr>
            <w:tcW w:w="5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239,741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tcPr>
          <w:p>
            <w:pPr>
              <w:ind w:left="220"/>
              <w:spacing w:after="0" w:line="20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86,841</w:t>
            </w:r>
          </w:p>
        </w:tc>
        <w:tc>
          <w:tcPr>
            <w:tcW w:w="34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44,514</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27,091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227,856</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63,264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494,566</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263,349</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125,531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810,447</w:t>
            </w:r>
          </w:p>
        </w:tc>
        <w:tc>
          <w:tcPr>
            <w:tcW w:w="5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349,415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12,696</w:t>
            </w:r>
          </w:p>
        </w:tc>
        <w:tc>
          <w:tcPr>
            <w:tcW w:w="34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6,167</w:t>
            </w:r>
          </w:p>
        </w:tc>
        <w:tc>
          <w:tcPr>
            <w:tcW w:w="32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(4,833)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403,731</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2,143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and other,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13,666</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2,182</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9,650</w:t>
            </w:r>
          </w:p>
        </w:tc>
        <w:tc>
          <w:tcPr>
            <w:tcW w:w="5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3880" w:type="dxa"/>
            <w:vAlign w:val="bottom"/>
          </w:tcPr>
          <w:p>
            <w:pPr>
              <w:spacing w:after="0" w:line="183" w:lineRule="exact"/>
              <w:rPr>
                <w:sz w:val="20"/>
                <w:szCs w:val="20"/>
                <w:color w:val="auto"/>
              </w:rPr>
            </w:pPr>
            <w:r>
              <w:rPr>
                <w:rFonts w:ascii="Arial" w:cs="Arial" w:eastAsia="Arial" w:hAnsi="Arial"/>
                <w:sz w:val="18"/>
                <w:szCs w:val="18"/>
                <w:color w:val="auto"/>
              </w:rPr>
              <w:t>Net income (loss) before provision for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26,362</w:t>
            </w:r>
          </w:p>
        </w:tc>
        <w:tc>
          <w:tcPr>
            <w:tcW w:w="34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8,349</w:t>
            </w:r>
          </w:p>
        </w:tc>
        <w:tc>
          <w:tcPr>
            <w:tcW w:w="3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413,381</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1,057</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765</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1,675</w:t>
            </w:r>
          </w:p>
        </w:tc>
        <w:tc>
          <w:tcPr>
            <w:tcW w:w="5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25,305</w:t>
            </w:r>
          </w:p>
        </w:tc>
        <w:tc>
          <w:tcPr>
            <w:tcW w:w="340" w:type="dxa"/>
            <w:vAlign w:val="bottom"/>
          </w:tcPr>
          <w:p>
            <w:pPr>
              <w:jc w:val="center"/>
              <w:ind w:left="152"/>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7,584</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(3,822)</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411,706</w:t>
            </w:r>
          </w:p>
        </w:tc>
        <w:tc>
          <w:tcPr>
            <w:tcW w:w="5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9,966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38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Distributed earnings attributable to participating</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880" w:type="dxa"/>
            <w:vAlign w:val="bottom"/>
            <w:shd w:val="clear" w:color="auto" w:fill="CCEEFF"/>
          </w:tcPr>
          <w:p>
            <w:pPr>
              <w:ind w:left="220"/>
              <w:spacing w:after="0" w:line="221" w:lineRule="exact"/>
              <w:rPr>
                <w:sz w:val="20"/>
                <w:szCs w:val="20"/>
                <w:color w:val="auto"/>
              </w:rPr>
            </w:pPr>
            <w:r>
              <w:rPr>
                <w:rFonts w:ascii="Arial" w:cs="Arial" w:eastAsia="Arial" w:hAnsi="Arial"/>
                <w:sz w:val="18"/>
                <w:szCs w:val="18"/>
                <w:color w:val="auto"/>
              </w:rPr>
              <w:t>securities</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1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1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gridSpan w:val="2"/>
          </w:tcPr>
          <w:p>
            <w:pPr>
              <w:jc w:val="center"/>
              <w:ind w:right="492"/>
              <w:spacing w:after="0"/>
              <w:rPr>
                <w:sz w:val="20"/>
                <w:szCs w:val="20"/>
                <w:color w:val="auto"/>
              </w:rPr>
            </w:pPr>
            <w:r>
              <w:rPr>
                <w:rFonts w:ascii="Arial" w:cs="Arial" w:eastAsia="Arial" w:hAnsi="Arial"/>
                <w:sz w:val="18"/>
                <w:szCs w:val="18"/>
                <w:color w:val="auto"/>
                <w:w w:val="99"/>
              </w:rPr>
              <w:t>S-7</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13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31317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Year ended January 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Nine months ended October 31,</w:t>
            </w:r>
          </w:p>
        </w:tc>
      </w:tr>
      <w:tr>
        <w:trPr>
          <w:trHeight w:val="223"/>
        </w:trPr>
        <w:tc>
          <w:tcPr>
            <w:tcW w:w="2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196"/>
        </w:trPr>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80" w:type="dxa"/>
            <w:vAlign w:val="bottom"/>
            <w:gridSpan w:val="8"/>
          </w:tcPr>
          <w:p>
            <w:pPr>
              <w:jc w:val="right"/>
              <w:ind w:right="100"/>
              <w:spacing w:after="0" w:line="196" w:lineRule="exact"/>
              <w:rPr>
                <w:sz w:val="20"/>
                <w:szCs w:val="20"/>
                <w:color w:val="auto"/>
              </w:rPr>
            </w:pPr>
            <w:r>
              <w:rPr>
                <w:rFonts w:ascii="Arial" w:cs="Arial" w:eastAsia="Arial" w:hAnsi="Arial"/>
                <w:sz w:val="18"/>
                <w:szCs w:val="18"/>
                <w:b w:val="1"/>
                <w:bCs w:val="1"/>
                <w:color w:val="auto"/>
              </w:rPr>
              <w:t>(in thousands, except share and per share data)</w:t>
            </w:r>
          </w:p>
        </w:tc>
      </w:tr>
      <w:tr>
        <w:trPr>
          <w:trHeight w:val="184"/>
        </w:trPr>
        <w:tc>
          <w:tcPr>
            <w:tcW w:w="26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Undistributed earnings</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attributable to participating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(3,555)</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(7,584)</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(531)</w:t>
            </w: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(2,493)</w:t>
            </w:r>
          </w:p>
        </w:tc>
      </w:tr>
      <w:tr>
        <w:trPr>
          <w:trHeight w:val="184"/>
        </w:trPr>
        <w:tc>
          <w:tcPr>
            <w:tcW w:w="2680" w:type="dxa"/>
            <w:vAlign w:val="bottom"/>
          </w:tcPr>
          <w:p>
            <w:pPr>
              <w:spacing w:after="0" w:line="183" w:lineRule="exact"/>
              <w:rPr>
                <w:sz w:val="20"/>
                <w:szCs w:val="20"/>
                <w:color w:val="auto"/>
              </w:rPr>
            </w:pPr>
            <w:r>
              <w:rPr>
                <w:rFonts w:ascii="Arial" w:cs="Arial" w:eastAsia="Arial" w:hAnsi="Arial"/>
                <w:sz w:val="18"/>
                <w:szCs w:val="18"/>
                <w:color w:val="auto"/>
              </w:rPr>
              <w:t>Net income (loss) attributable to</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89"/>
        </w:trPr>
        <w:tc>
          <w:tcPr>
            <w:tcW w:w="2680" w:type="dxa"/>
            <w:vAlign w:val="bottom"/>
          </w:tcPr>
          <w:p>
            <w:pPr>
              <w:ind w:left="220"/>
              <w:spacing w:after="0"/>
              <w:rPr>
                <w:sz w:val="20"/>
                <w:szCs w:val="20"/>
                <w:color w:val="auto"/>
              </w:rPr>
            </w:pPr>
            <w:r>
              <w:rPr>
                <w:rFonts w:ascii="Arial" w:cs="Arial" w:eastAsia="Arial" w:hAnsi="Arial"/>
                <w:sz w:val="18"/>
                <w:szCs w:val="18"/>
                <w:color w:val="auto"/>
              </w:rPr>
              <w:t>common stockholders</w:t>
            </w:r>
            <w:r>
              <w:rPr>
                <w:rFonts w:ascii="Arial" w:cs="Arial" w:eastAsia="Arial" w:hAnsi="Arial"/>
                <w:sz w:val="22"/>
                <w:szCs w:val="22"/>
                <w:color w:val="auto"/>
                <w:vertAlign w:val="superscript"/>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2"/>
              <w:spacing w:after="0"/>
              <w:rPr>
                <w:sz w:val="20"/>
                <w:szCs w:val="20"/>
                <w:color w:val="auto"/>
              </w:rPr>
            </w:pPr>
            <w:r>
              <w:rPr>
                <w:rFonts w:ascii="Arial" w:cs="Arial" w:eastAsia="Arial" w:hAnsi="Arial"/>
                <w:sz w:val="18"/>
                <w:szCs w:val="18"/>
                <w:color w:val="auto"/>
              </w:rPr>
              <w:t>21,750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(8,227)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411,175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7,473</w:t>
            </w:r>
          </w:p>
        </w:tc>
        <w:tc>
          <w:tcPr>
            <w:tcW w:w="100" w:type="dxa"/>
            <w:vAlign w:val="bottom"/>
          </w:tcPr>
          <w:p>
            <w:pPr>
              <w:spacing w:after="0"/>
              <w:rPr>
                <w:sz w:val="24"/>
                <w:szCs w:val="24"/>
                <w:color w:val="auto"/>
              </w:rPr>
            </w:pPr>
          </w:p>
        </w:tc>
      </w:tr>
      <w:tr>
        <w:trPr>
          <w:trHeight w:val="184"/>
        </w:trPr>
        <w:tc>
          <w:tcPr>
            <w:tcW w:w="26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income (loss) per share</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attributable to common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268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0.09</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(0.11)</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1.46</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7"/>
                <w:szCs w:val="17"/>
                <w:color w:val="auto"/>
              </w:rPr>
            </w:pPr>
          </w:p>
        </w:tc>
      </w:tr>
      <w:tr>
        <w:trPr>
          <w:trHeight w:val="203"/>
        </w:trPr>
        <w:tc>
          <w:tcPr>
            <w:tcW w:w="2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0.00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(0.11)</w:t>
            </w: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1.38</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7"/>
                <w:szCs w:val="17"/>
                <w:color w:val="auto"/>
              </w:rPr>
            </w:pPr>
          </w:p>
        </w:tc>
      </w:tr>
      <w:tr>
        <w:trPr>
          <w:trHeight w:val="251"/>
        </w:trPr>
        <w:tc>
          <w:tcPr>
            <w:tcW w:w="2680" w:type="dxa"/>
            <w:vAlign w:val="bottom"/>
          </w:tcPr>
          <w:p>
            <w:pPr>
              <w:spacing w:after="0"/>
              <w:rPr>
                <w:sz w:val="20"/>
                <w:szCs w:val="20"/>
                <w:color w:val="auto"/>
              </w:rPr>
            </w:pPr>
            <w:r>
              <w:rPr>
                <w:rFonts w:ascii="Arial" w:cs="Arial" w:eastAsia="Arial" w:hAnsi="Arial"/>
                <w:sz w:val="18"/>
                <w:szCs w:val="18"/>
                <w:color w:val="auto"/>
              </w:rPr>
              <w:t>Weighted-average shares used</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2680" w:type="dxa"/>
            <w:vAlign w:val="bottom"/>
          </w:tcPr>
          <w:p>
            <w:pPr>
              <w:ind w:left="220"/>
              <w:spacing w:after="0" w:line="202" w:lineRule="exact"/>
              <w:rPr>
                <w:sz w:val="20"/>
                <w:szCs w:val="20"/>
                <w:color w:val="auto"/>
              </w:rPr>
            </w:pPr>
            <w:r>
              <w:rPr>
                <w:rFonts w:ascii="Arial" w:cs="Arial" w:eastAsia="Arial" w:hAnsi="Arial"/>
                <w:sz w:val="18"/>
                <w:szCs w:val="18"/>
                <w:color w:val="auto"/>
              </w:rPr>
              <w:t>in computing net income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680" w:type="dxa"/>
            <w:vAlign w:val="bottom"/>
          </w:tcPr>
          <w:p>
            <w:pPr>
              <w:ind w:left="220"/>
              <w:spacing w:after="0" w:line="202" w:lineRule="exact"/>
              <w:rPr>
                <w:sz w:val="20"/>
                <w:szCs w:val="20"/>
                <w:color w:val="auto"/>
              </w:rPr>
            </w:pPr>
            <w:r>
              <w:rPr>
                <w:rFonts w:ascii="Arial" w:cs="Arial" w:eastAsia="Arial" w:hAnsi="Arial"/>
                <w:sz w:val="18"/>
                <w:szCs w:val="18"/>
                <w:color w:val="auto"/>
              </w:rPr>
              <w:t>(loss) per share attributable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680" w:type="dxa"/>
            <w:vAlign w:val="bottom"/>
          </w:tcPr>
          <w:p>
            <w:pPr>
              <w:ind w:left="220"/>
              <w:spacing w:after="0"/>
              <w:rPr>
                <w:sz w:val="20"/>
                <w:szCs w:val="20"/>
                <w:color w:val="auto"/>
              </w:rPr>
            </w:pPr>
            <w:r>
              <w:rPr>
                <w:rFonts w:ascii="Arial" w:cs="Arial" w:eastAsia="Arial" w:hAnsi="Arial"/>
                <w:sz w:val="18"/>
                <w:szCs w:val="18"/>
                <w:color w:val="auto"/>
              </w:rPr>
              <w:t>to common stockholders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2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7"/>
              </w:rPr>
              <w:t>223,641,336</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84,483,094</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78,119,865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282,564,481</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219,295,445</w:t>
            </w:r>
          </w:p>
        </w:tc>
        <w:tc>
          <w:tcPr>
            <w:tcW w:w="100" w:type="dxa"/>
            <w:vAlign w:val="bottom"/>
            <w:shd w:val="clear" w:color="auto" w:fill="CCEEFF"/>
          </w:tcPr>
          <w:p>
            <w:pPr>
              <w:spacing w:after="0"/>
              <w:rPr>
                <w:sz w:val="17"/>
                <w:szCs w:val="17"/>
                <w:color w:val="auto"/>
              </w:rPr>
            </w:pPr>
          </w:p>
        </w:tc>
      </w:tr>
      <w:tr>
        <w:trPr>
          <w:trHeight w:val="216"/>
        </w:trPr>
        <w:tc>
          <w:tcPr>
            <w:tcW w:w="2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7"/>
              </w:rPr>
              <w:t>254,298,014</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5"/>
              </w:rPr>
              <w:t>116,005,681</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78,119,865</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297,605,941</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241,512,569</w:t>
            </w:r>
          </w:p>
        </w:tc>
        <w:tc>
          <w:tcPr>
            <w:tcW w:w="100" w:type="dxa"/>
            <w:vAlign w:val="bottom"/>
          </w:tcPr>
          <w:p>
            <w:pPr>
              <w:spacing w:after="0"/>
              <w:rPr>
                <w:sz w:val="18"/>
                <w:szCs w:val="18"/>
                <w:color w:val="auto"/>
              </w:rPr>
            </w:pPr>
          </w:p>
        </w:tc>
      </w:tr>
      <w:tr>
        <w:trPr>
          <w:trHeight w:val="224"/>
        </w:trPr>
        <w:tc>
          <w:tcPr>
            <w:tcW w:w="4260" w:type="dxa"/>
            <w:vAlign w:val="bottom"/>
            <w:gridSpan w:val="4"/>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4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Year ended January 31,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9"/>
              </w:rPr>
              <w:t>Nine months ended October 31,</w:t>
            </w:r>
          </w:p>
        </w:tc>
      </w:tr>
      <w:tr>
        <w:trPr>
          <w:trHeight w:val="20"/>
        </w:trPr>
        <w:tc>
          <w:tcPr>
            <w:tcW w:w="4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r>
      <w:tr>
        <w:trPr>
          <w:trHeight w:val="196"/>
        </w:trPr>
        <w:tc>
          <w:tcPr>
            <w:tcW w:w="4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7,860</w:t>
            </w:r>
          </w:p>
        </w:tc>
        <w:tc>
          <w:tcPr>
            <w:tcW w:w="11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$ 1,119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22,263</w:t>
            </w:r>
          </w:p>
        </w:tc>
        <w:tc>
          <w:tcPr>
            <w:tcW w:w="6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11,645</w:t>
            </w:r>
          </w:p>
        </w:tc>
        <w:tc>
          <w:tcPr>
            <w:tcW w:w="11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1,369</w:t>
            </w:r>
          </w:p>
        </w:tc>
        <w:tc>
          <w:tcPr>
            <w:tcW w:w="3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31,269</w:t>
            </w:r>
          </w:p>
        </w:tc>
        <w:tc>
          <w:tcPr>
            <w:tcW w:w="6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7,316</w:t>
            </w:r>
          </w:p>
        </w:tc>
        <w:tc>
          <w:tcPr>
            <w:tcW w:w="6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41,465</w:t>
            </w:r>
          </w:p>
        </w:tc>
        <w:tc>
          <w:tcPr>
            <w:tcW w:w="11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3,540</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812</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96,237</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25,554</w:t>
            </w:r>
          </w:p>
        </w:tc>
        <w:tc>
          <w:tcPr>
            <w:tcW w:w="60" w:type="dxa"/>
            <w:vAlign w:val="bottom"/>
            <w:shd w:val="clear" w:color="auto" w:fill="CCEEFF"/>
          </w:tcPr>
          <w:p>
            <w:pPr>
              <w:spacing w:after="0"/>
              <w:rPr>
                <w:sz w:val="17"/>
                <w:szCs w:val="17"/>
                <w:color w:val="auto"/>
              </w:rPr>
            </w:pPr>
          </w:p>
        </w:tc>
      </w:tr>
      <w:tr>
        <w:trPr>
          <w:trHeight w:val="210"/>
        </w:trPr>
        <w:tc>
          <w:tcPr>
            <w:tcW w:w="40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12,139</w:t>
            </w:r>
          </w:p>
        </w:tc>
        <w:tc>
          <w:tcPr>
            <w:tcW w:w="11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2,913</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8,953</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29,788</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8,561</w:t>
            </w:r>
          </w:p>
        </w:tc>
        <w:tc>
          <w:tcPr>
            <w:tcW w:w="60" w:type="dxa"/>
            <w:vAlign w:val="bottom"/>
          </w:tcPr>
          <w:p>
            <w:pPr>
              <w:spacing w:after="0"/>
              <w:rPr>
                <w:sz w:val="18"/>
                <w:szCs w:val="18"/>
                <w:color w:val="auto"/>
              </w:rPr>
            </w:pPr>
          </w:p>
        </w:tc>
      </w:tr>
      <w:tr>
        <w:trPr>
          <w:trHeight w:val="203"/>
        </w:trPr>
        <w:tc>
          <w:tcPr>
            <w:tcW w:w="4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stock-based compensation expense</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73,109</w:t>
            </w:r>
          </w:p>
        </w:tc>
        <w:tc>
          <w:tcPr>
            <w:tcW w:w="11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$8,941</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10,329</w:t>
            </w: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179,557</w:t>
            </w:r>
          </w:p>
        </w:tc>
        <w:tc>
          <w:tcPr>
            <w:tcW w:w="6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46,532</w:t>
            </w:r>
          </w:p>
        </w:tc>
        <w:tc>
          <w:tcPr>
            <w:tcW w:w="60" w:type="dxa"/>
            <w:vAlign w:val="bottom"/>
            <w:shd w:val="clear" w:color="auto" w:fill="CCEEFF"/>
          </w:tcPr>
          <w:p>
            <w:pPr>
              <w:spacing w:after="0"/>
              <w:rPr>
                <w:sz w:val="17"/>
                <w:szCs w:val="17"/>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1" w:lineRule="exact"/>
        <w:rPr>
          <w:sz w:val="20"/>
          <w:szCs w:val="20"/>
          <w:color w:val="auto"/>
        </w:rPr>
      </w:pPr>
    </w:p>
    <w:p>
      <w:pPr>
        <w:ind w:left="600" w:right="100" w:hanging="302"/>
        <w:spacing w:after="0" w:line="256" w:lineRule="auto"/>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the year ended January 31, 2018, we repurchased 1,365,800 shares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9 to our consolidated financial statements included in our 2020 Annual Report for more information.</w:t>
      </w:r>
    </w:p>
    <w:p>
      <w:pPr>
        <w:spacing w:after="0" w:line="300"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As of October 31, 2020</w:t>
            </w:r>
          </w:p>
        </w:tc>
      </w:tr>
      <w:tr>
        <w:trPr>
          <w:trHeight w:val="20"/>
        </w:trPr>
        <w:tc>
          <w:tcPr>
            <w:tcW w:w="5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7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Actual</w:t>
            </w:r>
          </w:p>
        </w:tc>
        <w:tc>
          <w:tcPr>
            <w:tcW w:w="1400" w:type="dxa"/>
            <w:vAlign w:val="bottom"/>
            <w:tcBorders>
              <w:bottom w:val="single" w:sz="8" w:color="auto"/>
            </w:tcBorders>
            <w:gridSpan w:val="2"/>
          </w:tcPr>
          <w:p>
            <w:pPr>
              <w:jc w:val="right"/>
              <w:ind w:right="60"/>
              <w:spacing w:after="0" w:line="223" w:lineRule="exact"/>
              <w:rPr>
                <w:sz w:val="20"/>
                <w:szCs w:val="20"/>
                <w:color w:val="auto"/>
              </w:rPr>
            </w:pPr>
            <w:r>
              <w:rPr>
                <w:rFonts w:ascii="Arial" w:cs="Arial" w:eastAsia="Arial" w:hAnsi="Arial"/>
                <w:sz w:val="18"/>
                <w:szCs w:val="18"/>
                <w:b w:val="1"/>
                <w:bCs w:val="1"/>
                <w:color w:val="auto"/>
              </w:rPr>
              <w:t>As adjusted</w:t>
            </w:r>
            <w:r>
              <w:rPr>
                <w:rFonts w:ascii="Arial" w:cs="Arial" w:eastAsia="Arial" w:hAnsi="Arial"/>
                <w:sz w:val="22"/>
                <w:szCs w:val="22"/>
                <w:b w:val="1"/>
                <w:bCs w:val="1"/>
                <w:color w:val="auto"/>
                <w:vertAlign w:val="superscript"/>
              </w:rPr>
              <w:t>(1)</w:t>
            </w:r>
          </w:p>
        </w:tc>
      </w:tr>
      <w:tr>
        <w:trPr>
          <w:trHeight w:val="196"/>
        </w:trPr>
        <w:tc>
          <w:tcPr>
            <w:tcW w:w="5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5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730,506</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2,461,506</w:t>
            </w:r>
          </w:p>
        </w:tc>
        <w:tc>
          <w:tcPr>
            <w:tcW w:w="60" w:type="dxa"/>
            <w:vAlign w:val="bottom"/>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352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1,141,425</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1,141,425</w:t>
            </w:r>
          </w:p>
        </w:tc>
        <w:tc>
          <w:tcPr>
            <w:tcW w:w="60" w:type="dxa"/>
            <w:vAlign w:val="bottom"/>
          </w:tcPr>
          <w:p>
            <w:pPr>
              <w:spacing w:after="0"/>
              <w:rPr>
                <w:sz w:val="17"/>
                <w:szCs w:val="17"/>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35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1,210,328</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2,941,328</w:t>
            </w:r>
          </w:p>
        </w:tc>
        <w:tc>
          <w:tcPr>
            <w:tcW w:w="60" w:type="dxa"/>
            <w:vAlign w:val="bottom"/>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52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3,050,311</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4,781,311</w:t>
            </w:r>
          </w:p>
        </w:tc>
        <w:tc>
          <w:tcPr>
            <w:tcW w:w="60" w:type="dxa"/>
            <w:vAlign w:val="bottom"/>
          </w:tcPr>
          <w:p>
            <w:pPr>
              <w:spacing w:after="0"/>
              <w:rPr>
                <w:sz w:val="17"/>
                <w:szCs w:val="17"/>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current and noncurrent</w:t>
            </w:r>
          </w:p>
        </w:tc>
        <w:tc>
          <w:tcPr>
            <w:tcW w:w="35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854,697</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854,697</w:t>
            </w:r>
          </w:p>
        </w:tc>
        <w:tc>
          <w:tcPr>
            <w:tcW w:w="60" w:type="dxa"/>
            <w:vAlign w:val="bottom"/>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Retained earnings</w:t>
            </w:r>
          </w:p>
        </w:tc>
        <w:tc>
          <w:tcPr>
            <w:tcW w:w="352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411,858</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411,858</w:t>
            </w:r>
          </w:p>
        </w:tc>
        <w:tc>
          <w:tcPr>
            <w:tcW w:w="60" w:type="dxa"/>
            <w:vAlign w:val="bottom"/>
          </w:tcPr>
          <w:p>
            <w:pPr>
              <w:spacing w:after="0"/>
              <w:rPr>
                <w:sz w:val="17"/>
                <w:szCs w:val="17"/>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35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1,499,918</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3,230,918</w:t>
            </w:r>
          </w:p>
        </w:tc>
        <w:tc>
          <w:tcPr>
            <w:tcW w:w="60" w:type="dxa"/>
            <w:vAlign w:val="bottom"/>
            <w:shd w:val="clear" w:color="auto" w:fill="CCEEFF"/>
          </w:tcPr>
          <w:p>
            <w:pPr>
              <w:spacing w:after="0"/>
              <w:rPr>
                <w:sz w:val="17"/>
                <w:szCs w:val="17"/>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1" w:lineRule="exact"/>
        <w:rPr>
          <w:sz w:val="20"/>
          <w:szCs w:val="20"/>
          <w:color w:val="auto"/>
        </w:rPr>
      </w:pPr>
    </w:p>
    <w:p>
      <w:pPr>
        <w:ind w:left="600" w:right="220" w:hanging="302"/>
        <w:spacing w:after="0" w:line="263" w:lineRule="auto"/>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as adjusted column in the consolidated balance sheet data table above reflects the receipt of (i) $1.73 billion in net proceeds from our sale of 5,147,059 shares of our Class A common stock in this offering at the public offering price of $340.00 per share, after deducting underwriting discounts and commissions and estimated expenses related to the offering.</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70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0704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Non-GAAP financial information</w:t>
      </w:r>
    </w:p>
    <w:p>
      <w:pPr>
        <w:spacing w:after="0" w:line="116" w:lineRule="exact"/>
        <w:rPr>
          <w:sz w:val="20"/>
          <w:szCs w:val="20"/>
          <w:color w:val="auto"/>
        </w:rPr>
      </w:pPr>
    </w:p>
    <w:p>
      <w:pPr>
        <w:ind w:left="300" w:right="100"/>
        <w:spacing w:after="0" w:line="243" w:lineRule="auto"/>
        <w:rPr>
          <w:sz w:val="20"/>
          <w:szCs w:val="20"/>
          <w:color w:val="auto"/>
        </w:rPr>
      </w:pPr>
      <w:r>
        <w:rPr>
          <w:rFonts w:ascii="Arial" w:cs="Arial" w:eastAsia="Arial" w:hAnsi="Arial"/>
          <w:sz w:val="18"/>
          <w:szCs w:val="18"/>
          <w:color w:val="auto"/>
        </w:rPr>
        <w:t>To supplement our consolidated financial statements presented in accordance with generally accepted accounting principles in the United States (“GAAP”), we provide investors with certain non-GAAP financial information. We use these non-GAAP financial measures internally in analyzing our financial results and believe that use of these non-GAAP financial measures is useful to investors as an additional tool to evaluate ongoing operating results and trends and in comparing our financial results with other companies in our industry, many of which present similar non-GAAP financial measures.</w:t>
      </w:r>
    </w:p>
    <w:p>
      <w:pPr>
        <w:spacing w:after="0" w:line="73" w:lineRule="exact"/>
        <w:rPr>
          <w:sz w:val="20"/>
          <w:szCs w:val="20"/>
          <w:color w:val="auto"/>
        </w:rPr>
      </w:pPr>
    </w:p>
    <w:p>
      <w:pPr>
        <w:ind w:left="300" w:right="100"/>
        <w:spacing w:after="0" w:line="252" w:lineRule="auto"/>
        <w:rPr>
          <w:sz w:val="20"/>
          <w:szCs w:val="20"/>
          <w:color w:val="auto"/>
        </w:rPr>
      </w:pPr>
      <w:r>
        <w:rPr>
          <w:rFonts w:ascii="Arial" w:cs="Arial" w:eastAsia="Arial" w:hAnsi="Arial"/>
          <w:sz w:val="18"/>
          <w:szCs w:val="18"/>
          <w:color w:val="auto"/>
        </w:rPr>
        <w:t>Non-GAAP financial measures are not meant to be considered in isolation or as a substitute for comparable GAAP financial measures and should be read only in conjunction with our condensed consolidated financial statements prepared in accordance with GAAP, which are incorporated by reference in this prospectus supplement and accompanying prospectus.</w:t>
      </w:r>
    </w:p>
    <w:p>
      <w:pPr>
        <w:spacing w:after="0" w:line="64"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i w:val="1"/>
          <w:iCs w:val="1"/>
          <w:color w:val="auto"/>
        </w:rPr>
        <w:t xml:space="preserve">Non-GAAP gross profit and Non-Gaap gross margin. </w:t>
      </w:r>
      <w:r>
        <w:rPr>
          <w:rFonts w:ascii="Arial" w:cs="Arial" w:eastAsia="Arial" w:hAnsi="Arial"/>
          <w:sz w:val="18"/>
          <w:szCs w:val="18"/>
          <w:color w:val="auto"/>
        </w:rPr>
        <w:t>We define non-GAAP gross profit as gross profit excluding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and related payroll taxes and acquisition-related expenses. We exclude stock-based compensation expense because it is non-cash in nature and excluding this expense provides meaningful supplemental information regarding our operational performance and allows investors the ability to make more meaningful comparisons between our operating results and those of other companies. We exclude the amount of employer payroll taxes related to employee stock plans, which is a cash expense, in order for investors to see the full effect that excluding stock-based compensation expense had on our operating results. In particular, this expense is dependent on the price of our common stock and other factors that are beyond our control and does not correlate to the operation of the business. We view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In particular, we believe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75" w:lineRule="exact"/>
        <w:rPr>
          <w:sz w:val="20"/>
          <w:szCs w:val="20"/>
          <w:color w:val="auto"/>
        </w:rPr>
      </w:pPr>
    </w:p>
    <w:p>
      <w:pPr>
        <w:ind w:left="300" w:right="100"/>
        <w:spacing w:after="0"/>
        <w:rPr>
          <w:sz w:val="20"/>
          <w:szCs w:val="20"/>
          <w:color w:val="auto"/>
        </w:rPr>
      </w:pPr>
      <w:r>
        <w:rPr>
          <w:rFonts w:ascii="Arial" w:cs="Arial" w:eastAsia="Arial" w:hAnsi="Arial"/>
          <w:sz w:val="18"/>
          <w:szCs w:val="18"/>
          <w:i w:val="1"/>
          <w:iCs w:val="1"/>
          <w:color w:val="auto"/>
        </w:rPr>
        <w:t xml:space="preserve">Non-GAAP operating expenses (research and development, sales and marketing and general and administrative). </w:t>
      </w:r>
      <w:r>
        <w:rPr>
          <w:rFonts w:ascii="Arial" w:cs="Arial" w:eastAsia="Arial" w:hAnsi="Arial"/>
          <w:sz w:val="18"/>
          <w:szCs w:val="18"/>
          <w:color w:val="auto"/>
        </w:rPr>
        <w:t>We define</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operating expenses (research and development, sales and marketing and general and administrative) as the respective GAAP expenses less stock-based compensation and related payroll taxes, charitable donation of common stock and acquisition-related expenses, as applicable. We exclude stock-based compensation and related payroll taxes and acquisition-related expenses for the reasons described above. We exclude expenses related to charitable donation of common stock because it is non-cash in nature and excluding this expense provides meaningful supplemental information regarding our operational performance and allows investors the ability to make more meaningful comparisons between our operating results and those of other companies.</w:t>
      </w:r>
    </w:p>
    <w:p>
      <w:pPr>
        <w:spacing w:after="0" w:line="77" w:lineRule="exact"/>
        <w:rPr>
          <w:sz w:val="20"/>
          <w:szCs w:val="20"/>
          <w:color w:val="auto"/>
        </w:rPr>
      </w:pPr>
    </w:p>
    <w:p>
      <w:pPr>
        <w:jc w:val="both"/>
        <w:ind w:left="300" w:right="120"/>
        <w:spacing w:after="0" w:line="252" w:lineRule="auto"/>
        <w:rPr>
          <w:sz w:val="20"/>
          <w:szCs w:val="20"/>
          <w:color w:val="auto"/>
        </w:rPr>
      </w:pPr>
      <w:r>
        <w:rPr>
          <w:rFonts w:ascii="Arial" w:cs="Arial" w:eastAsia="Arial" w:hAnsi="Arial"/>
          <w:sz w:val="18"/>
          <w:szCs w:val="18"/>
          <w:i w:val="1"/>
          <w:iCs w:val="1"/>
          <w:color w:val="auto"/>
        </w:rPr>
        <w:t xml:space="preserve">Non-GAAP income from operations and Non-GAAP operating margin. </w:t>
      </w:r>
      <w:r>
        <w:rPr>
          <w:rFonts w:ascii="Arial" w:cs="Arial" w:eastAsia="Arial" w:hAnsi="Arial"/>
          <w:sz w:val="18"/>
          <w:szCs w:val="18"/>
          <w:color w:val="auto"/>
        </w:rPr>
        <w:t>We define non-GAAP income from operations as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excluding stock-based compensation expense and related payroll taxes, expenses related to charitable donation of common stock and acquisition-related expenses. We exclude these expenses for the reasons described above.</w:t>
      </w:r>
    </w:p>
    <w:p>
      <w:pPr>
        <w:spacing w:after="0" w:line="63" w:lineRule="exact"/>
        <w:rPr>
          <w:sz w:val="20"/>
          <w:szCs w:val="20"/>
          <w:color w:val="auto"/>
        </w:rPr>
      </w:pPr>
    </w:p>
    <w:p>
      <w:pPr>
        <w:ind w:left="300"/>
        <w:spacing w:after="0" w:line="246" w:lineRule="auto"/>
        <w:rPr>
          <w:sz w:val="20"/>
          <w:szCs w:val="20"/>
          <w:color w:val="auto"/>
        </w:rPr>
      </w:pPr>
      <w:r>
        <w:rPr>
          <w:rFonts w:ascii="Arial" w:cs="Arial" w:eastAsia="Arial" w:hAnsi="Arial"/>
          <w:sz w:val="18"/>
          <w:szCs w:val="18"/>
          <w:i w:val="1"/>
          <w:iCs w:val="1"/>
          <w:color w:val="auto"/>
        </w:rPr>
        <w:t xml:space="preserve">Non-GAAP net income and Non-GAAP net income per share, basic and diluted. </w:t>
      </w:r>
      <w:r>
        <w:rPr>
          <w:rFonts w:ascii="Arial" w:cs="Arial" w:eastAsia="Arial" w:hAnsi="Arial"/>
          <w:sz w:val="18"/>
          <w:szCs w:val="18"/>
          <w:color w:val="auto"/>
        </w:rPr>
        <w:t>We define non-GAAP net income and non-GAAP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per share, basic and diluted, as GAAP net income attributable to common stockholders and GAAP net income per share attributable to common stockholders, basic and diluted, respectively, adjusted to exclude stock-based compensation expense and related payroll taxes, expenses</w:t>
      </w:r>
    </w:p>
    <w:p>
      <w:pPr>
        <w:spacing w:after="0" w:line="1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20"/>
          </w:cols>
          <w:pgMar w:left="320" w:top="455" w:right="6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93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60"/>
        <w:spacing w:after="0" w:line="243" w:lineRule="auto"/>
        <w:rPr>
          <w:sz w:val="20"/>
          <w:szCs w:val="20"/>
          <w:color w:val="auto"/>
        </w:rPr>
      </w:pPr>
      <w:r>
        <w:rPr>
          <w:rFonts w:ascii="Arial" w:cs="Arial" w:eastAsia="Arial" w:hAnsi="Arial"/>
          <w:sz w:val="18"/>
          <w:szCs w:val="18"/>
          <w:color w:val="auto"/>
        </w:rPr>
        <w:t>related to charitable donation of common stock, acquisition-related expenses, and undistributed earnings attributable to participating securities. We exclude undistributed earnings attributable to participating securities because they are considered by management to be outside of our core operating results, and excluding them provides investors and management with greater visibility to the underlying performance of our business operations, facilitates comparison of our results with other periods and may also facilitate comparison with the results of other companies in the industry.</w:t>
      </w:r>
    </w:p>
    <w:p>
      <w:pPr>
        <w:spacing w:after="0" w:line="73" w:lineRule="exact"/>
        <w:rPr>
          <w:sz w:val="20"/>
          <w:szCs w:val="20"/>
          <w:color w:val="auto"/>
        </w:rPr>
      </w:pPr>
    </w:p>
    <w:p>
      <w:pPr>
        <w:ind w:left="300" w:right="240"/>
        <w:spacing w:after="0" w:line="243" w:lineRule="auto"/>
        <w:rPr>
          <w:sz w:val="20"/>
          <w:szCs w:val="20"/>
          <w:color w:val="auto"/>
        </w:rPr>
      </w:pPr>
      <w:r>
        <w:rPr>
          <w:rFonts w:ascii="Arial" w:cs="Arial" w:eastAsia="Arial" w:hAnsi="Arial"/>
          <w:sz w:val="18"/>
          <w:szCs w:val="18"/>
          <w:color w:val="auto"/>
        </w:rPr>
        <w:t>In order to calculate non-GAAP net income per share, basic and diluted, we use a non-GAAP weighted-average share count. We define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our initial public offering, including the concurrent private placement, that are outstanding as of the end of the period as if they were outstanding as of the beginning of the period for comparability.</w:t>
      </w:r>
    </w:p>
    <w:p>
      <w:pPr>
        <w:spacing w:after="0" w:line="73" w:lineRule="exact"/>
        <w:rPr>
          <w:sz w:val="20"/>
          <w:szCs w:val="20"/>
          <w:color w:val="auto"/>
        </w:rPr>
      </w:pPr>
    </w:p>
    <w:p>
      <w:pPr>
        <w:ind w:left="300" w:right="240"/>
        <w:spacing w:after="0" w:line="298" w:lineRule="auto"/>
        <w:rPr>
          <w:sz w:val="20"/>
          <w:szCs w:val="20"/>
          <w:color w:val="auto"/>
        </w:rPr>
      </w:pPr>
      <w:r>
        <w:rPr>
          <w:rFonts w:ascii="Arial" w:cs="Arial" w:eastAsia="Arial" w:hAnsi="Arial"/>
          <w:sz w:val="16"/>
          <w:szCs w:val="16"/>
          <w:i w:val="1"/>
          <w:iCs w:val="1"/>
          <w:color w:val="auto"/>
        </w:rPr>
        <w:t xml:space="preserve">Free cash flow. </w:t>
      </w:r>
      <w:r>
        <w:rPr>
          <w:rFonts w:ascii="Arial" w:cs="Arial" w:eastAsia="Arial" w:hAnsi="Arial"/>
          <w:sz w:val="16"/>
          <w:szCs w:val="16"/>
          <w:color w:val="auto"/>
        </w:rPr>
        <w:t>We define free cash flow as GAAP net cash provided by operating activities less purchases of property and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We consider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30" w:lineRule="exact"/>
        <w:rPr>
          <w:sz w:val="20"/>
          <w:szCs w:val="20"/>
          <w:color w:val="auto"/>
        </w:rPr>
      </w:pPr>
    </w:p>
    <w:p>
      <w:pPr>
        <w:ind w:left="300" w:right="200"/>
        <w:spacing w:after="0" w:line="246" w:lineRule="auto"/>
        <w:rPr>
          <w:sz w:val="20"/>
          <w:szCs w:val="20"/>
          <w:color w:val="auto"/>
        </w:rPr>
      </w:pPr>
      <w:r>
        <w:rPr>
          <w:rFonts w:ascii="Arial" w:cs="Arial" w:eastAsia="Arial" w:hAnsi="Arial"/>
          <w:sz w:val="18"/>
          <w:szCs w:val="18"/>
          <w:color w:val="auto"/>
        </w:rPr>
        <w:t>The following table presents our Non-GAAP gross profit and Non-GAAP gross margin, non-GAAP operating expenses (research and development, sales and marketing and general and administrative), non-GAAP income from operations and non-GAAP operating margin, non-GAAP net income and non-GAAP net income per share, basic and diluted, and free cash flow for the three and nine months ended October 31, 2020 and 2019 (in thousands):</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0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 October 31,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Nine months ended October 31,</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GAAP revenue</w:t>
            </w:r>
          </w:p>
        </w:tc>
        <w:tc>
          <w:tcPr>
            <w:tcW w:w="540" w:type="dxa"/>
            <w:vAlign w:val="bottom"/>
            <w:gridSpan w:val="2"/>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777,196</w:t>
            </w:r>
          </w:p>
        </w:tc>
        <w:tc>
          <w:tcPr>
            <w:tcW w:w="52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166,593</w:t>
            </w:r>
          </w:p>
        </w:tc>
        <w:tc>
          <w:tcPr>
            <w:tcW w:w="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1,768,883</w:t>
            </w:r>
          </w:p>
        </w:tc>
        <w:tc>
          <w:tcPr>
            <w:tcW w:w="58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434,407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GAAP gross profit</w:t>
            </w:r>
          </w:p>
        </w:tc>
        <w:tc>
          <w:tcPr>
            <w:tcW w:w="5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518,469</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135,748</w:t>
            </w:r>
          </w:p>
        </w:tc>
        <w:tc>
          <w:tcPr>
            <w:tcW w:w="24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1,214,178</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351,558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3680" w:type="dxa"/>
            <w:vAlign w:val="bottom"/>
          </w:tcPr>
          <w:p>
            <w:pPr>
              <w:ind w:left="220"/>
              <w:spacing w:after="0" w:line="183" w:lineRule="exact"/>
              <w:rPr>
                <w:sz w:val="20"/>
                <w:szCs w:val="20"/>
                <w:color w:val="auto"/>
              </w:rPr>
            </w:pPr>
            <w:r>
              <w:rPr>
                <w:rFonts w:ascii="Arial" w:cs="Arial" w:eastAsia="Arial" w:hAnsi="Arial"/>
                <w:sz w:val="18"/>
                <w:szCs w:val="18"/>
                <w:color w:val="auto"/>
              </w:rPr>
              <w:t>Stock-based compensation expense and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680" w:type="dxa"/>
            <w:vAlign w:val="bottom"/>
          </w:tcPr>
          <w:p>
            <w:pPr>
              <w:ind w:left="440"/>
              <w:spacing w:after="0"/>
              <w:rPr>
                <w:sz w:val="20"/>
                <w:szCs w:val="20"/>
                <w:color w:val="auto"/>
              </w:rPr>
            </w:pPr>
            <w:r>
              <w:rPr>
                <w:rFonts w:ascii="Arial" w:cs="Arial" w:eastAsia="Arial" w:hAnsi="Arial"/>
                <w:sz w:val="18"/>
                <w:szCs w:val="18"/>
                <w:color w:val="auto"/>
              </w:rPr>
              <w:t>related payroll taxes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11,620</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23,061</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Acquisition-related expenses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168</w:t>
            </w:r>
          </w:p>
        </w:tc>
        <w:tc>
          <w:tcPr>
            <w:tcW w:w="5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322</w:t>
            </w:r>
          </w:p>
        </w:tc>
        <w:tc>
          <w:tcPr>
            <w:tcW w:w="5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Non-GAAP gross profit</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530,257</w:t>
            </w:r>
          </w:p>
        </w:tc>
        <w:tc>
          <w:tcPr>
            <w:tcW w:w="5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138,122</w:t>
            </w: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1,237,561</w:t>
            </w:r>
          </w:p>
        </w:tc>
        <w:tc>
          <w:tcPr>
            <w:tcW w:w="5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356,684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gross margin</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68.2%</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70.0%</w:t>
            </w:r>
          </w:p>
        </w:tc>
        <w:tc>
          <w:tcPr>
            <w:tcW w:w="5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GAAP operating expenses: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54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42,582</w:t>
            </w:r>
          </w:p>
        </w:tc>
        <w:tc>
          <w:tcPr>
            <w:tcW w:w="5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17,573</w:t>
            </w:r>
          </w:p>
        </w:tc>
        <w:tc>
          <w:tcPr>
            <w:tcW w:w="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111,705</w:t>
            </w:r>
          </w:p>
        </w:tc>
        <w:tc>
          <w:tcPr>
            <w:tcW w:w="5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46,410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Subtract:</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368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Stock-based compensation expense and</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related payroll taxes</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16,191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31,760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680" w:type="dxa"/>
            <w:vAlign w:val="bottom"/>
          </w:tcPr>
          <w:p>
            <w:pPr>
              <w:ind w:left="220"/>
              <w:spacing w:after="0" w:line="202" w:lineRule="exact"/>
              <w:rPr>
                <w:sz w:val="20"/>
                <w:szCs w:val="20"/>
                <w:color w:val="auto"/>
              </w:rPr>
            </w:pPr>
            <w:r>
              <w:rPr>
                <w:rFonts w:ascii="Arial" w:cs="Arial" w:eastAsia="Arial" w:hAnsi="Arial"/>
                <w:sz w:val="18"/>
                <w:szCs w:val="18"/>
                <w:color w:val="auto"/>
              </w:rPr>
              <w:t>Acquisition-related expenses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1,268</w:t>
            </w:r>
          </w:p>
        </w:tc>
        <w:tc>
          <w:tcPr>
            <w:tcW w:w="520" w:type="dxa"/>
            <w:vAlign w:val="bottom"/>
          </w:tcPr>
          <w:p>
            <w:pPr>
              <w:spacing w:after="0"/>
              <w:rPr>
                <w:sz w:val="18"/>
                <w:szCs w:val="18"/>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5,274</w:t>
            </w:r>
          </w:p>
        </w:tc>
        <w:tc>
          <w:tcPr>
            <w:tcW w:w="58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research and development</w:t>
            </w: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25,123</w:t>
            </w:r>
          </w:p>
        </w:tc>
        <w:tc>
          <w:tcPr>
            <w:tcW w:w="520" w:type="dxa"/>
            <w:vAlign w:val="bottom"/>
            <w:tcBorders>
              <w:top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13,931</w:t>
            </w: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74,671</w:t>
            </w:r>
          </w:p>
        </w:tc>
        <w:tc>
          <w:tcPr>
            <w:tcW w:w="58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Sales and marketing</w:t>
            </w:r>
          </w:p>
        </w:tc>
        <w:tc>
          <w:tcPr>
            <w:tcW w:w="5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190,157</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96,048</w:t>
            </w:r>
          </w:p>
        </w:tc>
        <w:tc>
          <w:tcPr>
            <w:tcW w:w="2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470,886</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239,741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8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Subtract: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3680" w:type="dxa"/>
            <w:vAlign w:val="bottom"/>
          </w:tcPr>
          <w:p>
            <w:pPr>
              <w:ind w:left="220"/>
              <w:spacing w:after="0" w:line="183" w:lineRule="exact"/>
              <w:rPr>
                <w:sz w:val="20"/>
                <w:szCs w:val="20"/>
                <w:color w:val="auto"/>
              </w:rPr>
            </w:pPr>
            <w:r>
              <w:rPr>
                <w:rFonts w:ascii="Arial" w:cs="Arial" w:eastAsia="Arial" w:hAnsi="Arial"/>
                <w:sz w:val="18"/>
                <w:szCs w:val="18"/>
                <w:color w:val="auto"/>
              </w:rPr>
              <w:t>Stock-based compensation expense and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3680" w:type="dxa"/>
            <w:vAlign w:val="bottom"/>
          </w:tcPr>
          <w:p>
            <w:pPr>
              <w:ind w:left="440"/>
              <w:spacing w:after="0"/>
              <w:rPr>
                <w:sz w:val="20"/>
                <w:szCs w:val="20"/>
                <w:color w:val="auto"/>
              </w:rPr>
            </w:pPr>
            <w:r>
              <w:rPr>
                <w:rFonts w:ascii="Arial" w:cs="Arial" w:eastAsia="Arial" w:hAnsi="Arial"/>
                <w:sz w:val="18"/>
                <w:szCs w:val="18"/>
                <w:color w:val="auto"/>
              </w:rPr>
              <w:t>related payroll taxes</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49,065</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13,636</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103,519</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S-10</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199"/>
        </w:trPr>
        <w:tc>
          <w:tcPr>
            <w:tcW w:w="180" w:type="dxa"/>
            <w:vAlign w:val="bottom"/>
            <w:tcBorders>
              <w:top w:val="single" w:sz="8" w:color="auto"/>
              <w:left w:val="single" w:sz="8" w:color="auto"/>
            </w:tcBorders>
          </w:tcPr>
          <w:p>
            <w:pPr>
              <w:spacing w:after="0"/>
              <w:rPr>
                <w:sz w:val="17"/>
                <w:szCs w:val="17"/>
                <w:color w:val="auto"/>
              </w:rPr>
            </w:pPr>
          </w:p>
        </w:tc>
        <w:tc>
          <w:tcPr>
            <w:tcW w:w="35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0" w:type="dxa"/>
            <w:vAlign w:val="bottom"/>
            <w:tcBorders>
              <w:left w:val="single" w:sz="8" w:color="auto"/>
            </w:tcBorders>
          </w:tcPr>
          <w:p>
            <w:pPr>
              <w:spacing w:after="0"/>
              <w:rPr>
                <w:sz w:val="21"/>
                <w:szCs w:val="21"/>
                <w:color w:val="auto"/>
              </w:rPr>
            </w:pPr>
          </w:p>
        </w:tc>
        <w:tc>
          <w:tcPr>
            <w:tcW w:w="3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0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Three months ended October 31,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Borders>
              <w:right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Nine months ended October 31,</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3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Non-GAAP sales and marketing</w:t>
            </w:r>
          </w:p>
        </w:tc>
        <w:tc>
          <w:tcPr>
            <w:tcW w:w="46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141,092</w:t>
            </w:r>
          </w:p>
        </w:tc>
        <w:tc>
          <w:tcPr>
            <w:tcW w:w="7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82,412</w:t>
            </w:r>
          </w:p>
        </w:tc>
        <w:tc>
          <w:tcPr>
            <w:tcW w:w="3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367,367</w:t>
            </w:r>
          </w:p>
        </w:tc>
        <w:tc>
          <w:tcPr>
            <w:tcW w:w="4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212,665</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93,488</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23,806</w:t>
            </w:r>
          </w:p>
        </w:tc>
        <w:tc>
          <w:tcPr>
            <w:tcW w:w="3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227,856</w:t>
            </w:r>
          </w:p>
        </w:tc>
        <w:tc>
          <w:tcPr>
            <w:tcW w:w="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63,264</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80" w:type="dxa"/>
            <w:vAlign w:val="bottom"/>
            <w:tcBorders>
              <w:left w:val="single" w:sz="8" w:color="auto"/>
            </w:tcBorders>
            <w:vMerge w:val="restart"/>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Subtract: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tcPr>
          <w:p>
            <w:pPr>
              <w:ind w:left="220"/>
              <w:spacing w:after="0" w:line="183" w:lineRule="exact"/>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00" w:type="dxa"/>
            <w:vAlign w:val="bottom"/>
          </w:tcPr>
          <w:p>
            <w:pPr>
              <w:ind w:left="440"/>
              <w:spacing w:after="0"/>
              <w:rPr>
                <w:sz w:val="20"/>
                <w:szCs w:val="20"/>
                <w:color w:val="auto"/>
              </w:rPr>
            </w:pPr>
            <w:r>
              <w:rPr>
                <w:rFonts w:ascii="Arial" w:cs="Arial" w:eastAsia="Arial" w:hAnsi="Arial"/>
                <w:sz w:val="18"/>
                <w:szCs w:val="18"/>
                <w:color w:val="auto"/>
              </w:rPr>
              <w:t>and related payroll taxes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20,255</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30,639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8,561</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Charitable donation of common stock</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23,312</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Acquisition-related expenses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720" w:type="dxa"/>
            <w:vAlign w:val="bottom"/>
          </w:tcPr>
          <w:p>
            <w:pPr>
              <w:spacing w:after="0"/>
              <w:rPr>
                <w:sz w:val="17"/>
                <w:szCs w:val="17"/>
                <w:color w:val="auto"/>
              </w:rPr>
            </w:pPr>
          </w:p>
        </w:tc>
        <w:tc>
          <w:tcPr>
            <w:tcW w:w="14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744</w:t>
            </w: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vMerge w:val="restart"/>
          </w:tcPr>
          <w:p>
            <w:pPr>
              <w:spacing w:after="0"/>
              <w:rPr>
                <w:sz w:val="2"/>
                <w:szCs w:val="2"/>
                <w:color w:val="auto"/>
              </w:rPr>
            </w:pPr>
          </w:p>
        </w:tc>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Borders>
              <w:left w:val="single" w:sz="8" w:color="auto"/>
            </w:tcBorders>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general and administrative</w:t>
            </w:r>
          </w:p>
        </w:tc>
        <w:tc>
          <w:tcPr>
            <w:tcW w:w="46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73,271</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20,510</w:t>
            </w:r>
          </w:p>
        </w:tc>
        <w:tc>
          <w:tcPr>
            <w:tcW w:w="3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173,161</w:t>
            </w:r>
          </w:p>
        </w:tc>
        <w:tc>
          <w:tcPr>
            <w:tcW w:w="4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54,703</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GAAP income (loss) from operations</w:t>
            </w:r>
          </w:p>
        </w:tc>
        <w:tc>
          <w:tcPr>
            <w:tcW w:w="26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192,242</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(1,679)</w:t>
            </w:r>
          </w:p>
        </w:tc>
        <w:tc>
          <w:tcPr>
            <w:tcW w:w="4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403,731</w:t>
            </w:r>
          </w:p>
        </w:tc>
        <w:tc>
          <w:tcPr>
            <w:tcW w:w="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80" w:type="dxa"/>
            <w:vAlign w:val="bottom"/>
            <w:tcBorders>
              <w:left w:val="single" w:sz="8" w:color="auto"/>
            </w:tcBorders>
            <w:vMerge w:val="restart"/>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tcPr>
          <w:p>
            <w:pPr>
              <w:ind w:left="220"/>
              <w:spacing w:after="0" w:line="183" w:lineRule="exact"/>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00" w:type="dxa"/>
            <w:vAlign w:val="bottom"/>
          </w:tcPr>
          <w:p>
            <w:pPr>
              <w:ind w:left="440"/>
              <w:spacing w:after="0"/>
              <w:rPr>
                <w:sz w:val="20"/>
                <w:szCs w:val="20"/>
                <w:color w:val="auto"/>
              </w:rPr>
            </w:pPr>
            <w:r>
              <w:rPr>
                <w:rFonts w:ascii="Arial" w:cs="Arial" w:eastAsia="Arial" w:hAnsi="Arial"/>
                <w:sz w:val="18"/>
                <w:szCs w:val="18"/>
                <w:color w:val="auto"/>
              </w:rPr>
              <w:t>and related payroll taxes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97,131</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22,948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188,979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48,079</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Charitable donation of common stock</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23,312</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Acquisition-related expenses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1,398</w:t>
            </w:r>
          </w:p>
        </w:tc>
        <w:tc>
          <w:tcPr>
            <w:tcW w:w="720" w:type="dxa"/>
            <w:vAlign w:val="bottom"/>
          </w:tcPr>
          <w:p>
            <w:pPr>
              <w:spacing w:after="0"/>
              <w:rPr>
                <w:sz w:val="17"/>
                <w:szCs w:val="17"/>
                <w:color w:val="auto"/>
              </w:rPr>
            </w:pPr>
          </w:p>
        </w:tc>
        <w:tc>
          <w:tcPr>
            <w:tcW w:w="14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6,340</w:t>
            </w: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vMerge w:val="restart"/>
          </w:tcPr>
          <w:p>
            <w:pPr>
              <w:spacing w:after="0"/>
              <w:rPr>
                <w:sz w:val="2"/>
                <w:szCs w:val="2"/>
                <w:color w:val="auto"/>
              </w:rPr>
            </w:pPr>
          </w:p>
        </w:tc>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Borders>
              <w:left w:val="single" w:sz="8" w:color="auto"/>
            </w:tcBorders>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income from operations</w:t>
            </w:r>
          </w:p>
        </w:tc>
        <w:tc>
          <w:tcPr>
            <w:tcW w:w="46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290,771</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21,269</w:t>
            </w:r>
          </w:p>
        </w:tc>
        <w:tc>
          <w:tcPr>
            <w:tcW w:w="3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622,362</w:t>
            </w:r>
          </w:p>
        </w:tc>
        <w:tc>
          <w:tcPr>
            <w:tcW w:w="4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50,222</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Non-GAAP operating margin</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37.4%</w:t>
            </w:r>
          </w:p>
        </w:tc>
        <w:tc>
          <w:tcPr>
            <w:tcW w:w="7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35.2%</w:t>
            </w: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GAAP net income attributable to common</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tcBorders>
              <w:left w:val="single" w:sz="8" w:color="CCEEFF"/>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198,440</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3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411,175</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260" w:type="dxa"/>
            <w:vAlign w:val="bottom"/>
            <w:tcBorders>
              <w:left w:val="single" w:sz="8" w:color="CCEEFF"/>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tcBorders>
              <w:left w:val="single" w:sz="8" w:color="CCEEFF"/>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and related payroll taxes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97,131</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22,948</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188,979</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48,079</w:t>
            </w:r>
          </w:p>
        </w:tc>
        <w:tc>
          <w:tcPr>
            <w:tcW w:w="260" w:type="dxa"/>
            <w:vAlign w:val="bottom"/>
            <w:tcBorders>
              <w:left w:val="single" w:sz="8" w:color="CCEEFF"/>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Charitable donation of common stock</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14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23,312</w:t>
            </w: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Acquisition-related expenses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1,398</w:t>
            </w:r>
          </w:p>
        </w:tc>
        <w:tc>
          <w:tcPr>
            <w:tcW w:w="7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6,340</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tcPr>
          <w:p>
            <w:pPr>
              <w:ind w:left="220"/>
              <w:spacing w:after="0" w:line="183" w:lineRule="exact"/>
              <w:rPr>
                <w:sz w:val="20"/>
                <w:szCs w:val="20"/>
                <w:color w:val="auto"/>
              </w:rPr>
            </w:pPr>
            <w:r>
              <w:rPr>
                <w:rFonts w:ascii="Arial" w:cs="Arial" w:eastAsia="Arial" w:hAnsi="Arial"/>
                <w:sz w:val="18"/>
                <w:szCs w:val="18"/>
                <w:color w:val="auto"/>
              </w:rPr>
              <w:t>Undistributed earnings attributable to</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80" w:type="dxa"/>
            <w:vAlign w:val="bottom"/>
            <w:tcBorders>
              <w:left w:val="single" w:sz="8" w:color="auto"/>
            </w:tcBorders>
          </w:tcPr>
          <w:p>
            <w:pPr>
              <w:spacing w:after="0"/>
              <w:rPr>
                <w:sz w:val="19"/>
                <w:szCs w:val="19"/>
                <w:color w:val="auto"/>
              </w:rPr>
            </w:pPr>
          </w:p>
        </w:tc>
        <w:tc>
          <w:tcPr>
            <w:tcW w:w="3500" w:type="dxa"/>
            <w:vAlign w:val="bottom"/>
          </w:tcPr>
          <w:p>
            <w:pPr>
              <w:ind w:left="440"/>
              <w:spacing w:after="0"/>
              <w:rPr>
                <w:sz w:val="20"/>
                <w:szCs w:val="20"/>
                <w:color w:val="auto"/>
              </w:rPr>
            </w:pPr>
            <w:r>
              <w:rPr>
                <w:rFonts w:ascii="Arial" w:cs="Arial" w:eastAsia="Arial" w:hAnsi="Arial"/>
                <w:sz w:val="18"/>
                <w:szCs w:val="18"/>
                <w:color w:val="auto"/>
              </w:rPr>
              <w:t>participating securities</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202</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531</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income</w:t>
            </w:r>
          </w:p>
        </w:tc>
        <w:tc>
          <w:tcPr>
            <w:tcW w:w="46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297,171</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25,159</w:t>
            </w:r>
          </w:p>
        </w:tc>
        <w:tc>
          <w:tcPr>
            <w:tcW w:w="3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630,337</w:t>
            </w:r>
          </w:p>
        </w:tc>
        <w:tc>
          <w:tcPr>
            <w:tcW w:w="4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58,045</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Net income per share—basic and diluted:</w:t>
            </w: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GAAP net income per share—basic</w:t>
            </w:r>
          </w:p>
        </w:tc>
        <w:tc>
          <w:tcPr>
            <w:tcW w:w="46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0.70</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1.46</w:t>
            </w:r>
          </w:p>
        </w:tc>
        <w:tc>
          <w:tcPr>
            <w:tcW w:w="4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GAAP net income per share—diluted</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0.66</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1.38</w:t>
            </w: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Non-GAAP net income per share—</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tcBorders>
              <w:left w:val="single" w:sz="8" w:color="CCEEFF"/>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2.23</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Borders>
              <w:left w:val="single" w:sz="8" w:color="CCEEFF"/>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80" w:type="dxa"/>
            <w:vAlign w:val="bottom"/>
            <w:tcBorders>
              <w:left w:val="single" w:sz="8" w:color="auto"/>
            </w:tcBorders>
          </w:tcPr>
          <w:p>
            <w:pPr>
              <w:spacing w:after="0"/>
              <w:rPr>
                <w:sz w:val="14"/>
                <w:szCs w:val="14"/>
                <w:color w:val="auto"/>
              </w:rPr>
            </w:pPr>
          </w:p>
        </w:tc>
        <w:tc>
          <w:tcPr>
            <w:tcW w:w="3500" w:type="dxa"/>
            <w:vAlign w:val="bottom"/>
          </w:tcPr>
          <w:p>
            <w:pPr>
              <w:ind w:left="220"/>
              <w:spacing w:after="0" w:line="170" w:lineRule="exact"/>
              <w:rPr>
                <w:sz w:val="20"/>
                <w:szCs w:val="20"/>
                <w:color w:val="auto"/>
              </w:rPr>
            </w:pPr>
            <w:r>
              <w:rPr>
                <w:rFonts w:ascii="Arial" w:cs="Arial" w:eastAsia="Arial" w:hAnsi="Arial"/>
                <w:sz w:val="18"/>
                <w:szCs w:val="18"/>
                <w:color w:val="auto"/>
              </w:rPr>
              <w:t>Non-GAAP net income per share—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80" w:type="dxa"/>
            <w:vAlign w:val="bottom"/>
            <w:tcBorders>
              <w:left w:val="single" w:sz="8" w:color="auto"/>
            </w:tcBorders>
          </w:tcPr>
          <w:p>
            <w:pPr>
              <w:spacing w:after="0"/>
              <w:rPr>
                <w:sz w:val="19"/>
                <w:szCs w:val="19"/>
                <w:color w:val="auto"/>
              </w:rPr>
            </w:pPr>
          </w:p>
        </w:tc>
        <w:tc>
          <w:tcPr>
            <w:tcW w:w="3500" w:type="dxa"/>
            <w:vAlign w:val="bottom"/>
          </w:tcPr>
          <w:p>
            <w:pPr>
              <w:ind w:left="44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0.99</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2.12</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0.20</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GAAP weighted-average shares used to</w:t>
            </w:r>
          </w:p>
        </w:tc>
        <w:tc>
          <w:tcPr>
            <w:tcW w:w="26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60" w:type="dxa"/>
            <w:vAlign w:val="bottom"/>
            <w:tcBorders>
              <w:left w:val="single" w:sz="8" w:color="CCEEFF"/>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80" w:type="dxa"/>
            <w:vAlign w:val="bottom"/>
            <w:tcBorders>
              <w:left w:val="single" w:sz="8" w:color="auto"/>
              <w:bottom w:val="single" w:sz="8" w:color="auto"/>
            </w:tcBorders>
          </w:tcPr>
          <w:p>
            <w:pPr>
              <w:spacing w:after="0"/>
              <w:rPr>
                <w:sz w:val="18"/>
                <w:szCs w:val="18"/>
                <w:color w:val="auto"/>
              </w:rPr>
            </w:pPr>
          </w:p>
        </w:tc>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compute net income per share—basic</w:t>
            </w:r>
          </w:p>
        </w:tc>
        <w:tc>
          <w:tcPr>
            <w:tcW w:w="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284,783,006</w:t>
            </w: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273,316,850</w:t>
            </w:r>
          </w:p>
        </w:tc>
        <w:tc>
          <w:tcPr>
            <w:tcW w:w="3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282,564,481</w:t>
            </w: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219,295,445</w:t>
            </w:r>
          </w:p>
        </w:tc>
        <w:tc>
          <w:tcPr>
            <w:tcW w:w="260" w:type="dxa"/>
            <w:vAlign w:val="bottom"/>
            <w:tcBorders>
              <w:left w:val="single" w:sz="8" w:color="CCEEFF"/>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color w:val="auto"/>
                <w:w w:val="94"/>
              </w:rPr>
              <w:t>S-11</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199"/>
        </w:trPr>
        <w:tc>
          <w:tcPr>
            <w:tcW w:w="180" w:type="dxa"/>
            <w:vAlign w:val="bottom"/>
            <w:tcBorders>
              <w:top w:val="single" w:sz="8" w:color="auto"/>
              <w:left w:val="single" w:sz="8" w:color="auto"/>
            </w:tcBorders>
          </w:tcPr>
          <w:p>
            <w:pPr>
              <w:spacing w:after="0"/>
              <w:rPr>
                <w:sz w:val="17"/>
                <w:szCs w:val="17"/>
                <w:color w:val="auto"/>
              </w:rPr>
            </w:pPr>
          </w:p>
        </w:tc>
        <w:tc>
          <w:tcPr>
            <w:tcW w:w="35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0" w:type="dxa"/>
            <w:vAlign w:val="bottom"/>
            <w:tcBorders>
              <w:left w:val="single" w:sz="8" w:color="auto"/>
            </w:tcBorders>
          </w:tcPr>
          <w:p>
            <w:pPr>
              <w:spacing w:after="0"/>
              <w:rPr>
                <w:sz w:val="21"/>
                <w:szCs w:val="21"/>
                <w:color w:val="auto"/>
              </w:rPr>
            </w:pPr>
          </w:p>
        </w:tc>
        <w:tc>
          <w:tcPr>
            <w:tcW w:w="3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 October 31,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tcBorders>
              <w:right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Nine months ended October 31,</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80" w:type="dxa"/>
            <w:vAlign w:val="bottom"/>
            <w:tcBorders>
              <w:left w:val="single" w:sz="8" w:color="auto"/>
            </w:tcBorders>
            <w:vMerge w:val="restart"/>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vMerge w:val="continue"/>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60" w:type="dxa"/>
            <w:vAlign w:val="bottom"/>
          </w:tcPr>
          <w:p>
            <w:pPr>
              <w:ind w:left="220"/>
              <w:spacing w:after="0" w:line="183" w:lineRule="exact"/>
              <w:rPr>
                <w:sz w:val="20"/>
                <w:szCs w:val="20"/>
                <w:color w:val="auto"/>
              </w:rPr>
            </w:pPr>
            <w:r>
              <w:rPr>
                <w:rFonts w:ascii="Arial" w:cs="Arial" w:eastAsia="Arial" w:hAnsi="Arial"/>
                <w:sz w:val="18"/>
                <w:szCs w:val="18"/>
                <w:color w:val="auto"/>
              </w:rPr>
              <w:t>Non-GAAP unweighted adjustment for</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60" w:type="dxa"/>
            <w:vAlign w:val="bottom"/>
          </w:tcPr>
          <w:p>
            <w:pPr>
              <w:ind w:left="440"/>
              <w:spacing w:after="0" w:line="202" w:lineRule="exact"/>
              <w:rPr>
                <w:sz w:val="20"/>
                <w:szCs w:val="20"/>
                <w:color w:val="auto"/>
              </w:rPr>
            </w:pPr>
            <w:r>
              <w:rPr>
                <w:rFonts w:ascii="Arial" w:cs="Arial" w:eastAsia="Arial" w:hAnsi="Arial"/>
                <w:sz w:val="18"/>
                <w:szCs w:val="18"/>
                <w:color w:val="auto"/>
              </w:rPr>
              <w:t>common stock issued in connection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0" w:type="dxa"/>
            <w:vAlign w:val="bottom"/>
            <w:tcBorders>
              <w:left w:val="single" w:sz="8" w:color="auto"/>
            </w:tcBorders>
          </w:tcPr>
          <w:p>
            <w:pPr>
              <w:spacing w:after="0"/>
              <w:rPr>
                <w:sz w:val="19"/>
                <w:szCs w:val="19"/>
                <w:color w:val="auto"/>
              </w:rPr>
            </w:pPr>
          </w:p>
        </w:tc>
        <w:tc>
          <w:tcPr>
            <w:tcW w:w="3560" w:type="dxa"/>
            <w:vAlign w:val="bottom"/>
          </w:tcPr>
          <w:p>
            <w:pPr>
              <w:ind w:left="440"/>
              <w:spacing w:after="0"/>
              <w:rPr>
                <w:sz w:val="20"/>
                <w:szCs w:val="20"/>
                <w:color w:val="auto"/>
              </w:rPr>
            </w:pPr>
            <w:r>
              <w:rPr>
                <w:rFonts w:ascii="Arial" w:cs="Arial" w:eastAsia="Arial" w:hAnsi="Arial"/>
                <w:sz w:val="18"/>
                <w:szCs w:val="18"/>
                <w:color w:val="auto"/>
              </w:rPr>
              <w:t>with IPO</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50,116,650</w:t>
            </w:r>
          </w:p>
        </w:tc>
        <w:tc>
          <w:tcPr>
            <w:tcW w:w="1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Non-GAAP weighted-average shares used</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 compute net income per share—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284,783,006</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273,316,850</w:t>
            </w:r>
          </w:p>
        </w:tc>
        <w:tc>
          <w:tcPr>
            <w:tcW w:w="3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282,564,481</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269,412,095</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40" w:type="dxa"/>
            <w:vAlign w:val="bottom"/>
            <w:tcBorders>
              <w:left w:val="single" w:sz="8" w:color="auto"/>
            </w:tcBorders>
            <w:gridSpan w:val="2"/>
          </w:tcPr>
          <w:p>
            <w:pPr>
              <w:ind w:left="180"/>
              <w:spacing w:after="0" w:line="191" w:lineRule="exact"/>
              <w:rPr>
                <w:sz w:val="20"/>
                <w:szCs w:val="20"/>
                <w:color w:val="auto"/>
              </w:rPr>
            </w:pPr>
            <w:r>
              <w:rPr>
                <w:rFonts w:ascii="Arial" w:cs="Arial" w:eastAsia="Arial" w:hAnsi="Arial"/>
                <w:sz w:val="18"/>
                <w:szCs w:val="18"/>
                <w:color w:val="auto"/>
              </w:rPr>
              <w:t>GAAP weighted-average shares used to</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0" w:type="dxa"/>
            <w:vAlign w:val="bottom"/>
            <w:tcBorders>
              <w:left w:val="single" w:sz="8" w:color="auto"/>
            </w:tcBorders>
          </w:tcPr>
          <w:p>
            <w:pPr>
              <w:spacing w:after="0"/>
              <w:rPr>
                <w:sz w:val="20"/>
                <w:szCs w:val="20"/>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compute net income per share—diluted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299,258,765</w:t>
            </w: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292,771,122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297,605,941</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241,512,569</w:t>
            </w:r>
          </w:p>
        </w:tc>
        <w:tc>
          <w:tcPr>
            <w:tcW w:w="1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180" w:type="dxa"/>
            <w:vAlign w:val="bottom"/>
            <w:tcBorders>
              <w:left w:val="single" w:sz="8" w:color="auto"/>
            </w:tcBorders>
            <w:vMerge w:val="restart"/>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vMerge w:val="continue"/>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60" w:type="dxa"/>
            <w:vAlign w:val="bottom"/>
          </w:tcPr>
          <w:p>
            <w:pPr>
              <w:ind w:left="220"/>
              <w:spacing w:after="0" w:line="183" w:lineRule="exact"/>
              <w:rPr>
                <w:sz w:val="20"/>
                <w:szCs w:val="20"/>
                <w:color w:val="auto"/>
              </w:rPr>
            </w:pPr>
            <w:r>
              <w:rPr>
                <w:rFonts w:ascii="Arial" w:cs="Arial" w:eastAsia="Arial" w:hAnsi="Arial"/>
                <w:sz w:val="18"/>
                <w:szCs w:val="18"/>
                <w:color w:val="auto"/>
              </w:rPr>
              <w:t>Non-GAAP unweighted adjustment for</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60" w:type="dxa"/>
            <w:vAlign w:val="bottom"/>
          </w:tcPr>
          <w:p>
            <w:pPr>
              <w:ind w:left="440"/>
              <w:spacing w:after="0" w:line="202" w:lineRule="exact"/>
              <w:rPr>
                <w:sz w:val="20"/>
                <w:szCs w:val="20"/>
                <w:color w:val="auto"/>
              </w:rPr>
            </w:pPr>
            <w:r>
              <w:rPr>
                <w:rFonts w:ascii="Arial" w:cs="Arial" w:eastAsia="Arial" w:hAnsi="Arial"/>
                <w:sz w:val="18"/>
                <w:szCs w:val="18"/>
                <w:color w:val="auto"/>
              </w:rPr>
              <w:t>common stock issued in connection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0" w:type="dxa"/>
            <w:vAlign w:val="bottom"/>
            <w:tcBorders>
              <w:left w:val="single" w:sz="8" w:color="auto"/>
            </w:tcBorders>
          </w:tcPr>
          <w:p>
            <w:pPr>
              <w:spacing w:after="0"/>
              <w:rPr>
                <w:sz w:val="19"/>
                <w:szCs w:val="19"/>
                <w:color w:val="auto"/>
              </w:rPr>
            </w:pPr>
          </w:p>
        </w:tc>
        <w:tc>
          <w:tcPr>
            <w:tcW w:w="3560" w:type="dxa"/>
            <w:vAlign w:val="bottom"/>
          </w:tcPr>
          <w:p>
            <w:pPr>
              <w:ind w:left="440"/>
              <w:spacing w:after="0"/>
              <w:rPr>
                <w:sz w:val="20"/>
                <w:szCs w:val="20"/>
                <w:color w:val="auto"/>
              </w:rPr>
            </w:pPr>
            <w:r>
              <w:rPr>
                <w:rFonts w:ascii="Arial" w:cs="Arial" w:eastAsia="Arial" w:hAnsi="Arial"/>
                <w:sz w:val="18"/>
                <w:szCs w:val="18"/>
                <w:color w:val="auto"/>
              </w:rPr>
              <w:t>with IPO</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50,116,650</w:t>
            </w:r>
          </w:p>
        </w:tc>
        <w:tc>
          <w:tcPr>
            <w:tcW w:w="1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35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Non-GAAP weighted-average shares used</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 compute net income per share—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299,258,765</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292,771,122</w:t>
            </w:r>
          </w:p>
        </w:tc>
        <w:tc>
          <w:tcPr>
            <w:tcW w:w="3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297,605,941</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291,629,219</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411,470</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61,930</w:t>
            </w:r>
          </w:p>
        </w:tc>
        <w:tc>
          <w:tcPr>
            <w:tcW w:w="30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1,071,781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115,338</w:t>
            </w:r>
          </w:p>
        </w:tc>
        <w:tc>
          <w:tcPr>
            <w:tcW w:w="1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80" w:type="dxa"/>
            <w:vAlign w:val="bottom"/>
            <w:tcBorders>
              <w:left w:val="single" w:sz="8" w:color="auto"/>
            </w:tcBorders>
            <w:vMerge w:val="restart"/>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vMerge w:val="continue"/>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(23,264)</w:t>
            </w:r>
          </w:p>
        </w:tc>
        <w:tc>
          <w:tcPr>
            <w:tcW w:w="720" w:type="dxa"/>
            <w:vAlign w:val="bottom"/>
          </w:tcPr>
          <w:p>
            <w:pPr>
              <w:spacing w:after="0"/>
              <w:rPr>
                <w:sz w:val="18"/>
                <w:szCs w:val="18"/>
                <w:color w:val="auto"/>
              </w:rPr>
            </w:pP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(7,195)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(58,517)</w:t>
            </w:r>
          </w:p>
        </w:tc>
        <w:tc>
          <w:tcPr>
            <w:tcW w:w="440" w:type="dxa"/>
            <w:vAlign w:val="bottom"/>
          </w:tcPr>
          <w:p>
            <w:pPr>
              <w:spacing w:after="0"/>
              <w:rPr>
                <w:sz w:val="18"/>
                <w:szCs w:val="18"/>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(28,132)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Free cash flow (non-GAAP)</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388,206</w:t>
            </w:r>
          </w:p>
        </w:tc>
        <w:tc>
          <w:tcPr>
            <w:tcW w:w="720" w:type="dxa"/>
            <w:vAlign w:val="bottom"/>
            <w:tcBorders>
              <w:top w:val="single" w:sz="8" w:color="auto"/>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54,735</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1,013,264</w:t>
            </w:r>
          </w:p>
        </w:tc>
        <w:tc>
          <w:tcPr>
            <w:tcW w:w="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87,206</w:t>
            </w: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4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(437,816)</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(47,615)</w:t>
            </w: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(673,377)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(496,099)</w:t>
            </w: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4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23,600</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51,485</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296,242</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596,623</w:t>
            </w: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color w:val="auto"/>
                <w:w w:val="94"/>
              </w:rPr>
              <w:t>S-12</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Risk factors</w:t>
      </w:r>
    </w:p>
    <w:p>
      <w:pPr>
        <w:spacing w:after="0" w:line="14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the risks and uncertainties described below, together with all of the other information contained or incorporated by reference in this prospectus supplement and the accompanying prospectus, including our consolidated financial statements and related notes, and in any free writing prospectus that we may have authorized for use in connection with this offering before acquiring shares of our Class A common stock. Our business, operating results, financial condition or prospects could be materially and adversely affected by any of these risks and uncertainties. In that case, the trading price of our Class A common stock could decline and you might lose all or part of your investment. In addition, the risks and uncertainties discussed below are not the only ones we face. Our business, operating results, financial condition or prospects could also be harmed by risks and uncertainties not currently known to us or that we currently do not believe are material, and these risks and uncertainties could result in a complete loss of your investment. In assessing the risks and uncertainties described below, you should also refer to the other information contained in this prospectus supplement and accompanying prospectus and the documents incorporated by reference in this prospectus supplement and accompanying prospectus, including our consolidated financial statements and the related notes thereto, before making a decision to invest in our Class A common stock.</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this offering</w:t>
      </w:r>
    </w:p>
    <w:p>
      <w:pPr>
        <w:spacing w:after="0" w:line="116" w:lineRule="exact"/>
        <w:rPr>
          <w:sz w:val="20"/>
          <w:szCs w:val="20"/>
          <w:color w:val="auto"/>
        </w:rPr>
      </w:pPr>
    </w:p>
    <w:p>
      <w:pPr>
        <w:ind w:left="120" w:right="480"/>
        <w:spacing w:after="0" w:line="278" w:lineRule="auto"/>
        <w:rPr>
          <w:sz w:val="20"/>
          <w:szCs w:val="20"/>
          <w:color w:val="auto"/>
        </w:rPr>
      </w:pPr>
      <w:r>
        <w:rPr>
          <w:rFonts w:ascii="Arial" w:cs="Arial" w:eastAsia="Arial" w:hAnsi="Arial"/>
          <w:sz w:val="18"/>
          <w:szCs w:val="18"/>
          <w:b w:val="1"/>
          <w:bCs w:val="1"/>
          <w:i w:val="1"/>
          <w:iCs w:val="1"/>
          <w:color w:val="auto"/>
        </w:rPr>
        <w:t>We will have broad discretion in the use of net proceeds from this offering and may invest or spend the proceeds in ways with which you do not agree and in ways that may not yield a return.</w:t>
      </w:r>
    </w:p>
    <w:p>
      <w:pPr>
        <w:spacing w:after="0" w:line="33" w:lineRule="exact"/>
        <w:rPr>
          <w:sz w:val="20"/>
          <w:szCs w:val="20"/>
          <w:color w:val="auto"/>
        </w:rPr>
      </w:pPr>
    </w:p>
    <w:p>
      <w:pPr>
        <w:ind w:left="120" w:right="280"/>
        <w:spacing w:after="0" w:line="273" w:lineRule="auto"/>
        <w:rPr>
          <w:sz w:val="20"/>
          <w:szCs w:val="20"/>
          <w:color w:val="auto"/>
        </w:rPr>
      </w:pPr>
      <w:r>
        <w:rPr>
          <w:rFonts w:ascii="Arial" w:cs="Arial" w:eastAsia="Arial" w:hAnsi="Arial"/>
          <w:sz w:val="16"/>
          <w:szCs w:val="16"/>
          <w:color w:val="auto"/>
        </w:rPr>
        <w:t>Our management will have broad discretion over the use of net proceeds from this offering, including 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w:t>
      </w:r>
    </w:p>
    <w:p>
      <w:pPr>
        <w:spacing w:after="0" w:line="2"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Because of the number and variability of factors that will determine our use of the net proceeds from this offering, their ultimate use may vary substantially from their currently intended use. Our failure to apply the net proceeds of this offering effectively could impair our ability to pursue our growth strategy or could require us to raise additional capital.</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public offering price of our Class A common stock is substantially higher than the net tangible book value per share of our Class A common stock before giving effect to this offering. Accordingly, if you purchase our Class A common stock in this offering, you will incur immediate and substantial dilution of approximately $328.93 per share, based on our net tangible book value as of October 31, 2020 and the sale of 5,147,059 shares of Class A common stock in this offering at the public offering price of $340.00 per share. Furthermore, if the underwriter exercises its option to purchase additional shares of our Class A common stock, or outstanding options are exercised or outstanding RSUs vest, you could experience further dilution. For a further description of the dilution that you will experience immediately after this offering, see the section titled “Dilution.”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business and our industry</w:t>
      </w:r>
    </w:p>
    <w:p>
      <w:pPr>
        <w:spacing w:after="0" w:line="116" w:lineRule="exact"/>
        <w:rPr>
          <w:sz w:val="20"/>
          <w:szCs w:val="20"/>
          <w:color w:val="auto"/>
        </w:rPr>
      </w:pPr>
    </w:p>
    <w:p>
      <w:pPr>
        <w:ind w:left="120" w:right="320"/>
        <w:spacing w:after="0" w:line="256" w:lineRule="auto"/>
        <w:rPr>
          <w:sz w:val="20"/>
          <w:szCs w:val="20"/>
          <w:color w:val="auto"/>
        </w:rPr>
      </w:pPr>
      <w:r>
        <w:rPr>
          <w:rFonts w:ascii="Arial" w:cs="Arial" w:eastAsia="Arial" w:hAnsi="Arial"/>
          <w:sz w:val="18"/>
          <w:szCs w:val="18"/>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53" w:lineRule="exact"/>
        <w:rPr>
          <w:sz w:val="20"/>
          <w:szCs w:val="20"/>
          <w:color w:val="auto"/>
        </w:rPr>
      </w:pPr>
    </w:p>
    <w:p>
      <w:pPr>
        <w:ind w:left="120" w:right="320"/>
        <w:spacing w:after="0" w:line="269" w:lineRule="auto"/>
        <w:rPr>
          <w:sz w:val="20"/>
          <w:szCs w:val="20"/>
          <w:color w:val="auto"/>
        </w:rPr>
      </w:pPr>
      <w:r>
        <w:rPr>
          <w:rFonts w:ascii="Arial" w:cs="Arial" w:eastAsia="Arial" w:hAnsi="Arial"/>
          <w:sz w:val="18"/>
          <w:szCs w:val="18"/>
          <w:color w:val="auto"/>
        </w:rPr>
        <w:t>Our business depends upon our ability to attract new customers and hosts, and maintain and expand our relationships with our customers and hosts, including upselling additional products to our existing customers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33" w:lineRule="auto"/>
        <w:rPr>
          <w:sz w:val="20"/>
          <w:szCs w:val="20"/>
          <w:color w:val="auto"/>
        </w:rPr>
      </w:pPr>
      <w:r>
        <w:rPr>
          <w:rFonts w:ascii="Arial" w:cs="Arial" w:eastAsia="Arial" w:hAnsi="Arial"/>
          <w:sz w:val="16"/>
          <w:szCs w:val="16"/>
          <w:color w:val="auto"/>
        </w:rPr>
        <w:t>and upgrading hosts to a paid Zoom Meeting plan. A host is any user of our video-first communications platform who initiates a Zoom Meeting and invites one or more participants to join that meeting. We refer to hosts who subscribe to a paid Zoom Meeting plan as “paid hosts.”</w:t>
      </w:r>
    </w:p>
    <w:p>
      <w:pPr>
        <w:spacing w:after="0" w:line="2" w:lineRule="exact"/>
        <w:rPr>
          <w:sz w:val="20"/>
          <w:szCs w:val="20"/>
          <w:color w:val="auto"/>
        </w:rPr>
      </w:pPr>
    </w:p>
    <w:p>
      <w:pPr>
        <w:ind w:left="120"/>
        <w:spacing w:after="0" w:line="270" w:lineRule="auto"/>
        <w:rPr>
          <w:sz w:val="20"/>
          <w:szCs w:val="20"/>
          <w:color w:val="auto"/>
        </w:rPr>
      </w:pPr>
      <w:r>
        <w:rPr>
          <w:rFonts w:ascii="Arial" w:cs="Arial" w:eastAsia="Arial" w:hAnsi="Arial"/>
          <w:sz w:val="16"/>
          <w:szCs w:val="16"/>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from largely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261"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including those that recently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79"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In addition, our user growth rate may slow or decline in the future as our market penetration rates increase and we turn our focus to upgrading our free hosts to a paid Zoom Meeting plan rather than growing the total number of users. If we are not able to continue to expand our user base, our revenue may grow more slowly than expected or decline. Similar to the uncertainty of customers renewing their subscriptions or hosts upgrading to a paid Zoom Meeting plan,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prospects and future results of operations.</w:t>
      </w:r>
    </w:p>
    <w:p>
      <w:pPr>
        <w:spacing w:after="0" w:line="104" w:lineRule="exact"/>
        <w:rPr>
          <w:sz w:val="20"/>
          <w:szCs w:val="20"/>
          <w:color w:val="auto"/>
        </w:rPr>
      </w:pPr>
    </w:p>
    <w:p>
      <w:pPr>
        <w:ind w:left="120" w:right="80"/>
        <w:spacing w:after="0" w:line="241" w:lineRule="auto"/>
        <w:rPr>
          <w:sz w:val="20"/>
          <w:szCs w:val="20"/>
          <w:color w:val="auto"/>
        </w:rPr>
      </w:pPr>
      <w:r>
        <w:rPr>
          <w:rFonts w:ascii="Arial" w:cs="Arial" w:eastAsia="Arial" w:hAnsi="Arial"/>
          <w:sz w:val="18"/>
          <w:szCs w:val="18"/>
          <w:color w:val="auto"/>
        </w:rPr>
        <w:t>We were incorporated in 2011. As a result of our limited operating history,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The COVID-19 pandemic has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73" w:lineRule="exact"/>
        <w:rPr>
          <w:sz w:val="20"/>
          <w:szCs w:val="20"/>
          <w:color w:val="auto"/>
        </w:rPr>
      </w:pPr>
    </w:p>
    <w:p>
      <w:pPr>
        <w:ind w:left="120" w:right="440"/>
        <w:spacing w:after="0" w:line="256" w:lineRule="auto"/>
        <w:rPr>
          <w:sz w:val="20"/>
          <w:szCs w:val="20"/>
          <w:color w:val="auto"/>
        </w:rPr>
      </w:pPr>
      <w:r>
        <w:rPr>
          <w:rFonts w:ascii="Arial" w:cs="Arial" w:eastAsia="Arial" w:hAnsi="Arial"/>
          <w:sz w:val="18"/>
          <w:szCs w:val="18"/>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53"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video-first communications platform because of its reliability and performance. We plan to continue our practice of opening new data centers to meet increased demand, but we may be unable to bring additional data centers online in a timely manner, including as a result of current shortages for certain parts, such as servers. In addition, to meet short-term capacity needs, we may need to rely increasingly on public cloud providers, including Amazon Web Services and Oracle Cloud, which may result in higher variable costs and harm our business, financial condition, and operating results.</w:t>
      </w:r>
    </w:p>
    <w:p>
      <w:pPr>
        <w:spacing w:after="0" w:line="77"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98" w:lineRule="auto"/>
        <w:rPr>
          <w:sz w:val="20"/>
          <w:szCs w:val="20"/>
          <w:color w:val="auto"/>
        </w:rPr>
      </w:pPr>
      <w:r>
        <w:rPr>
          <w:rFonts w:ascii="Arial" w:cs="Arial" w:eastAsia="Arial" w:hAnsi="Arial"/>
          <w:sz w:val="16"/>
          <w:szCs w:val="16"/>
          <w:color w:val="auto"/>
        </w:rPr>
        <w:t>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04" w:lineRule="exact"/>
        <w:rPr>
          <w:sz w:val="20"/>
          <w:szCs w:val="20"/>
          <w:color w:val="auto"/>
        </w:rPr>
      </w:pPr>
    </w:p>
    <w:p>
      <w:pPr>
        <w:ind w:left="120" w:right="200"/>
        <w:spacing w:after="0" w:line="269"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63" w:lineRule="exact"/>
        <w:rPr>
          <w:sz w:val="20"/>
          <w:szCs w:val="20"/>
          <w:color w:val="auto"/>
        </w:rPr>
      </w:pPr>
    </w:p>
    <w:p>
      <w:pPr>
        <w:ind w:left="340" w:hanging="22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legacy web-based meeting providers, including Cisco Webex and LogMeIn GoToMeeting;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bundled productivity solutions providers with video functionality, including Microsoft Teams and Google G Suite and Meet products;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UCaaS and legacy PBX providers, including Avaya, RingCentral, and 8x8;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consumer-facing platforms that can support small- or medium-sized businesses, including Amazon, Apple and Facebook.</w:t>
      </w:r>
    </w:p>
    <w:p>
      <w:pPr>
        <w:spacing w:after="0" w:line="10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allows customers to replace their existing PBX solution, which will result in increased competition against companies that offer similar services and new competitors that may enter that market in the future. Also, in connection with the travel restrictions and stay-in-place policies resulting from the COVID-19 pandemic, we have seen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8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new customers a free period of time at the beginning of the subscription term</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that can result in deferred billings or long-term accounts receivable and increase the risk of loss on uncollected accounts receivable.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104"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have experienced significant revenue growth in prior periods. You should not rely on the revenue growth of any prior quarterly or annual period as an indication of our future performance. We expect our revenue growth rate to generally decline in future periods. Many factors may contribute to declines in our growth rate, including higher market penetration, increased competition, slowing demand for our platform, especially once the impact of the COVID-19 pandemic tapers, particularly as a vaccine becomes widely available, and users return to work or school or are otherwise no longer subject to shelter-in-place mandates,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0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video-first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94" w:lineRule="exact"/>
        <w:rPr>
          <w:sz w:val="20"/>
          <w:szCs w:val="20"/>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new hosts and upgrade hosts that subscribe to our free Zoom Meeting plan to one of our paid Zoom Meeting plans;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117" w:lineRule="exact"/>
        <w:rPr>
          <w:rFonts w:ascii="Arial" w:cs="Arial" w:eastAsia="Arial" w:hAnsi="Arial"/>
          <w:sz w:val="18"/>
          <w:szCs w:val="18"/>
          <w:color w:val="auto"/>
        </w:rPr>
      </w:pPr>
    </w:p>
    <w:p>
      <w:pPr>
        <w:ind w:left="340" w:hanging="224"/>
        <w:spacing w:after="0" w:line="26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sales to large organizations;</w:t>
      </w:r>
    </w:p>
    <w:p>
      <w:pPr>
        <w:spacing w:after="0" w:line="117" w:lineRule="exact"/>
        <w:rPr>
          <w:rFonts w:ascii="Arial" w:cs="Arial" w:eastAsia="Arial" w:hAnsi="Arial"/>
          <w:sz w:val="18"/>
          <w:szCs w:val="18"/>
          <w:color w:val="auto"/>
        </w:rPr>
      </w:pPr>
    </w:p>
    <w:p>
      <w:pPr>
        <w:ind w:left="340" w:right="520" w:hanging="224"/>
        <w:spacing w:after="0" w:line="26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our sales cycles, especially with respect to sales to large enterprises and highly-regulated industries, including financial services and U.S. federal and state and foreign governmental agencies;</w:t>
      </w:r>
    </w:p>
    <w:p>
      <w:pPr>
        <w:spacing w:after="0" w:line="62" w:lineRule="exact"/>
        <w:rPr>
          <w:rFonts w:ascii="Arial" w:cs="Arial" w:eastAsia="Arial" w:hAnsi="Arial"/>
          <w:sz w:val="18"/>
          <w:szCs w:val="18"/>
          <w:color w:val="auto"/>
        </w:rPr>
      </w:pPr>
    </w:p>
    <w:p>
      <w:pPr>
        <w:ind w:left="340" w:right="40" w:hanging="224"/>
        <w:spacing w:after="0" w:line="26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 and the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5"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hiring and retention of personnel who can build, manage, and maintain our expanded business operations and infrastructure;</w:t>
      </w:r>
    </w:p>
    <w:p>
      <w:pPr>
        <w:spacing w:after="0" w:line="117" w:lineRule="exact"/>
        <w:rPr>
          <w:sz w:val="20"/>
          <w:szCs w:val="20"/>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340" w:hanging="224"/>
        <w:spacing w:after="0" w:line="26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and retain experienced research and development personnel to design new products, features, and functionality that meet our privacy and security standards;</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functionality by us or our competitors;</w:t>
      </w:r>
    </w:p>
    <w:p>
      <w:pPr>
        <w:spacing w:after="0" w:line="117" w:lineRule="exact"/>
        <w:rPr>
          <w:rFonts w:ascii="Arial" w:cs="Arial" w:eastAsia="Arial" w:hAnsi="Arial"/>
          <w:sz w:val="18"/>
          <w:szCs w:val="18"/>
          <w:color w:val="auto"/>
        </w:rPr>
      </w:pPr>
    </w:p>
    <w:p>
      <w:pPr>
        <w:ind w:left="340" w:right="1120" w:hanging="224"/>
        <w:spacing w:after="0" w:line="26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alleged, or perceived privacy violations or issues or security vulnerabilities, incidents, or breaches;</w:t>
      </w:r>
    </w:p>
    <w:p>
      <w:pPr>
        <w:spacing w:after="0" w:line="62" w:lineRule="exact"/>
        <w:rPr>
          <w:rFonts w:ascii="Arial" w:cs="Arial" w:eastAsia="Arial" w:hAnsi="Arial"/>
          <w:sz w:val="18"/>
          <w:szCs w:val="18"/>
          <w:color w:val="auto"/>
        </w:rPr>
      </w:pPr>
    </w:p>
    <w:p>
      <w:pPr>
        <w:ind w:left="340" w:right="460" w:hanging="224"/>
        <w:spacing w:after="0" w:line="26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04" w:lineRule="exact"/>
        <w:rPr>
          <w:sz w:val="20"/>
          <w:szCs w:val="20"/>
          <w:color w:val="auto"/>
        </w:rPr>
      </w:pPr>
    </w:p>
    <w:p>
      <w:pPr>
        <w:jc w:val="both"/>
        <w:ind w:left="120" w:right="180"/>
        <w:spacing w:after="0" w:line="256" w:lineRule="auto"/>
        <w:rPr>
          <w:sz w:val="20"/>
          <w:szCs w:val="20"/>
          <w:color w:val="auto"/>
        </w:rPr>
      </w:pPr>
      <w:r>
        <w:rPr>
          <w:rFonts w:ascii="Arial" w:cs="Arial" w:eastAsia="Arial" w:hAnsi="Arial"/>
          <w:sz w:val="18"/>
          <w:szCs w:val="18"/>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3" w:lineRule="exact"/>
        <w:rPr>
          <w:sz w:val="20"/>
          <w:szCs w:val="20"/>
          <w:color w:val="auto"/>
        </w:rPr>
      </w:pPr>
    </w:p>
    <w:p>
      <w:pPr>
        <w:ind w:left="120" w:right="20"/>
        <w:spacing w:after="0" w:line="270" w:lineRule="auto"/>
        <w:rPr>
          <w:sz w:val="20"/>
          <w:szCs w:val="20"/>
          <w:color w:val="auto"/>
        </w:rPr>
      </w:pPr>
      <w:r>
        <w:rPr>
          <w:rFonts w:ascii="Arial" w:cs="Arial" w:eastAsia="Arial" w:hAnsi="Arial"/>
          <w:sz w:val="16"/>
          <w:szCs w:val="16"/>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 and their usage of communications capacity increases, including increased usage stemming from the COVID-19 pandemic,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261"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43" w:lineRule="auto"/>
        <w:rPr>
          <w:sz w:val="20"/>
          <w:szCs w:val="20"/>
          <w:color w:val="auto"/>
        </w:rPr>
      </w:pPr>
      <w:r>
        <w:rPr>
          <w:rFonts w:ascii="Arial" w:cs="Arial" w:eastAsia="Arial" w:hAnsi="Arial"/>
          <w:sz w:val="18"/>
          <w:szCs w:val="18"/>
          <w:color w:val="auto"/>
        </w:rPr>
        <w:t>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7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On October 27, 2020, the FCC adopted an order concluding that the three issues remanded by the court did not provide a basis to alter its conclusions in the 2018 order. This order could be subject to petitions for reconsideration or court appeals. Democratic control of the Executive Branch, Congress, and the FCC following the 2020 elections increases the likelihood of legislative or FCC action to reverse the 2018 decision or adopt new network neutrality rules. In addition, a number of states are adopting or considering legislation or executive actions that would regulate the conduct of broadband providers. As a result,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86" w:lineRule="exact"/>
        <w:rPr>
          <w:sz w:val="20"/>
          <w:szCs w:val="20"/>
          <w:color w:val="auto"/>
        </w:rPr>
      </w:pPr>
    </w:p>
    <w:p>
      <w:pPr>
        <w:jc w:val="both"/>
        <w:ind w:left="120" w:right="120"/>
        <w:spacing w:after="0" w:line="252" w:lineRule="auto"/>
        <w:rPr>
          <w:sz w:val="20"/>
          <w:szCs w:val="20"/>
          <w:color w:val="auto"/>
        </w:rPr>
      </w:pPr>
      <w:r>
        <w:rPr>
          <w:rFonts w:ascii="Arial" w:cs="Arial" w:eastAsia="Arial" w:hAnsi="Arial"/>
          <w:sz w:val="18"/>
          <w:szCs w:val="18"/>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63" w:lineRule="exact"/>
        <w:rPr>
          <w:sz w:val="20"/>
          <w:szCs w:val="20"/>
          <w:color w:val="auto"/>
        </w:rPr>
      </w:pPr>
    </w:p>
    <w:p>
      <w:pPr>
        <w:ind w:left="120" w:right="780"/>
        <w:spacing w:after="0" w:line="278" w:lineRule="auto"/>
        <w:rPr>
          <w:sz w:val="20"/>
          <w:szCs w:val="20"/>
          <w:color w:val="auto"/>
        </w:rPr>
      </w:pPr>
      <w:r>
        <w:rPr>
          <w:rFonts w:ascii="Arial" w:cs="Arial" w:eastAsia="Arial" w:hAnsi="Arial"/>
          <w:sz w:val="18"/>
          <w:szCs w:val="18"/>
          <w:b w:val="1"/>
          <w:bCs w:val="1"/>
          <w:i w:val="1"/>
          <w:iCs w:val="1"/>
          <w:color w:val="auto"/>
        </w:rPr>
        <w:t>As we increase sales to large organizations, our sales cycles could lengthen, and we could experience greater deployment challenges.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we continue to grow, 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69" w:lineRule="auto"/>
        <w:rPr>
          <w:sz w:val="20"/>
          <w:szCs w:val="20"/>
          <w:color w:val="auto"/>
        </w:rPr>
      </w:pPr>
      <w:r>
        <w:rPr>
          <w:rFonts w:ascii="Arial" w:cs="Arial" w:eastAsia="Arial" w:hAnsi="Arial"/>
          <w:sz w:val="18"/>
          <w:szCs w:val="18"/>
          <w:color w:val="auto"/>
        </w:rPr>
        <w:t>up-front investment. As a result, we anticipate increased sales to large organizations will lead to higher up-front sales costs and greater unpredictability in our business, results of operations, and financial condition.</w:t>
      </w:r>
    </w:p>
    <w:p>
      <w:pPr>
        <w:spacing w:after="0" w:line="49" w:lineRule="exact"/>
        <w:rPr>
          <w:sz w:val="20"/>
          <w:szCs w:val="20"/>
          <w:color w:val="auto"/>
        </w:rPr>
      </w:pPr>
    </w:p>
    <w:p>
      <w:pPr>
        <w:ind w:left="120" w:right="1400"/>
        <w:spacing w:after="0" w:line="278"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33" w:lineRule="exact"/>
        <w:rPr>
          <w:sz w:val="20"/>
          <w:szCs w:val="20"/>
          <w:color w:val="auto"/>
        </w:rPr>
      </w:pPr>
    </w:p>
    <w:p>
      <w:pPr>
        <w:ind w:left="120" w:right="100"/>
        <w:spacing w:after="0" w:line="243"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73" w:lineRule="exact"/>
        <w:rPr>
          <w:sz w:val="20"/>
          <w:szCs w:val="20"/>
          <w:color w:val="auto"/>
        </w:rPr>
      </w:pPr>
    </w:p>
    <w:p>
      <w:pPr>
        <w:jc w:val="both"/>
        <w:ind w:left="120" w:right="120"/>
        <w:spacing w:after="0" w:line="298" w:lineRule="auto"/>
        <w:rPr>
          <w:sz w:val="20"/>
          <w:szCs w:val="20"/>
          <w:color w:val="auto"/>
        </w:rPr>
      </w:pPr>
      <w:r>
        <w:rPr>
          <w:rFonts w:ascii="Arial" w:cs="Arial" w:eastAsia="Arial" w:hAnsi="Arial"/>
          <w:sz w:val="16"/>
          <w:szCs w:val="16"/>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44" w:lineRule="exact"/>
        <w:rPr>
          <w:sz w:val="20"/>
          <w:szCs w:val="20"/>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awareness of the communications and collaboration technologies category;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rFonts w:ascii="Arial" w:cs="Arial" w:eastAsia="Arial" w:hAnsi="Arial"/>
          <w:sz w:val="18"/>
          <w:szCs w:val="18"/>
          <w:color w:val="auto"/>
        </w:rPr>
      </w:pPr>
    </w:p>
    <w:p>
      <w:pPr>
        <w:jc w:val="both"/>
        <w:ind w:left="340" w:hanging="224"/>
        <w:spacing w:after="0" w:line="252"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63" w:lineRule="exact"/>
        <w:rPr>
          <w:sz w:val="20"/>
          <w:szCs w:val="20"/>
          <w:color w:val="auto"/>
        </w:rPr>
      </w:pPr>
    </w:p>
    <w:p>
      <w:pPr>
        <w:ind w:left="120" w:right="380"/>
        <w:spacing w:after="0" w:line="278" w:lineRule="auto"/>
        <w:rPr>
          <w:sz w:val="20"/>
          <w:szCs w:val="20"/>
          <w:color w:val="auto"/>
        </w:rPr>
      </w:pPr>
      <w:r>
        <w:rPr>
          <w:rFonts w:ascii="Arial" w:cs="Arial" w:eastAsia="Arial" w:hAnsi="Arial"/>
          <w:sz w:val="18"/>
          <w:szCs w:val="18"/>
          <w:b w:val="1"/>
          <w:bCs w:val="1"/>
          <w:i w:val="1"/>
          <w:iCs w:val="1"/>
          <w:color w:val="auto"/>
        </w:rPr>
        <w:t>We have experienced net losses in the past, and we expect to increase our expenses in the future, which could prevent us from maintaining profitability.</w:t>
      </w:r>
    </w:p>
    <w:p>
      <w:pPr>
        <w:spacing w:after="0" w:line="33" w:lineRule="exact"/>
        <w:rPr>
          <w:sz w:val="20"/>
          <w:szCs w:val="20"/>
          <w:color w:val="auto"/>
        </w:rPr>
      </w:pPr>
    </w:p>
    <w:p>
      <w:pPr>
        <w:ind w:left="120" w:right="160"/>
        <w:spacing w:after="0" w:line="241" w:lineRule="auto"/>
        <w:rPr>
          <w:sz w:val="20"/>
          <w:szCs w:val="20"/>
          <w:color w:val="auto"/>
        </w:rPr>
      </w:pPr>
      <w:r>
        <w:rPr>
          <w:rFonts w:ascii="Arial" w:cs="Arial" w:eastAsia="Arial" w:hAnsi="Arial"/>
          <w:sz w:val="18"/>
          <w:szCs w:val="18"/>
          <w:color w:val="auto"/>
        </w:rPr>
        <w:t>Although we generated net income of $198.6 million and $411.7 million for the three and nine months ended October 31, 2020, respectively, 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established protocols like our enterprise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Despite these significant investments, a majority of these new hosts using our platform on a free Basic account may never upgrade to a paid Zoom Meeting plan. If we are unable to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maintain profitability in future periods. If we fail to grow our revenue sufficiently to keep pace with our investments and other expenses, our business would be harmed.</w:t>
      </w:r>
    </w:p>
    <w:p>
      <w:pPr>
        <w:spacing w:after="0" w:line="80" w:lineRule="exact"/>
        <w:rPr>
          <w:sz w:val="20"/>
          <w:szCs w:val="20"/>
          <w:color w:val="auto"/>
        </w:rPr>
      </w:pPr>
    </w:p>
    <w:p>
      <w:pPr>
        <w:jc w:val="both"/>
        <w:ind w:left="120" w:right="200"/>
        <w:spacing w:after="0" w:line="256"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53"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256" w:lineRule="exact"/>
        <w:rPr>
          <w:sz w:val="20"/>
          <w:szCs w:val="20"/>
          <w:color w:val="auto"/>
        </w:rPr>
      </w:pPr>
    </w:p>
    <w:p>
      <w:pPr>
        <w:ind w:left="120" w:right="100"/>
        <w:spacing w:after="0" w:line="273"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73"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If we do not comply with these requirements, we could lose access to the app store and users, and our business would be harmed.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0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For example, in October 2020 we introduced two new additions to our Zoom platform, OnZoom and Zoom Apps. There is no assurance that these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78"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78" w:lineRule="exact"/>
        <w:rPr>
          <w:sz w:val="20"/>
          <w:szCs w:val="20"/>
          <w:color w:val="auto"/>
        </w:rPr>
      </w:pPr>
    </w:p>
    <w:p>
      <w:pPr>
        <w:ind w:left="120" w:right="140"/>
        <w:spacing w:after="0" w:line="278"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33" w:lineRule="exact"/>
        <w:rPr>
          <w:sz w:val="20"/>
          <w:szCs w:val="20"/>
          <w:color w:val="auto"/>
        </w:rPr>
      </w:pPr>
    </w:p>
    <w:p>
      <w:pPr>
        <w:jc w:val="both"/>
        <w:ind w:left="120" w:right="260"/>
        <w:spacing w:after="0" w:line="252"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00"/>
          </w:cols>
          <w:pgMar w:left="32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9" w:lineRule="auto"/>
        <w:rPr>
          <w:sz w:val="20"/>
          <w:szCs w:val="20"/>
          <w:color w:val="auto"/>
        </w:rPr>
      </w:pPr>
      <w:r>
        <w:rPr>
          <w:rFonts w:ascii="Arial" w:cs="Arial" w:eastAsia="Arial" w:hAnsi="Arial"/>
          <w:sz w:val="18"/>
          <w:szCs w:val="18"/>
          <w:color w:val="auto"/>
        </w:rPr>
        <w:t>unable to hire a sufficient number of qualified sales personnel in the near term, our future revenue growth and business could be adversely impacted.</w:t>
      </w:r>
    </w:p>
    <w:p>
      <w:pPr>
        <w:spacing w:after="0" w:line="4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77" w:lineRule="exact"/>
        <w:rPr>
          <w:sz w:val="20"/>
          <w:szCs w:val="20"/>
          <w:color w:val="auto"/>
        </w:rPr>
      </w:pPr>
    </w:p>
    <w:p>
      <w:pPr>
        <w:ind w:left="120" w:right="120"/>
        <w:spacing w:after="0" w:line="245" w:lineRule="auto"/>
        <w:rPr>
          <w:sz w:val="20"/>
          <w:szCs w:val="20"/>
          <w:color w:val="auto"/>
        </w:rPr>
      </w:pPr>
      <w:r>
        <w:rPr>
          <w:rFonts w:ascii="Arial" w:cs="Arial" w:eastAsia="Arial" w:hAnsi="Arial"/>
          <w:sz w:val="18"/>
          <w:szCs w:val="18"/>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6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Our operations involve the storage and transmission of customer and user data or information, and security incidents have occurred in the past, and may occur in the future, resulting in unauthorized access to, loss or unauthorized disclosure of, or inadvertent disclosure of, this information, regulatory investigations or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we face security risks from malicious code (such as viruses and worms), phishing incidents, credential stuffing attacks, employee theft, misuse of information or systems, sophisticated nation-state and nation-state supported actors, and advanced persistent threat intrusions. Moreover, security incidents can result in interruptions, delays, or outages in our operations and services, including due to ransomware or denial-of-service attacks. Despite significant efforts to create security barriers to such threats, it is impossible for us to entirely mitigate these risks. If our security measures are compromised as a result of third-party action, employee, customer, host or user error, malfeasance, stolen or fraudulently obtained log-in credentials, or otherwise, our reputation could be damaged; our data, information or intellectual property, or that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video-first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We cannot be certain that we will be able to address any vulnerabilities in our software that we may become aware of in the future, or there may be delays in developing patches that can be effectively deployed to address vulnerabilities. We expect similar issues to arise in the future as our products and services are more widely adopted, and as we continue to expand the features and functionality of existing products and introduce new products. We expect to expend significant resources in an effort to protect against security incidents and to mitigate, detect, and remediate actual and potential vulnerabilities. Security incidents and vulnerabilities, and concerns regarding privacy, data protection, and information security may cause some of our customers and hosts to stop using our solutions and fail to upgrade or renew their subscriptions. This discontinuance in use or failure to upgrade or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26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enterprise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76"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73" w:lineRule="exact"/>
        <w:rPr>
          <w:sz w:val="20"/>
          <w:szCs w:val="20"/>
          <w:color w:val="auto"/>
        </w:rPr>
      </w:pPr>
    </w:p>
    <w:p>
      <w:pPr>
        <w:ind w:left="120" w:right="120"/>
        <w:spacing w:after="0" w:line="278"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33"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We believe that our brand identity and awareness have contributed to our success and have helped fuel our efficient go-to-market strategy. We connect people through frictionless and secure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or have a negative perception of our privacy and security,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0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Since our founding in 2011, we have experienced rapid growth. For example, our headcount has grown from 2,409 full-time employees as of October 31, 2019, to 3,871 full-time employees as of October 31, 2020,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a rapidly growing employee base in various countries around the world. For example, a significant number of our employees were hired in recent months and have never been to one of our office locations.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80"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9" w:lineRule="auto"/>
        <w:rPr>
          <w:sz w:val="20"/>
          <w:szCs w:val="20"/>
          <w:color w:val="auto"/>
        </w:rPr>
      </w:pPr>
      <w:r>
        <w:rPr>
          <w:rFonts w:ascii="Arial" w:cs="Arial" w:eastAsia="Arial" w:hAnsi="Arial"/>
          <w:sz w:val="18"/>
          <w:szCs w:val="18"/>
          <w:color w:val="auto"/>
        </w:rPr>
        <w:t>the necessary level of efficiency in our organization as it grows, or if we are not able to accurately forecast future growth, our business would be harmed.</w:t>
      </w:r>
    </w:p>
    <w:p>
      <w:pPr>
        <w:spacing w:after="0" w:line="49" w:lineRule="exact"/>
        <w:rPr>
          <w:sz w:val="20"/>
          <w:szCs w:val="20"/>
          <w:color w:val="auto"/>
        </w:rPr>
      </w:pPr>
    </w:p>
    <w:p>
      <w:pPr>
        <w:ind w:left="120" w:right="300"/>
        <w:spacing w:after="0" w:line="278" w:lineRule="auto"/>
        <w:rPr>
          <w:sz w:val="20"/>
          <w:szCs w:val="20"/>
          <w:color w:val="auto"/>
        </w:rPr>
      </w:pPr>
      <w:r>
        <w:rPr>
          <w:rFonts w:ascii="Arial" w:cs="Arial" w:eastAsia="Arial" w:hAnsi="Arial"/>
          <w:sz w:val="18"/>
          <w:szCs w:val="18"/>
          <w:b w:val="1"/>
          <w:bCs w:val="1"/>
          <w:i w:val="1"/>
          <w:iCs w:val="1"/>
          <w:color w:val="auto"/>
        </w:rPr>
        <w:t>Our business may be significantly affected by a change in the economy, including any resulting effect on consumer or business spending.</w:t>
      </w:r>
    </w:p>
    <w:p>
      <w:pPr>
        <w:spacing w:after="0" w:line="33" w:lineRule="exact"/>
        <w:rPr>
          <w:sz w:val="20"/>
          <w:szCs w:val="20"/>
          <w:color w:val="auto"/>
        </w:rPr>
      </w:pPr>
    </w:p>
    <w:p>
      <w:pPr>
        <w:ind w:left="120" w:right="20"/>
        <w:spacing w:after="0" w:line="270" w:lineRule="auto"/>
        <w:rPr>
          <w:sz w:val="20"/>
          <w:szCs w:val="20"/>
          <w:color w:val="auto"/>
        </w:rPr>
      </w:pPr>
      <w:r>
        <w:rPr>
          <w:rFonts w:ascii="Arial" w:cs="Arial" w:eastAsia="Arial" w:hAnsi="Arial"/>
          <w:sz w:val="16"/>
          <w:szCs w:val="16"/>
          <w:color w:val="auto"/>
        </w:rPr>
        <w:t>Our business may be affected by changes in the economy generally, including as a result of the COVID-19 pandemic and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Given current economic conditions, we could experience a reduction in demand and loss of customers, especially if the effects of the current economic environment have a prolonged impact on various industries that our video-first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there is no assurance that we will experience an increase in paid hosts once the pandemic tapers, particularly in light of the economic downturn. Similarly, given the shift in our customer base from largely businesses and enterprises to a mix of businesses, enterprises, and consumers due to the COVID-19 pandemic, we expect that we will see higher rates of non-renewals than we have experienced historically.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79" w:lineRule="exact"/>
        <w:rPr>
          <w:sz w:val="20"/>
          <w:szCs w:val="20"/>
          <w:color w:val="auto"/>
        </w:rPr>
      </w:pPr>
    </w:p>
    <w:p>
      <w:pPr>
        <w:jc w:val="both"/>
        <w:ind w:left="120" w:right="240"/>
        <w:spacing w:after="0" w:line="252"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77" w:lineRule="exact"/>
        <w:rPr>
          <w:sz w:val="20"/>
          <w:szCs w:val="20"/>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divert our development resources or require us to make extensive changes to our platform, which would increase our expenses;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3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EMEA and APAC. All of our executive officers are at-will employees, and we do not maintain any key person life insurance policies. Any changes in our senior management team in particular, even in the ordinary course of business, may be disruptive to our business. While we seek to prepare for such transitions, including by establishing strong processes and procedures and succession planning,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75"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33"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We completed our initial public offering in April 2019 and potential candidates may not perceive our compensation package, including our equity awards, as favorably as employees hired prior to our initial public offering. In addition, our recruiting personnel, methodology, and approach may need to be altered to address a changing candidate pool and profile. We may not be able to identify or implement such changes in a timely manner. If we fail to attract new personnel or fail to retain and motivate our current personnel, our business could be harmed.</w:t>
      </w:r>
    </w:p>
    <w:p>
      <w:pPr>
        <w:spacing w:after="0" w:line="5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75"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In addition, following our initial public offering, many of our employees are now able to receive significant proceeds from sales of our equity in the public markets, which may reduce their motivation to continue to work for us. Moreover, this liquidity could create disparities in wealth among our employees, which may harm our culture and relations among employees and our business.</w:t>
      </w:r>
    </w:p>
    <w:p>
      <w:pPr>
        <w:spacing w:after="0" w:line="63" w:lineRule="exact"/>
        <w:rPr>
          <w:sz w:val="20"/>
          <w:szCs w:val="20"/>
          <w:color w:val="auto"/>
        </w:rPr>
      </w:pPr>
    </w:p>
    <w:p>
      <w:pPr>
        <w:ind w:left="120" w:right="220"/>
        <w:spacing w:after="0" w:line="278" w:lineRule="auto"/>
        <w:rPr>
          <w:sz w:val="20"/>
          <w:szCs w:val="20"/>
          <w:color w:val="auto"/>
        </w:rPr>
      </w:pPr>
      <w:r>
        <w:rPr>
          <w:rFonts w:ascii="Arial" w:cs="Arial" w:eastAsia="Arial" w:hAnsi="Arial"/>
          <w:sz w:val="18"/>
          <w:szCs w:val="18"/>
          <w:b w:val="1"/>
          <w:bCs w:val="1"/>
          <w:i w:val="1"/>
          <w:iCs w:val="1"/>
          <w:color w:val="auto"/>
        </w:rPr>
        <w:t>We have significant and expanding operations outside the United States, which may subject us to increased business, regulatory and economic risks that could harm our business.</w:t>
      </w:r>
    </w:p>
    <w:p>
      <w:pPr>
        <w:spacing w:after="0" w:line="3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platform addresses the communications needs of users worldwide, and we see international expansion as a major opportunity. Our revenue from APAC and EMEA collectively represented 31% and 19% of our total revenue for the three months ended October 31, 2020 and 2019, respectively, and 30% and 19% of our revenue for the nine months ended October 31, 2020 and 2019,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internationally subjects us to new risks and may increase risks that we currently face, including risks associated with:</w:t>
      </w:r>
    </w:p>
    <w:p>
      <w:pPr>
        <w:spacing w:after="0" w:line="117" w:lineRule="exact"/>
        <w:rPr>
          <w:sz w:val="20"/>
          <w:szCs w:val="20"/>
          <w:color w:val="auto"/>
        </w:rPr>
      </w:pPr>
    </w:p>
    <w:p>
      <w:pPr>
        <w:ind w:left="340" w:right="520" w:hanging="224"/>
        <w:spacing w:after="0" w:line="25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76" w:lineRule="exact"/>
        <w:rPr>
          <w:rFonts w:ascii="Arial" w:cs="Arial" w:eastAsia="Arial" w:hAnsi="Arial"/>
          <w:sz w:val="18"/>
          <w:szCs w:val="18"/>
          <w:color w:val="auto"/>
        </w:rPr>
      </w:pPr>
    </w:p>
    <w:p>
      <w:pPr>
        <w:ind w:left="340" w:right="20" w:hanging="224"/>
        <w:spacing w:after="0" w:line="25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in foreign jurisdictions where the government may impede or interrupt our ability to provide our services;</w:t>
      </w:r>
    </w:p>
    <w:p>
      <w:pPr>
        <w:spacing w:after="0" w:line="117" w:lineRule="exact"/>
        <w:rPr>
          <w:rFonts w:ascii="Arial" w:cs="Arial" w:eastAsia="Arial" w:hAnsi="Arial"/>
          <w:sz w:val="18"/>
          <w:szCs w:val="18"/>
          <w:color w:val="auto"/>
        </w:rPr>
      </w:pPr>
    </w:p>
    <w:p>
      <w:pPr>
        <w:ind w:left="340" w:right="240" w:hanging="224"/>
        <w:spacing w:after="0" w:line="26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62" w:lineRule="exact"/>
        <w:rPr>
          <w:rFonts w:ascii="Arial" w:cs="Arial" w:eastAsia="Arial" w:hAnsi="Arial"/>
          <w:sz w:val="18"/>
          <w:szCs w:val="18"/>
          <w:color w:val="auto"/>
        </w:rPr>
      </w:pPr>
    </w:p>
    <w:p>
      <w:pPr>
        <w:ind w:left="340" w:right="500" w:hanging="224"/>
        <w:spacing w:after="0" w:line="26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hanging="224"/>
        <w:spacing w:after="0" w:line="25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17" w:lineRule="exact"/>
        <w:rPr>
          <w:rFonts w:ascii="Arial" w:cs="Arial" w:eastAsia="Arial" w:hAnsi="Arial"/>
          <w:sz w:val="18"/>
          <w:szCs w:val="18"/>
          <w:color w:val="auto"/>
        </w:rPr>
      </w:pPr>
    </w:p>
    <w:p>
      <w:pPr>
        <w:ind w:left="340" w:right="500" w:hanging="224"/>
        <w:spacing w:after="0" w:line="26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62" w:lineRule="exact"/>
        <w:rPr>
          <w:rFonts w:ascii="Arial" w:cs="Arial" w:eastAsia="Arial" w:hAnsi="Arial"/>
          <w:sz w:val="18"/>
          <w:szCs w:val="18"/>
          <w:color w:val="auto"/>
        </w:rPr>
      </w:pPr>
    </w:p>
    <w:p>
      <w:pPr>
        <w:ind w:left="340" w:right="20" w:hanging="224"/>
        <w:spacing w:after="0" w:line="26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62" w:lineRule="exact"/>
        <w:rPr>
          <w:rFonts w:ascii="Arial" w:cs="Arial" w:eastAsia="Arial" w:hAnsi="Arial"/>
          <w:sz w:val="18"/>
          <w:szCs w:val="18"/>
          <w:color w:val="auto"/>
        </w:rPr>
      </w:pPr>
    </w:p>
    <w:p>
      <w:pPr>
        <w:ind w:left="340" w:right="340" w:hanging="224"/>
        <w:spacing w:after="0" w:line="26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 including as a result of the United Kingdom’s (“U.K.”) withdrawal from the European Union (“EU”), and other political tensions between countries in which we do business;</w:t>
      </w:r>
    </w:p>
    <w:p>
      <w:pPr>
        <w:spacing w:after="0" w:line="62" w:lineRule="exact"/>
        <w:rPr>
          <w:rFonts w:ascii="Arial" w:cs="Arial" w:eastAsia="Arial" w:hAnsi="Arial"/>
          <w:sz w:val="18"/>
          <w:szCs w:val="18"/>
          <w:color w:val="auto"/>
        </w:rPr>
      </w:pPr>
    </w:p>
    <w:p>
      <w:pPr>
        <w:ind w:left="340" w:right="540" w:hanging="224"/>
        <w:spacing w:after="0" w:line="26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62" w:lineRule="exact"/>
        <w:rPr>
          <w:rFonts w:ascii="Arial" w:cs="Arial" w:eastAsia="Arial" w:hAnsi="Arial"/>
          <w:sz w:val="18"/>
          <w:szCs w:val="18"/>
          <w:color w:val="auto"/>
        </w:rPr>
      </w:pPr>
    </w:p>
    <w:p>
      <w:pPr>
        <w:ind w:left="340" w:right="60" w:hanging="224"/>
        <w:spacing w:after="0" w:line="26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 a risk that may increase as a result of the impact of the COVID-19 pandemic on our customers’ ability to pay for our service on a timely basis;</w:t>
      </w:r>
    </w:p>
    <w:p>
      <w:pPr>
        <w:spacing w:after="0" w:line="62" w:lineRule="exact"/>
        <w:rPr>
          <w:rFonts w:ascii="Arial" w:cs="Arial" w:eastAsia="Arial" w:hAnsi="Arial"/>
          <w:sz w:val="18"/>
          <w:szCs w:val="18"/>
          <w:color w:val="auto"/>
        </w:rPr>
      </w:pPr>
    </w:p>
    <w:p>
      <w:pPr>
        <w:ind w:left="340" w:right="60" w:hanging="224"/>
        <w:spacing w:after="0" w:line="26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104"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Additionally,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In May 2020, we announced the opening of two new research and development centers in Phoenix, Arizona and Pittsburgh, Pennsylvania. As a result of this expansion, we could experience, among other things, higher operating expenses, which would adversely impact our operating margins and harm our business.</w:t>
      </w:r>
    </w:p>
    <w:p>
      <w:pPr>
        <w:spacing w:after="0" w:line="258" w:lineRule="exact"/>
        <w:rPr>
          <w:sz w:val="20"/>
          <w:szCs w:val="20"/>
          <w:color w:val="auto"/>
        </w:rPr>
      </w:pPr>
    </w:p>
    <w:p>
      <w:pPr>
        <w:ind w:left="120" w:right="160"/>
        <w:spacing w:after="0" w:line="243" w:lineRule="auto"/>
        <w:rPr>
          <w:sz w:val="20"/>
          <w:szCs w:val="20"/>
          <w:color w:val="auto"/>
        </w:rPr>
      </w:pPr>
      <w:r>
        <w:rPr>
          <w:rFonts w:ascii="Arial" w:cs="Arial" w:eastAsia="Arial" w:hAnsi="Arial"/>
          <w:sz w:val="18"/>
          <w:szCs w:val="18"/>
          <w:color w:val="auto"/>
        </w:rPr>
        <w:t>At the same time, our operations in China have caused and may in the future cause us to be subject to regulatory scrutiny both in China and in the United States. For example, in September 2019, the Chinese government turned off our service in China without warning and requested that we take certain steps prior to restoring our service, including designating an in-house contact for law enforcement requests and transferring China-based user data housed in the United States to a data center in China. Also, in June and July 2020, we received subpoenas from the Department of Justice’s U.S. Attorney’s Office for the Eastern District of New York</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40"/>
          </w:cols>
          <w:pgMar w:left="32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Tiananmen commemorations on Zoom.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75" w:lineRule="exact"/>
        <w:rPr>
          <w:sz w:val="20"/>
          <w:szCs w:val="20"/>
          <w:color w:val="auto"/>
        </w:rPr>
      </w:pPr>
    </w:p>
    <w:p>
      <w:pPr>
        <w:ind w:left="120" w:right="660"/>
        <w:spacing w:after="0" w:line="334" w:lineRule="auto"/>
        <w:rPr>
          <w:sz w:val="20"/>
          <w:szCs w:val="20"/>
          <w:color w:val="auto"/>
        </w:rPr>
      </w:pPr>
      <w:r>
        <w:rPr>
          <w:rFonts w:ascii="Arial" w:cs="Arial" w:eastAsia="Arial" w:hAnsi="Arial"/>
          <w:sz w:val="16"/>
          <w:szCs w:val="16"/>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78" w:lineRule="exact"/>
        <w:rPr>
          <w:sz w:val="20"/>
          <w:szCs w:val="20"/>
          <w:color w:val="auto"/>
        </w:rPr>
      </w:pPr>
    </w:p>
    <w:p>
      <w:pPr>
        <w:ind w:left="120" w:right="380"/>
        <w:spacing w:after="0" w:line="278" w:lineRule="auto"/>
        <w:rPr>
          <w:sz w:val="20"/>
          <w:szCs w:val="20"/>
          <w:color w:val="auto"/>
        </w:rPr>
      </w:pPr>
      <w:r>
        <w:rPr>
          <w:rFonts w:ascii="Arial" w:cs="Arial" w:eastAsia="Arial" w:hAnsi="Arial"/>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33"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We have designed our platform to be easy to adopt and use with minimal to no support necessary. However, if we experience increased user demand for support, we may face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8"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3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83" w:lineRule="exact"/>
        <w:rPr>
          <w:sz w:val="20"/>
          <w:szCs w:val="20"/>
          <w:color w:val="auto"/>
        </w:rPr>
      </w:pPr>
    </w:p>
    <w:p>
      <w:pPr>
        <w:ind w:left="120" w:right="540"/>
        <w:spacing w:after="0" w:line="278"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3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nine months ended October 31, 2020 and 2019, 19.3% and 9.1% of our revenue, respectively, and 12.0% and 15.9%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to government entities are subject to a number of additional challenges and risks.</w:t>
      </w:r>
    </w:p>
    <w:p>
      <w:pPr>
        <w:spacing w:after="0" w:line="104"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We expect to increase our sales to U.S. federal and state and foreign governmental agency customers. For example, we announced in May 2019 that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83" w:lineRule="exact"/>
        <w:rPr>
          <w:sz w:val="20"/>
          <w:szCs w:val="20"/>
          <w:color w:val="auto"/>
        </w:rPr>
      </w:pPr>
    </w:p>
    <w:p>
      <w:pPr>
        <w:ind w:left="340" w:right="280" w:hanging="224"/>
        <w:spacing w:after="0" w:line="26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62" w:lineRule="exact"/>
        <w:rPr>
          <w:rFonts w:ascii="Arial" w:cs="Arial" w:eastAsia="Arial" w:hAnsi="Arial"/>
          <w:sz w:val="18"/>
          <w:szCs w:val="18"/>
          <w:color w:val="auto"/>
        </w:rPr>
      </w:pPr>
    </w:p>
    <w:p>
      <w:pPr>
        <w:ind w:left="340" w:right="280" w:hanging="224"/>
        <w:spacing w:after="0" w:line="252"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certification requirements, including information security requirements, may change, or we may be unable to achieve or sustain one or more government certifications, including FedRAMP, and in doing so restrict our ability to sell into the government sector until we have attained such certificates;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080"/>
          </w:cols>
          <w:pgMar w:left="320" w:top="455" w:right="4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280" w:hanging="224"/>
        <w:spacing w:after="0" w:line="26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entities may have significant leverage in negotiations, thereby enabling such entities to demand contract terms that differ from what we generally agree to in our standard agreements, including, for example, most-favored-nation clauses; and</w:t>
      </w:r>
    </w:p>
    <w:p>
      <w:pPr>
        <w:spacing w:after="0" w:line="62" w:lineRule="exact"/>
        <w:rPr>
          <w:rFonts w:ascii="Arial" w:cs="Arial" w:eastAsia="Arial" w:hAnsi="Arial"/>
          <w:sz w:val="18"/>
          <w:szCs w:val="18"/>
          <w:color w:val="auto"/>
        </w:rPr>
      </w:pPr>
    </w:p>
    <w:p>
      <w:pPr>
        <w:ind w:left="340" w:right="160" w:hanging="224"/>
        <w:spacing w:after="0" w:line="26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49" w:lineRule="exact"/>
        <w:rPr>
          <w:sz w:val="20"/>
          <w:szCs w:val="20"/>
          <w:color w:val="auto"/>
        </w:rPr>
      </w:pPr>
    </w:p>
    <w:p>
      <w:pPr>
        <w:ind w:left="120" w:right="380"/>
        <w:spacing w:after="0" w:line="269" w:lineRule="auto"/>
        <w:rPr>
          <w:sz w:val="20"/>
          <w:szCs w:val="20"/>
          <w:color w:val="auto"/>
        </w:rPr>
      </w:pPr>
      <w:r>
        <w:rPr>
          <w:rFonts w:ascii="Arial" w:cs="Arial" w:eastAsia="Arial" w:hAnsi="Arial"/>
          <w:sz w:val="18"/>
          <w:szCs w:val="18"/>
          <w:color w:val="auto"/>
        </w:rPr>
        <w:t>To the extent that we become more reliant on contracts with government entities in the future, our exposure to such risks and challenges could increase, which in turn could adversely impact our business.</w:t>
      </w:r>
    </w:p>
    <w:p>
      <w:pPr>
        <w:spacing w:after="0" w:line="49" w:lineRule="exact"/>
        <w:rPr>
          <w:sz w:val="20"/>
          <w:szCs w:val="20"/>
          <w:color w:val="auto"/>
        </w:rPr>
      </w:pPr>
    </w:p>
    <w:p>
      <w:pPr>
        <w:jc w:val="both"/>
        <w:ind w:left="120" w:right="580"/>
        <w:spacing w:after="0" w:line="256" w:lineRule="auto"/>
        <w:rPr>
          <w:sz w:val="20"/>
          <w:szCs w:val="20"/>
          <w:color w:val="auto"/>
        </w:rPr>
      </w:pPr>
      <w:r>
        <w:rPr>
          <w:rFonts w:ascii="Arial" w:cs="Arial" w:eastAsia="Arial" w:hAnsi="Arial"/>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5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78"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53"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060"/>
          </w:cols>
          <w:pgMar w:left="320" w:top="455" w:right="5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104" w:lineRule="exact"/>
        <w:rPr>
          <w:sz w:val="20"/>
          <w:szCs w:val="20"/>
          <w:color w:val="auto"/>
        </w:rPr>
      </w:pPr>
    </w:p>
    <w:p>
      <w:pPr>
        <w:ind w:left="120" w:right="220"/>
        <w:spacing w:after="0" w:line="243"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and liabilities; the applicability of withholding taxes and effects from acquisitions.</w:t>
      </w:r>
    </w:p>
    <w:p>
      <w:pPr>
        <w:spacing w:after="0" w:line="73"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The provision for taxes on our condensed consolidated financial statements could also be impacted by changes in accounting principles; changes in U.S. federal, state, or international tax laws applicable to corporate multinationals, such as the recent legislation enacted in the United States, other fundamental changes in law currently being considered by many countries; and changes in taxing jurisdictions’ administrative interpretations, decisions, policies, and positions.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revenues derived from digital services. Future developments related to such proposals, in particular any unilateral actions outside of the OECD’s Inclusive Framework such as the imposition of DST rules, could have an adverse impact on our effective tax rate and/or harm our business by increasing our future tax obligations.</w:t>
      </w:r>
    </w:p>
    <w:p>
      <w:pPr>
        <w:spacing w:after="0" w:line="7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As of January 31, 2020, we had $148.0 million of U.S. federal and $88.2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as modified by the federal tax law changes enacted in March 2020, U.S. federal net operating losses incurred in tax</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years beginning after December 31, 2017 and in future years may be carried forward indefinitely, but, for tax years beginning after</w:t>
      </w:r>
    </w:p>
    <w:p>
      <w:pPr>
        <w:spacing w:after="0" w:line="18"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December 31, 2020, the deductibility of such net operating losses is limited.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56"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In addition, for state income tax purposes, there may be periods during which the use of net operating losses is suspended or otherwise limited, including a recent California franchise tax law change limiting the usability of California state net operating losses to offset California taxable income in taxable years beginning on or after January 1, 2020 and before January 1, 2023, which could accelerate or permanently increase state taxes owed.</w:t>
      </w:r>
    </w:p>
    <w:p>
      <w:pPr>
        <w:spacing w:after="0" w:line="69"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We recorded a valuation allowance against all of our DTAs for the U.S. and U.K. as of both October 31, 2020 and January 31, 2020. We intend to continue maintaining a full valuation allowance on our DTAs until there is sufficient evidence to support the reversal of all or some portion of these allowances. However, given our current earnings and anticipated future earnings, we believe that there is a reasonable possibility that in the foreseeable future, sufficient positive evidence may become available to reach a conclusion that a portion of the valuation allowance will no longer be needed. Release of the valuation allowance would result in the recognition of certain DTAs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77" w:lineRule="exact"/>
        <w:rPr>
          <w:sz w:val="20"/>
          <w:szCs w:val="20"/>
          <w:color w:val="auto"/>
        </w:rPr>
      </w:pPr>
    </w:p>
    <w:p>
      <w:pPr>
        <w:ind w:left="120" w:right="260"/>
        <w:spacing w:after="0" w:line="278" w:lineRule="auto"/>
        <w:rPr>
          <w:sz w:val="20"/>
          <w:szCs w:val="20"/>
          <w:color w:val="auto"/>
        </w:rPr>
      </w:pPr>
      <w:r>
        <w:rPr>
          <w:rFonts w:ascii="Arial" w:cs="Arial" w:eastAsia="Arial" w:hAnsi="Arial"/>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33"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We have made and may continue in the future to make acquisitions of other companies, products, and technologies. For example, we announced our acquisition of Keybase Inc in May 2020.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55"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obligations and could also subject us to covenants or other restrictions that would impede our ability to flexibly operate our business.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laws and regulations</w:t>
      </w:r>
    </w:p>
    <w:p>
      <w:pPr>
        <w:spacing w:after="0" w:line="116" w:lineRule="exact"/>
        <w:rPr>
          <w:sz w:val="20"/>
          <w:szCs w:val="20"/>
          <w:color w:val="auto"/>
        </w:rPr>
      </w:pPr>
    </w:p>
    <w:p>
      <w:pPr>
        <w:ind w:left="120" w:right="220"/>
        <w:spacing w:after="0" w:line="256" w:lineRule="auto"/>
        <w:rPr>
          <w:sz w:val="20"/>
          <w:szCs w:val="20"/>
          <w:color w:val="auto"/>
        </w:rPr>
      </w:pPr>
      <w:r>
        <w:rPr>
          <w:rFonts w:ascii="Arial" w:cs="Arial" w:eastAsia="Arial" w:hAnsi="Arial"/>
          <w:sz w:val="18"/>
          <w:szCs w:val="18"/>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53"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 interpretations and may be inconsistent among countries, or conflict with other rules. We are also subject to the terms of our privacy policies and contractual obligations to third parties related to privacy, data protection, and information security. We strive to comply with applicable laws, certifications, documentation, publications, regulations, standards, policies and other obligations relating to privacy, data protection, and information security to the extent possible. Although we endeavor to comply with applicable laws and our policies, publications, certifications, documentation, and other obligations, we may at times fail to do so or may be perceived to have failed to do so. Moreover, despite our efforts, we may not be successful in achieving compliance if our employees, vendors or business partners do not comply with our policies, certifications, and documentation. Such actual or perceived failures in certain cases have subjected, and can subject, us to potential international, local, state and federal legal or regulatory action, including in the event that our policies, certifications, and documentation are found or alleged to be inaccurate, incomplete, deceptive, unfair, or misrepresentative of our actual practices. The regulatory framework for privacy and data protection worldwide is, and is likely to remain, uncertain for the foreseeable future, which we expect will increase our compliance costs and exposure to liability, and it is possible that these or other actual or alleged obligations may be interpreted and applied in a manner that is inconsistent from one jurisdiction to another and may conflict with other rules or our practices. Increased usage of our services, novel uses of our services, and additional awareness of Zoom and our brand stemming from the COVID-19 pandemic could make it more difficult for us to comply with our contractual obligations, our policies, our publications, our certifications, our documentation, standards, regulations, and applicable laws related to privacy, data protection, and information security, and has and could result in greater public scrutiny of, press related to, or a negative perception of our privacy, data protection, and information security practices. Any compliance failure, as well as greater public scrutiny of our privacy, data protection, and information security practices, could result in increased governmental and regulatory scrutiny and litigation exposure, as well as material reputational harm, a loss of customer and user confidence and business, additional expenses, and other harm to our business.</w:t>
      </w:r>
    </w:p>
    <w:p>
      <w:pPr>
        <w:spacing w:after="0" w:line="200" w:lineRule="exact"/>
        <w:rPr>
          <w:sz w:val="20"/>
          <w:szCs w:val="20"/>
          <w:color w:val="auto"/>
        </w:rPr>
      </w:pPr>
    </w:p>
    <w:p>
      <w:pPr>
        <w:spacing w:after="0" w:line="267"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For example, in June 2020 we received a grand jury subpoena from the Department of Justice’s U.S. Attorney’s Office for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We have since received additional subpoenas from EDNY seeking related information.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6"/>
          <w:szCs w:val="16"/>
          <w:color w:val="auto"/>
        </w:rPr>
        <w:t>relating to any contacts between our employees and representatives of the Chinese government, and any attempted or successful influence by any foreign government in our policies, procedures, practices, and actions as they relate to users in the United States.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5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also expect that there will continue to be new or amended laws, regulations, industry standards, guidance and contractual obligations concerning privacy, data protection, and information security proposed and enacted in various jurisdictions. For example, in May 2018, the General Data Protection Regulation (“GDPR”) went into effect in the EU. The GDPR imposes more stringent data protection requirements and requires us and our customers to give more detailed disclosures about how we collect, use and share personal information; contractually commit to data protection measures in our contracts with clients;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GDPR provides greater penalties for noncompliance than previous data protection laws. Companies that violate the GDPR can face private litigation,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Assisting our customers, partners, and vendors in complying with the GDPR, or complying with the GDPR ourselves, may cause us to incur substantial operational costs or require us to change our business practices.</w:t>
      </w:r>
    </w:p>
    <w:p>
      <w:pPr>
        <w:spacing w:after="0" w:line="81"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Further, the U.K.’s decision to leave the EU, often referred to as Brexit, has created uncertainty in data protection issues involving the U.K. For example, pursuant to a post-Brexit trade deal between the U.K. and the EU, transfers of personal information from the European Economic Area to the U.K. are not considered restricted transfers under the GDPR for a period of up to six months from January 1, 2021. However, unless the EU Commission makes an adequacy finding with respect to the U.K. before the end of that period, the U.K. will be considered a “third country” under the GDPR and transfers of European personal information to the U.K. will require an adequacy mechanism to render such transfers lawful under the GDPR. Additionally, although the U.K. enacted a Data Protection Act in May 2018 that is designed to be consistent with the GDPR, uncertainty remains regarding how data transfers to and from the U.K. will be regulated notwithstanding Brexit. The effects of Brexit have been and are expected to continue to be far-reaching. Brexit and the perceptions as to its impact may adversely affect business activity and economic conditions globally, and could continue to contribute to instability in global financial markets. Brexit could also have the effect of disrupting the free movement of goods, services, and people between the U.K. and the EU. In addition, Brexit could lead to legal uncertainty and potentially divergent national laws and regulations as the U.K. determines which EU laws to replace or replicate. The full effects of Brexit are uncertain and will remain so until the U.K. and EU reach a definitive resolution with regards to outstanding trade and legal matters. Given these possibilities and others we may not anticipate, as well as the lack of comparable precedent, the full extent to which our business, results of operations, and financial condition could be adversely affected by Brexit is uncertain. .</w:t>
      </w:r>
    </w:p>
    <w:p>
      <w:pPr>
        <w:spacing w:after="0" w:line="262" w:lineRule="exact"/>
        <w:rPr>
          <w:sz w:val="20"/>
          <w:szCs w:val="20"/>
          <w:color w:val="auto"/>
        </w:rPr>
      </w:pPr>
    </w:p>
    <w:p>
      <w:pPr>
        <w:ind w:left="120" w:right="740"/>
        <w:spacing w:after="0" w:line="269" w:lineRule="auto"/>
        <w:rPr>
          <w:sz w:val="20"/>
          <w:szCs w:val="20"/>
          <w:color w:val="auto"/>
        </w:rPr>
      </w:pPr>
      <w:r>
        <w:rPr>
          <w:rFonts w:ascii="Arial" w:cs="Arial" w:eastAsia="Arial" w:hAnsi="Arial"/>
          <w:sz w:val="18"/>
          <w:szCs w:val="18"/>
          <w:color w:val="auto"/>
        </w:rPr>
        <w:t>European data protection laws, including the GDPR, generally restrict the transfer of personal information from Europe, including the European Economic Area, U.K. and Switzerland, to the United States and most other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in July 2020, the Court of Justice of the European Union issued a decision invalidating the EU-U.S. Privacy Shield framework.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Similarly, on September 8, 2020, the Swiss Federal Data Protection and Information Commissioner announced that the Swiss-U.S. Privacy Shield Framework is inadequate for personal information transfers from Switzerland to the United States, and also raised questions about the viability of the Standard Contractual Clauses. At present, there are few, if any, viable alternatives to the EU-U.S. Privacy Shield, Swiss-U.S. Privacy Shield, and the Standard Contractual Clauses, all of which are mechanisms on which we have relied for personal information transfers from Europe to the United States and other countries. Authorities in the U.K. may similarly invalidate use of the EU-U.S. Privacy Shield and raise questions on the viability of the Standard Contractual Clauses, as mechanisms for lawful personal information transfers to the United States and other countries. In November 2020, EU regulators proposed a new set of Standard Contractual Clauses (“SCCs”). The new SCCs impose additional obligations and requirements with respect to the transfer of EU personal data to other jurisdictions, which may increase the legal risks and liabilities under the GDPR and local EU laws associated with cross-border data transfers, and result in material increased compliance and operational costs. If we are unable to implement a valid solution for personal information transfers from Europe,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United States or other countries may decrease demand for our products and services as our customers that are subject to the GDPR may seek alternatives that do not involve personal information transfers out of Europe. Our inability to import personal information to the United States and other countries may decrease the functionality or effectiveness of our products and services and adversely impact our marketing efforts, plans and activities. We expect EU regulators to aggressively enforce EU laws prohibiting data transfers to the U.S. and other countries without a legally sound transfer mechanism, and it possible that EU regulators could prevent Zoom from transferring any personal data out of the EU to certain countries like the U.S.</w:t>
      </w:r>
    </w:p>
    <w:p>
      <w:pPr>
        <w:spacing w:after="0" w:line="200" w:lineRule="exact"/>
        <w:rPr>
          <w:sz w:val="20"/>
          <w:szCs w:val="20"/>
          <w:color w:val="auto"/>
        </w:rPr>
      </w:pPr>
    </w:p>
    <w:p>
      <w:pPr>
        <w:spacing w:after="0" w:line="265"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Additionally, other countries outside of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which broadly regulates the processing of personal information and imposes compliance obligations and penalties comparable to those of the GDPR.</w:t>
      </w:r>
    </w:p>
    <w:p>
      <w:pPr>
        <w:spacing w:after="0" w:line="7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States have also begun to introduce more comprehensive privacy legislation. For example, the California Consumer Privacy Act of 2018 (“CCPA”), which went into effect on January 1, 2020, affords consumers expanded privacy protections. The CCPA gives California residents, among other things,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will be expanded substantially on January 1, 2023 when the California Privacy Rights Act of 2020 (the “CPRA”), which was approved by California voters in November 2020, becomes fully operative. The CPRA will, among other things, give consumers the ability to limit use of information deemed to be sensitive, increase the maximum penalties for violations concerning consumers under age 16, establish the California Privacy Protection Agency to implement and enforce the new law, and impose administrative fines. Aspects of the CCPA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8"/>
          <w:szCs w:val="18"/>
          <w:color w:val="auto"/>
        </w:rPr>
        <w:t>and CPRA and their interpretation and enforcement remain uncertain. The potential effects of the CCPA and CPRA are far-reaching and may require us to modify our data processing practices and policies and to incur substantial costs and expenses in an effort to comply.</w:t>
      </w:r>
    </w:p>
    <w:p>
      <w:pPr>
        <w:spacing w:after="0" w:line="49"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color w:val="auto"/>
        </w:rPr>
        <w:t>The CCPA could mark the beginning of a trend toward more stringent privacy legislation in the United States, as other states may follow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w:t>
      </w:r>
    </w:p>
    <w:p>
      <w:pPr>
        <w:spacing w:after="0" w:line="76"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In addition, the GDPR prohibits certain processing of the personal information of children under the age of 13-16 (depending on the country) without parental consent. The CCPA requires companies to obtain the consent of children in California under 16 (or parental consent for children under 13) before selling their personal information. COPPA is subject to interpretation by courts and other governmental authorities, including the FTC, and the FTC is authorized to promulgate, and has promulgated, revisions to regulations implementing provisions of COPPA. Although we strive to ensure that our platform and applications are compliant with applicable provisions of COPPA, HIPAA, GDPR, and CCPA,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HIPAA, GDPR, and CCPA, or interpretations thereof. If we fail to accurately anticipate the application, interpretation, or legislative expansion of COPPA, HIPAA, GDPR,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260"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With laws and regulations, such as the GDPR in the EU as well as the CCPA, SPI Law, HIPAA,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and may incur significant costs and expenses in an effort to do so, any of which could materially adversely affect our business and operating results. Additional uses of our services arising out of increased demand associated with the COVID-19 pandemic may require us to address additional privacy, data protection, and information security laws, regulations, standards, policies, and contractual obligations. Any failure or perceived failure by us to comply with such laws, regulations, standards, policies, and contractual obligations, or our privacy policies, publications, certifications, or documentation have led and could lead to governmental investigations or enforcement actions (including investigations or actions by state attorneys general, federal regulators, and international regulators), litigation (including class action litigation), claims, or public statements against us by consumer advocacy groups or others, and could result in significant liability, fines or penalties, or cause our users to lose trust in us, which could have an adverse effect on our reputation and business.</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II, Item 1 “Legal Proceedings” of our Quarterly Report on Form 10-Q for the quarter ended October 31, 2020, which is incorporated into this prospectus supplement by reference, for additional information.</w:t>
      </w:r>
    </w:p>
    <w:p>
      <w:pPr>
        <w:spacing w:after="0" w:line="77"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We also have been the subject of an investigation by the FTC relating to our privacy and security representations and practices. We have reached a proposed settlement agreement with the FTC staff, which remains subject to a final vote by the FTC. See Part II, Item 1 “Legal Proceedings” of our Quarterly Report on Form-10-Q for the quarter ended October 31, 2020, which is incorporated into this prospectus supplement by reference, for additional information. We could fail or be perceived to fail to comply with the terms of the proposed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55"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75"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8"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33"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current U.S. Administration has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the recently imposed and proposed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266" w:lineRule="exact"/>
        <w:rPr>
          <w:sz w:val="20"/>
          <w:szCs w:val="20"/>
          <w:color w:val="auto"/>
        </w:rPr>
      </w:pPr>
    </w:p>
    <w:p>
      <w:pPr>
        <w:ind w:left="120"/>
        <w:spacing w:after="0" w:line="273" w:lineRule="auto"/>
        <w:rPr>
          <w:sz w:val="20"/>
          <w:szCs w:val="20"/>
          <w:color w:val="auto"/>
        </w:rPr>
      </w:pPr>
      <w:r>
        <w:rPr>
          <w:rFonts w:ascii="Arial" w:cs="Arial" w:eastAsia="Arial" w:hAnsi="Arial"/>
          <w:sz w:val="16"/>
          <w:szCs w:val="16"/>
          <w:color w:val="auto"/>
        </w:rPr>
        <w:t>Further, in May 2019, President Trump issued an executive order that invoked national emergency economic powers to implement a framework to regulate the acquisition or transfer of information communications technology in transactions that imposed undue national security risks. The executive order is subject to implementation by the Secretary of Commerce and applies to contracts entered into prior to the effective date of the order.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54" w:lineRule="exact"/>
        <w:rPr>
          <w:sz w:val="20"/>
          <w:szCs w:val="20"/>
          <w:color w:val="auto"/>
        </w:rPr>
      </w:pPr>
    </w:p>
    <w:p>
      <w:pPr>
        <w:ind w:left="120" w:right="260"/>
        <w:spacing w:after="0" w:line="278"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33"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liabilities on past sales for taxes, surcharges, and fees.</w:t>
      </w:r>
    </w:p>
    <w:p>
      <w:pPr>
        <w:spacing w:after="0" w:line="10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78" w:lineRule="exact"/>
        <w:rPr>
          <w:sz w:val="20"/>
          <w:szCs w:val="20"/>
          <w:color w:val="auto"/>
        </w:rPr>
      </w:pPr>
    </w:p>
    <w:p>
      <w:pPr>
        <w:ind w:left="120" w:right="140"/>
        <w:spacing w:after="0" w:line="252" w:lineRule="auto"/>
        <w:rPr>
          <w:sz w:val="20"/>
          <w:szCs w:val="20"/>
          <w:color w:val="auto"/>
        </w:rPr>
      </w:pPr>
      <w:r>
        <w:rPr>
          <w:rFonts w:ascii="Arial" w:cs="Arial" w:eastAsia="Arial" w:hAnsi="Arial"/>
          <w:sz w:val="18"/>
          <w:szCs w:val="18"/>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6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 xml:space="preserve">The application of indirect taxes (such as sales and use tax, VAT, GST, business tax, and gross receipts tax) to businesses that transact online, such as ours, is a complex and evolving area. Following the recent U.S. Supreme Court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$53.8 million and $34.0 million as of October 31, 2020, and January 31, 2020, respectively, for loss contingencies resulting from these potential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78" w:lineRule="exact"/>
        <w:rPr>
          <w:sz w:val="20"/>
          <w:szCs w:val="20"/>
          <w:color w:val="auto"/>
        </w:rPr>
      </w:pPr>
    </w:p>
    <w:p>
      <w:pPr>
        <w:ind w:left="120" w:right="140"/>
        <w:spacing w:after="0" w:line="27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3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41" w:lineRule="auto"/>
        <w:rPr>
          <w:sz w:val="20"/>
          <w:szCs w:val="20"/>
          <w:color w:val="auto"/>
        </w:rPr>
      </w:pPr>
      <w:r>
        <w:rPr>
          <w:rFonts w:ascii="Arial" w:cs="Arial" w:eastAsia="Arial" w:hAnsi="Arial"/>
          <w:sz w:val="18"/>
          <w:szCs w:val="18"/>
          <w:color w:val="auto"/>
        </w:rPr>
        <w:t>Although we have taken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submitted initial and final voluntary self-disclosures concerning potential violations of U.S. sanctions and export control laws and regulations to OFAC and the U.S. Department of Commerce’s Bureau of Industry and Security (“BIS”).</w:t>
      </w:r>
    </w:p>
    <w:p>
      <w:pPr>
        <w:spacing w:after="0" w:line="76" w:lineRule="exact"/>
        <w:rPr>
          <w:sz w:val="20"/>
          <w:szCs w:val="20"/>
          <w:color w:val="auto"/>
        </w:rPr>
      </w:pPr>
    </w:p>
    <w:p>
      <w:pPr>
        <w:ind w:left="120" w:right="320"/>
        <w:spacing w:after="0" w:line="243" w:lineRule="auto"/>
        <w:rPr>
          <w:sz w:val="20"/>
          <w:szCs w:val="20"/>
          <w:color w:val="auto"/>
        </w:rPr>
      </w:pPr>
      <w:r>
        <w:rPr>
          <w:rFonts w:ascii="Arial" w:cs="Arial" w:eastAsia="Arial" w:hAnsi="Arial"/>
          <w:sz w:val="18"/>
          <w:szCs w:val="18"/>
          <w:color w:val="auto"/>
        </w:rPr>
        <w:t>In June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77" w:lineRule="exact"/>
        <w:rPr>
          <w:sz w:val="20"/>
          <w:szCs w:val="20"/>
          <w:color w:val="auto"/>
        </w:rPr>
      </w:pPr>
    </w:p>
    <w:p>
      <w:pPr>
        <w:ind w:left="120" w:right="160"/>
        <w:spacing w:after="0" w:line="256" w:lineRule="auto"/>
        <w:rPr>
          <w:sz w:val="20"/>
          <w:szCs w:val="20"/>
          <w:color w:val="auto"/>
        </w:rPr>
      </w:pPr>
      <w:r>
        <w:rPr>
          <w:rFonts w:ascii="Arial" w:cs="Arial" w:eastAsia="Arial" w:hAnsi="Arial"/>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5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7" w:lineRule="exact"/>
        <w:rPr>
          <w:sz w:val="20"/>
          <w:szCs w:val="20"/>
          <w:color w:val="auto"/>
        </w:rPr>
      </w:pPr>
    </w:p>
    <w:p>
      <w:pPr>
        <w:ind w:left="120" w:right="40"/>
        <w:spacing w:after="0" w:line="298" w:lineRule="auto"/>
        <w:rPr>
          <w:sz w:val="20"/>
          <w:szCs w:val="20"/>
          <w:color w:val="auto"/>
        </w:rPr>
      </w:pPr>
      <w:r>
        <w:rPr>
          <w:rFonts w:ascii="Arial" w:cs="Arial" w:eastAsia="Arial" w:hAnsi="Arial"/>
          <w:sz w:val="16"/>
          <w:szCs w:val="16"/>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30"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color w:val="auto"/>
        </w:rPr>
        <w:t>We are also subject to various U.S. and international anti-corruption laws, such as the U.S. Foreign Corrupt Practices Act of 1977, amended, and the U.K. Bribery Act 2010, as well as other similar anti-bribery and anti-kickback laws and regulations. These laws and regulations generally prohibit companies and their employees and intermediaries from authorizing, offering, or providing improper payments or benefits to government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76" w:lineRule="exact"/>
        <w:rPr>
          <w:sz w:val="20"/>
          <w:szCs w:val="20"/>
          <w:color w:val="auto"/>
        </w:rPr>
      </w:pPr>
    </w:p>
    <w:p>
      <w:pPr>
        <w:ind w:left="120" w:right="140"/>
        <w:spacing w:after="0" w:line="256" w:lineRule="auto"/>
        <w:rPr>
          <w:sz w:val="20"/>
          <w:szCs w:val="20"/>
          <w:color w:val="auto"/>
        </w:rPr>
      </w:pPr>
      <w:r>
        <w:rPr>
          <w:rFonts w:ascii="Arial" w:cs="Arial" w:eastAsia="Arial" w:hAnsi="Arial"/>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Federal regulation</w:t>
      </w:r>
    </w:p>
    <w:p>
      <w:pPr>
        <w:spacing w:after="0" w:line="102" w:lineRule="exact"/>
        <w:rPr>
          <w:sz w:val="20"/>
          <w:szCs w:val="20"/>
          <w:color w:val="auto"/>
        </w:rPr>
      </w:pPr>
    </w:p>
    <w:p>
      <w:pPr>
        <w:ind w:left="120" w:right="160"/>
        <w:spacing w:after="0" w:line="271" w:lineRule="auto"/>
        <w:rPr>
          <w:sz w:val="20"/>
          <w:szCs w:val="20"/>
          <w:color w:val="auto"/>
        </w:rPr>
      </w:pPr>
      <w:r>
        <w:rPr>
          <w:rFonts w:ascii="Arial" w:cs="Arial" w:eastAsia="Arial" w:hAnsi="Arial"/>
          <w:sz w:val="16"/>
          <w:szCs w:val="16"/>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FCC regulation of the internet and internet-based services also could impose new regulatory obligations on our other services. On October 27, 2020, the FCC adopted an order concluding that three issues remanded by the U.S. Court of Appeals following the appeal of its 2018 decision to eliminate its network neutrality rules did not provide a basis to alter its conclusions in that order. This new order could be subject to petitions for reconsideration or court appeals. Democratic control of the Executive Branch, Congress, and the FCC following the 2020 elections increases the likelihood of legislative or FCC action to reverse the 2018 decision or adopt new network neutrality rules. Such action could result in extension of common carrier regulation to internet-based communications services like the ones we offer. The imposition of common carrier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9" w:lineRule="auto"/>
        <w:rPr>
          <w:sz w:val="20"/>
          <w:szCs w:val="20"/>
          <w:color w:val="auto"/>
        </w:rPr>
      </w:pPr>
      <w:r>
        <w:rPr>
          <w:rFonts w:ascii="Arial" w:cs="Arial" w:eastAsia="Arial" w:hAnsi="Arial"/>
          <w:sz w:val="18"/>
          <w:szCs w:val="18"/>
          <w:color w:val="auto"/>
        </w:rPr>
        <w:t>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4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FCC is considering a petition, filed by the Trump Administration, to adopt rules interpreting Section 230 of the federal Communications Act,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after the Presidential inauguration will control the agenda of the FCC. If the FCC adopts rules, the scope of the protection offered by Section 230 could be narrowed considerably. This would increase the risks faced by internet-based businesses, like Zoom, that rely on third-party content. There is no schedule for action by the FCC on the petition.</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 regulation</w:t>
      </w:r>
    </w:p>
    <w:p>
      <w:pPr>
        <w:spacing w:after="0" w:line="10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International regulation</w:t>
      </w:r>
    </w:p>
    <w:p>
      <w:pPr>
        <w:spacing w:after="0" w:line="102" w:lineRule="exact"/>
        <w:rPr>
          <w:sz w:val="20"/>
          <w:szCs w:val="20"/>
          <w:color w:val="auto"/>
        </w:rPr>
      </w:pPr>
    </w:p>
    <w:p>
      <w:pPr>
        <w:jc w:val="both"/>
        <w:ind w:left="120" w:right="200"/>
        <w:spacing w:after="0" w:line="246" w:lineRule="auto"/>
        <w:rPr>
          <w:sz w:val="20"/>
          <w:szCs w:val="20"/>
          <w:color w:val="auto"/>
        </w:rPr>
      </w:pPr>
      <w:r>
        <w:rPr>
          <w:rFonts w:ascii="Arial" w:cs="Arial" w:eastAsia="Arial" w:hAnsi="Arial"/>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116"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33"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080"/>
          </w:cols>
          <w:pgMar w:left="320" w:top="455" w:right="4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75" w:lineRule="exact"/>
        <w:rPr>
          <w:sz w:val="20"/>
          <w:szCs w:val="20"/>
          <w:color w:val="auto"/>
        </w:rPr>
      </w:pPr>
    </w:p>
    <w:p>
      <w:pPr>
        <w:ind w:left="120" w:right="440"/>
        <w:spacing w:after="0" w:line="278" w:lineRule="auto"/>
        <w:rPr>
          <w:sz w:val="20"/>
          <w:szCs w:val="20"/>
          <w:color w:val="auto"/>
        </w:rPr>
      </w:pPr>
      <w:r>
        <w:rPr>
          <w:rFonts w:ascii="Arial" w:cs="Arial" w:eastAsia="Arial" w:hAnsi="Arial"/>
          <w:sz w:val="18"/>
          <w:szCs w:val="18"/>
          <w:b w:val="1"/>
          <w:bCs w:val="1"/>
          <w:i w:val="1"/>
          <w:iCs w:val="1"/>
          <w:color w:val="auto"/>
        </w:rPr>
        <w:t>Our failure to protect our intellectual property rights and proprietary information could diminish our brand and other intangible assets.</w:t>
      </w:r>
    </w:p>
    <w:p>
      <w:pPr>
        <w:spacing w:after="0" w:line="3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63" w:lineRule="exact"/>
        <w:rPr>
          <w:sz w:val="20"/>
          <w:szCs w:val="20"/>
          <w:color w:val="auto"/>
        </w:rPr>
      </w:pPr>
    </w:p>
    <w:p>
      <w:pPr>
        <w:ind w:left="120" w:right="300"/>
        <w:spacing w:after="0" w:line="278"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33"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200" w:lineRule="exact"/>
        <w:rPr>
          <w:sz w:val="20"/>
          <w:szCs w:val="20"/>
          <w:color w:val="auto"/>
        </w:rPr>
      </w:pPr>
    </w:p>
    <w:p>
      <w:pPr>
        <w:spacing w:after="0" w:line="266"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ownership of our Class A common stock</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04"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video-first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2" w:lineRule="auto"/>
        <w:rPr>
          <w:sz w:val="20"/>
          <w:szCs w:val="20"/>
          <w:color w:val="auto"/>
        </w:rPr>
      </w:pPr>
      <w:r>
        <w:rPr>
          <w:rFonts w:ascii="Arial" w:cs="Arial" w:eastAsia="Arial" w:hAnsi="Arial"/>
          <w:sz w:val="18"/>
          <w:szCs w:val="18"/>
          <w:color w:val="auto"/>
        </w:rPr>
        <w:t>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77" w:lineRule="exact"/>
        <w:rPr>
          <w:sz w:val="20"/>
          <w:szCs w:val="20"/>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17" w:lineRule="exact"/>
        <w:rPr>
          <w:rFonts w:ascii="Arial" w:cs="Arial" w:eastAsia="Arial" w:hAnsi="Arial"/>
          <w:sz w:val="18"/>
          <w:szCs w:val="18"/>
          <w:color w:val="auto"/>
        </w:rPr>
      </w:pPr>
    </w:p>
    <w:p>
      <w:pPr>
        <w:ind w:left="340" w:right="640" w:hanging="224"/>
        <w:spacing w:after="0" w:line="26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340" w:right="200" w:hanging="224"/>
        <w:spacing w:after="0" w:line="26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addition, in the past, following periods of volatility in the overall market and in the market price of a particular company’s securities, securities class action litigation has often been instituted against these companies. For example, in April and June 2020,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We may be the target of additional litigation of this type in the future. Securities litigation against us could result in substantial costs and divert our management’s time and attention from other business concerns, which could harm our business. We may be the target of additional litigation of this type in the future as well. Securities litigation against us could result in substantial costs and a diversion of our management’s attention and resources.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6" w:lineRule="auto"/>
        <w:rPr>
          <w:sz w:val="20"/>
          <w:szCs w:val="20"/>
          <w:color w:val="auto"/>
        </w:rPr>
      </w:pPr>
      <w:r>
        <w:rPr>
          <w:rFonts w:ascii="Arial" w:cs="Arial" w:eastAsia="Arial" w:hAnsi="Arial"/>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53"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October 31, 2020, the holders of our outstanding Class B common stock held 81.6% of the voting power of our outstanding capital stock, with our directors, executive officers and 5% stockholders and their respective affiliates holding 73.7% of such voting power in the aggregate. As of October 31, 2020, our founder, President and Chief Executive Officer, Eric S. Yuan, together with his affiliates, held approximately 15.1% of our outstanding capital stock but controlled approximately 40.2%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initial public offering.</w:t>
      </w:r>
    </w:p>
    <w:p>
      <w:pPr>
        <w:spacing w:after="0" w:line="258"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6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77"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50" w:lineRule="exact"/>
        <w:rPr>
          <w:sz w:val="20"/>
          <w:szCs w:val="20"/>
          <w:color w:val="auto"/>
        </w:rPr>
      </w:pPr>
    </w:p>
    <w:p>
      <w:pPr>
        <w:ind w:left="120" w:right="760"/>
        <w:spacing w:after="0" w:line="278"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33" w:lineRule="exact"/>
        <w:rPr>
          <w:sz w:val="20"/>
          <w:szCs w:val="20"/>
          <w:color w:val="auto"/>
        </w:rPr>
      </w:pPr>
    </w:p>
    <w:p>
      <w:pPr>
        <w:ind w:left="120" w:right="580"/>
        <w:spacing w:after="0" w:line="269" w:lineRule="auto"/>
        <w:rPr>
          <w:sz w:val="20"/>
          <w:szCs w:val="20"/>
          <w:color w:val="auto"/>
        </w:rPr>
      </w:pPr>
      <w:r>
        <w:rPr>
          <w:rFonts w:ascii="Arial" w:cs="Arial" w:eastAsia="Arial" w:hAnsi="Arial"/>
          <w:sz w:val="18"/>
          <w:szCs w:val="18"/>
          <w:color w:val="auto"/>
        </w:rPr>
        <w:t>Future sales and issuances of our capital stock or rights to purchase our capital stock could result in substantial dilution to our existing stockholders. We may sell Class A common stock, convertible securities, and other</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080"/>
          </w:cols>
          <w:pgMar w:left="320" w:top="455" w:right="4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2" w:lineRule="auto"/>
        <w:rPr>
          <w:sz w:val="20"/>
          <w:szCs w:val="20"/>
          <w:color w:val="auto"/>
        </w:rPr>
      </w:pPr>
      <w:r>
        <w:rPr>
          <w:rFonts w:ascii="Arial" w:cs="Arial" w:eastAsia="Arial" w:hAnsi="Arial"/>
          <w:sz w:val="18"/>
          <w:szCs w:val="18"/>
          <w:color w:val="auto"/>
        </w:rPr>
        <w:t>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64"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33" w:lineRule="exact"/>
        <w:rPr>
          <w:sz w:val="20"/>
          <w:szCs w:val="20"/>
          <w:color w:val="auto"/>
        </w:rPr>
      </w:pPr>
    </w:p>
    <w:p>
      <w:pPr>
        <w:jc w:val="both"/>
        <w:ind w:left="120" w:right="200"/>
        <w:spacing w:after="0" w:line="252" w:lineRule="auto"/>
        <w:rPr>
          <w:sz w:val="20"/>
          <w:szCs w:val="20"/>
          <w:color w:val="auto"/>
        </w:rPr>
      </w:pPr>
      <w:r>
        <w:rPr>
          <w:rFonts w:ascii="Arial" w:cs="Arial" w:eastAsia="Arial" w:hAnsi="Arial"/>
          <w:sz w:val="18"/>
          <w:szCs w:val="18"/>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64"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RSU awards are available for immediate resale in the United States in the open market.</w:t>
      </w:r>
    </w:p>
    <w:p>
      <w:pPr>
        <w:spacing w:after="0" w:line="73"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64"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53" w:lineRule="exact"/>
        <w:rPr>
          <w:sz w:val="20"/>
          <w:szCs w:val="20"/>
          <w:color w:val="auto"/>
        </w:rPr>
      </w:pPr>
    </w:p>
    <w:p>
      <w:pPr>
        <w:ind w:left="120" w:right="200"/>
        <w:spacing w:after="0" w:line="269" w:lineRule="auto"/>
        <w:rPr>
          <w:sz w:val="20"/>
          <w:szCs w:val="20"/>
          <w:color w:val="auto"/>
        </w:rPr>
      </w:pPr>
      <w:r>
        <w:rPr>
          <w:rFonts w:ascii="Arial" w:cs="Arial" w:eastAsia="Arial" w:hAnsi="Arial"/>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that our board of directors could use to implement a stockholder rights plan;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dual-class common stock structure as described above.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49" w:lineRule="exact"/>
        <w:rPr>
          <w:sz w:val="20"/>
          <w:szCs w:val="20"/>
          <w:color w:val="auto"/>
        </w:rPr>
      </w:pPr>
    </w:p>
    <w:p>
      <w:pPr>
        <w:ind w:left="120" w:right="40"/>
        <w:spacing w:after="0" w:line="303"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19"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63"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04" w:lineRule="exact"/>
        <w:rPr>
          <w:sz w:val="20"/>
          <w:szCs w:val="20"/>
          <w:color w:val="auto"/>
        </w:rPr>
      </w:pPr>
    </w:p>
    <w:p>
      <w:pPr>
        <w:ind w:left="120" w:right="700"/>
        <w:spacing w:after="0" w:line="269"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expect to declare or pay any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8"/>
          <w:szCs w:val="18"/>
          <w:color w:val="auto"/>
        </w:rPr>
        <w:t>dividends in the foreseeable future. As a result, stockholders must rely on sales of their Class A common stock after price appreciation as the only way to realize any future gains on their investment.</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 risk factors</w:t>
      </w:r>
    </w:p>
    <w:p>
      <w:pPr>
        <w:spacing w:after="0" w:line="116"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3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75" w:lineRule="exact"/>
        <w:rPr>
          <w:sz w:val="20"/>
          <w:szCs w:val="20"/>
          <w:color w:val="auto"/>
        </w:rPr>
      </w:pPr>
    </w:p>
    <w:p>
      <w:pPr>
        <w:ind w:left="120" w:right="20"/>
        <w:spacing w:after="0" w:line="273" w:lineRule="auto"/>
        <w:rPr>
          <w:sz w:val="20"/>
          <w:szCs w:val="20"/>
          <w:color w:val="auto"/>
        </w:rPr>
      </w:pPr>
      <w:r>
        <w:rPr>
          <w:rFonts w:ascii="Arial" w:cs="Arial" w:eastAsia="Arial" w:hAnsi="Arial"/>
          <w:sz w:val="16"/>
          <w:szCs w:val="16"/>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We have removed the 40-minute time limit from our free Basic accounts for customers in K-12 schools in certain countries. While we have seen increased usage of our service globally, a significant portion of such increase is attributable to free Basic accounts, which do not generate any revenue. We cannot make any assurances that we will experience an increase in paid hosts or that new or existing users will continue to utilize our services at the same levels after the COVID-19 pandemic has tapered. Furthermore, such increased usage by free Basic account users during this time has required and will continue to require us to expand our network capacity which will increase our operating costs.</w:t>
      </w: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8" w:lineRule="auto"/>
        <w:rPr>
          <w:sz w:val="20"/>
          <w:szCs w:val="20"/>
          <w:color w:val="auto"/>
        </w:rPr>
      </w:pPr>
      <w:r>
        <w:rPr>
          <w:rFonts w:ascii="Arial" w:cs="Arial" w:eastAsia="Arial" w:hAnsi="Arial"/>
          <w:sz w:val="18"/>
          <w:szCs w:val="18"/>
          <w:b w:val="1"/>
          <w:bCs w:val="1"/>
          <w:i w:val="1"/>
          <w:iCs w:val="1"/>
          <w:color w:val="auto"/>
        </w:rPr>
        <w:t>Our reported results of operations may be adversely affected by changes in accounting principles generally accepted in the United States.</w:t>
      </w:r>
    </w:p>
    <w:p>
      <w:pPr>
        <w:spacing w:after="0" w:line="33"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10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79" w:lineRule="exact"/>
        <w:rPr>
          <w:sz w:val="20"/>
          <w:szCs w:val="20"/>
          <w:color w:val="auto"/>
        </w:rPr>
      </w:pPr>
    </w:p>
    <w:p>
      <w:pPr>
        <w:ind w:left="120" w:right="180"/>
        <w:spacing w:after="0" w:line="334" w:lineRule="auto"/>
        <w:rPr>
          <w:sz w:val="20"/>
          <w:szCs w:val="20"/>
          <w:color w:val="auto"/>
        </w:rPr>
      </w:pPr>
      <w:r>
        <w:rPr>
          <w:rFonts w:ascii="Arial" w:cs="Arial" w:eastAsia="Arial" w:hAnsi="Arial"/>
          <w:sz w:val="16"/>
          <w:szCs w:val="16"/>
          <w:b w:val="1"/>
          <w:bCs w:val="1"/>
          <w:i w:val="1"/>
          <w:iCs w:val="1"/>
          <w:color w:val="auto"/>
        </w:rPr>
        <w:t>If we fail to maintain an effective system of disclosure controls and internal control over financial reporting, our ability to produce timely and accurate condensed consolidated financial statements or comply with applicable regulations could be impaired.</w:t>
      </w:r>
    </w:p>
    <w:p>
      <w:pPr>
        <w:spacing w:after="0" w:line="1"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6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79" w:lineRule="exact"/>
        <w:rPr>
          <w:sz w:val="20"/>
          <w:szCs w:val="20"/>
          <w:color w:val="auto"/>
        </w:rPr>
      </w:pPr>
    </w:p>
    <w:p>
      <w:pPr>
        <w:ind w:left="120" w:right="140"/>
        <w:spacing w:after="0" w:line="243"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3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will be required to provide an annual management report on the effectiveness of our internal control over financial reporting commencing with our next Annual Report on Form 10-K.</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We will be required to provide our public accounting firm’s attestation to the effectiveness of our internal control over financial reporting with our next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77"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33" w:lineRule="exact"/>
        <w:rPr>
          <w:sz w:val="20"/>
          <w:szCs w:val="20"/>
          <w:color w:val="auto"/>
        </w:rPr>
      </w:pPr>
    </w:p>
    <w:p>
      <w:pPr>
        <w:ind w:left="120" w:right="120"/>
        <w:spacing w:after="0" w:line="241"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76" w:lineRule="exact"/>
        <w:rPr>
          <w:sz w:val="20"/>
          <w:szCs w:val="20"/>
          <w:color w:val="auto"/>
        </w:rPr>
      </w:pPr>
    </w:p>
    <w:p>
      <w:pPr>
        <w:ind w:left="120" w:right="100"/>
        <w:spacing w:after="0" w:line="278" w:lineRule="auto"/>
        <w:rPr>
          <w:sz w:val="20"/>
          <w:szCs w:val="20"/>
          <w:color w:val="auto"/>
        </w:rPr>
      </w:pPr>
      <w:r>
        <w:rPr>
          <w:rFonts w:ascii="Arial" w:cs="Arial" w:eastAsia="Arial" w:hAnsi="Arial"/>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33" w:lineRule="exact"/>
        <w:rPr>
          <w:sz w:val="20"/>
          <w:szCs w:val="20"/>
          <w:color w:val="auto"/>
        </w:rPr>
      </w:pPr>
    </w:p>
    <w:p>
      <w:pPr>
        <w:jc w:val="both"/>
        <w:ind w:left="120" w:right="200"/>
        <w:spacing w:after="0" w:line="246"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7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69" w:lineRule="exact"/>
        <w:rPr>
          <w:sz w:val="20"/>
          <w:szCs w:val="20"/>
          <w:color w:val="auto"/>
        </w:rPr>
      </w:pPr>
    </w:p>
    <w:p>
      <w:pPr>
        <w:ind w:left="120" w:right="820"/>
        <w:spacing w:after="0" w:line="334" w:lineRule="auto"/>
        <w:rPr>
          <w:sz w:val="20"/>
          <w:szCs w:val="20"/>
          <w:color w:val="auto"/>
        </w:rPr>
      </w:pPr>
      <w:r>
        <w:rPr>
          <w:rFonts w:ascii="Arial" w:cs="Arial" w:eastAsia="Arial" w:hAnsi="Arial"/>
          <w:sz w:val="16"/>
          <w:szCs w:val="16"/>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1" w:lineRule="exact"/>
        <w:rPr>
          <w:sz w:val="20"/>
          <w:szCs w:val="20"/>
          <w:color w:val="auto"/>
        </w:rPr>
      </w:pPr>
    </w:p>
    <w:p>
      <w:pPr>
        <w:ind w:left="120" w:right="120"/>
        <w:spacing w:after="0" w:line="270" w:lineRule="auto"/>
        <w:rPr>
          <w:sz w:val="20"/>
          <w:szCs w:val="20"/>
          <w:color w:val="auto"/>
        </w:rPr>
      </w:pPr>
      <w:r>
        <w:rPr>
          <w:rFonts w:ascii="Arial" w:cs="Arial" w:eastAsia="Arial" w:hAnsi="Arial"/>
          <w:sz w:val="16"/>
          <w:szCs w:val="16"/>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our IPO; (b) in which we have total annual gross revenue of more than $1.07 billion; or (c) in which we are deemed to be a large accelerated filer, which means the market value of our common stock held by non-affiliates exceeds $700 million as of the prior July 31 and (ii) 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 We currently anticipate that we will lose our “emerging growth company” status as of the end of the fiscal year ending January 31, 2021.</w:t>
      </w: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41" w:lineRule="exact"/>
        <w:rPr>
          <w:sz w:val="20"/>
          <w:szCs w:val="20"/>
          <w:color w:val="auto"/>
        </w:rPr>
      </w:pPr>
    </w:p>
    <w:p>
      <w:pPr>
        <w:ind w:left="120" w:right="140"/>
        <w:spacing w:after="0" w:line="241"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contain forward-looking statements. These statements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incorporated by reference from our most recent Annual Report on Form 10-K and our most recent Quarterly Report on Form 10-Q, as well as any amendments thereto, filed with the SEC.</w:t>
      </w:r>
    </w:p>
    <w:p>
      <w:pPr>
        <w:spacing w:after="0" w:line="76"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In some cases, you can identify forward-looking statements by terminology such as “aim,” “anticipate,” “assume,” “believe,” “contemplate,” “continue,” “could,” “design,” “due,” “estimate,” “expect,” “goal,” “intend,” “may,” “objective,” “plan,” “predict,” “project,” “positioned,” “potential,” “seek,” “should,” “target,” “will,” “would,” or the negative or plural of those terms, and similar expressions intended to identify statements about the future, although not all forward-looking statements contain these words. These forward-looking statements involve known and unknown risks, uncertainties, and other factors that may cause our actual results, levels of activity, performance, or achievements to be materially different from the information expressed or implied by these statements.</w:t>
      </w:r>
    </w:p>
    <w:p>
      <w:pPr>
        <w:spacing w:after="0" w:line="76" w:lineRule="exact"/>
        <w:rPr>
          <w:sz w:val="20"/>
          <w:szCs w:val="20"/>
          <w:color w:val="auto"/>
        </w:rPr>
      </w:pPr>
    </w:p>
    <w:p>
      <w:pPr>
        <w:ind w:left="120" w:right="180"/>
        <w:spacing w:after="0" w:line="287" w:lineRule="auto"/>
        <w:rPr>
          <w:sz w:val="20"/>
          <w:szCs w:val="20"/>
          <w:color w:val="auto"/>
        </w:rPr>
      </w:pPr>
      <w:r>
        <w:rPr>
          <w:rFonts w:ascii="Arial" w:cs="Arial" w:eastAsia="Arial" w:hAnsi="Arial"/>
          <w:sz w:val="16"/>
          <w:szCs w:val="16"/>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w:t>
      </w:r>
    </w:p>
    <w:p>
      <w:pPr>
        <w:spacing w:after="0" w:line="38"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Forward-looking statements in this prospectus or incorporated herein by reference include, but are not limited to, statements about our future financial performance, including our revenue, cost of revenue, gross profit, margins, and operating expenses; market trends; trends in our key business metrics; the sufficiency of our cash and cash equivalents, investments, and cash provided by sales of our products and services to meet our efforts to enhance the security and privacy of our platform; our efforts to enhance the security and privacy of our platform; the potential impacts of the COVID-19 pandemic and related public health measures on our business, the business of our customers, suppliers, and channel partners, and the economy; our liquidity needs; our ability to become the ubiquitous platform for communications; our ability to attract new customers and retain existing customers; our ability to successfully expand in our existing markets and into new markets; our ability to effectively manage our growth and future expenses; and the impact of recent accounting pronouncements on our unaudited condensed consolidated financial statements.</w:t>
      </w:r>
    </w:p>
    <w:p>
      <w:pPr>
        <w:spacing w:after="0" w:line="7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You should refer to the “Risk Factors” section of this prospectus supplement, in the documents incorporated by reference herein, elsewhere in this prospectus supplement, and in any related free writing prospectus that we may authorize to be provided to you, as well as our most recent Annual Report on Form 10-K and our most recent Quarterly Report on Form 10-Q, as updated by our subsequent filings,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100"/>
          </w:cols>
          <w:pgMar w:left="320" w:top="455" w:right="4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080"/>
          </w:cols>
          <w:pgMar w:left="320" w:top="455" w:right="4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Use of proceeds</w:t>
      </w:r>
    </w:p>
    <w:p>
      <w:pPr>
        <w:spacing w:after="0" w:line="141"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We estimate that our net proceeds from the sale of our Class A common stock that we are offering will be approximately $1.73 billion (or approximately $1.98 billion if the underwriter exercises its option to purchase additional shares in full), based on the public offering price of $340.00 per share of Class A common stock after deducting underwriting discounts and commissions and estimated expenses related to the offering.</w:t>
      </w:r>
    </w:p>
    <w:p>
      <w:pPr>
        <w:spacing w:after="0" w:line="69" w:lineRule="exact"/>
        <w:rPr>
          <w:sz w:val="20"/>
          <w:szCs w:val="20"/>
          <w:color w:val="auto"/>
        </w:rPr>
      </w:pPr>
    </w:p>
    <w:p>
      <w:pPr>
        <w:ind w:left="120"/>
        <w:spacing w:after="0" w:line="273"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We currently intend to use the net proceeds we receive from this offering for general corporate purposes, including working capital, operating expenses and capital expenditures. We cannot specify with certainty all of the particular uses for the remaining net proceeds to us from this offering or the amounts we will actually spend on the uses set forth above. We may also use a portion of the net proceeds for acquisitions or strategic investments in complementary businesses, products, services, or technologies. However, we do not have agreements or commitments to enter into any such acquisitions or investments at this time. The expected use of net proceeds from this offering represents our intentions based upon our present plans and business conditions. We will have broad discretion over how to use the net proceeds to us from this offering. We intend to invest the net proceeds to us from the offering that are not used as described above in investment-grade, interest-bearing instruments.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Dividend policy</w:t>
      </w:r>
    </w:p>
    <w:p>
      <w:pPr>
        <w:spacing w:after="0" w:line="141"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We have never declared or paid dividends on our capital stock. We currently intend to retain all available funds and any future earnings to support operations and to finance the growth and development of our business. We do not intend to declare or pay cash dividends on our Class A common stock in the foreseeable future. Any determination to pay dividends on our capital stock will be at the discretion of our board of directors, subject to applicable laws, and will depend on our financial condition, results of operations, capital requirements, general business conditions, and other factors that our board of directors considers relevant.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040"/>
          </w:cols>
          <w:pgMar w:left="320" w:top="455" w:right="5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Dilution</w:t>
      </w:r>
    </w:p>
    <w:p>
      <w:pPr>
        <w:spacing w:after="0" w:line="141" w:lineRule="exact"/>
        <w:rPr>
          <w:sz w:val="20"/>
          <w:szCs w:val="20"/>
          <w:color w:val="auto"/>
        </w:rPr>
      </w:pPr>
    </w:p>
    <w:p>
      <w:pPr>
        <w:ind w:left="120" w:right="320"/>
        <w:spacing w:after="0" w:line="252"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public offering price per share and the as adjusted net tangible book value per share of our Class A common stock after this offering.</w:t>
      </w:r>
    </w:p>
    <w:p>
      <w:pPr>
        <w:spacing w:after="0" w:line="63" w:lineRule="exact"/>
        <w:rPr>
          <w:sz w:val="20"/>
          <w:szCs w:val="20"/>
          <w:color w:val="auto"/>
        </w:rPr>
      </w:pPr>
    </w:p>
    <w:p>
      <w:pPr>
        <w:ind w:left="120" w:right="680"/>
        <w:spacing w:after="0" w:line="252" w:lineRule="auto"/>
        <w:rPr>
          <w:sz w:val="20"/>
          <w:szCs w:val="20"/>
          <w:color w:val="auto"/>
        </w:rPr>
      </w:pPr>
      <w:r>
        <w:rPr>
          <w:rFonts w:ascii="Arial" w:cs="Arial" w:eastAsia="Arial" w:hAnsi="Arial"/>
          <w:sz w:val="18"/>
          <w:szCs w:val="18"/>
          <w:color w:val="auto"/>
        </w:rPr>
        <w:t>As of October 31, 2020, we had a net tangible book value of $1,490.4 million, or $5.21 per share. Net tangible book value per share represents the amount of our total tangible assets less our total liabilities, divided by the number of shares of our Class A and Class B common stock outstanding as of October 31, 2020.</w:t>
      </w:r>
    </w:p>
    <w:p>
      <w:pPr>
        <w:spacing w:after="0" w:line="64"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color w:val="auto"/>
        </w:rPr>
        <w:t>After giving further effect to the receipt of the net proceeds from our sale of 5,147,059 shares of our Class A common stock in this offering at the public offering price of $340.00 per share, after deducting underwriting discounts and commissions and estimated expenses related to the offering, our as adjusted net tangible book value as of October 31, 2020, would have been $3,221.4 million, or $11.07 per share. This represents an immediate increase in the net tangible book value of $5.86 per share to existing stockholders and an immediate dilution of $328.93 per share to new investors in our Class A common stock.</w:t>
      </w:r>
    </w:p>
    <w:p>
      <w:pPr>
        <w:spacing w:after="0" w:line="73" w:lineRule="exact"/>
        <w:rPr>
          <w:sz w:val="20"/>
          <w:szCs w:val="20"/>
          <w:color w:val="auto"/>
        </w:rPr>
      </w:pPr>
    </w:p>
    <w:p>
      <w:pPr>
        <w:ind w:left="120" w:right="740"/>
        <w:spacing w:after="0" w:line="269" w:lineRule="auto"/>
        <w:rPr>
          <w:sz w:val="20"/>
          <w:szCs w:val="20"/>
          <w:color w:val="auto"/>
        </w:rPr>
      </w:pPr>
      <w:r>
        <w:rPr>
          <w:rFonts w:ascii="Arial" w:cs="Arial" w:eastAsia="Arial" w:hAnsi="Arial"/>
          <w:sz w:val="18"/>
          <w:szCs w:val="18"/>
          <w:color w:val="auto"/>
        </w:rPr>
        <w:t>The following table illustrates this dilution on a per share basis (without giving effect to any exercise by the underwriter of its option to purchase additional shares):</w:t>
      </w: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3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$340.00</w:t>
            </w:r>
          </w:p>
        </w:tc>
      </w:tr>
      <w:tr>
        <w:trPr>
          <w:trHeight w:val="203"/>
        </w:trPr>
        <w:tc>
          <w:tcPr>
            <w:tcW w:w="7680" w:type="dxa"/>
            <w:vAlign w:val="bottom"/>
          </w:tcPr>
          <w:p>
            <w:pPr>
              <w:ind w:left="220"/>
              <w:spacing w:after="0" w:line="202" w:lineRule="exact"/>
              <w:rPr>
                <w:sz w:val="20"/>
                <w:szCs w:val="20"/>
                <w:color w:val="auto"/>
              </w:rPr>
            </w:pPr>
            <w:r>
              <w:rPr>
                <w:rFonts w:ascii="Arial" w:cs="Arial" w:eastAsia="Arial" w:hAnsi="Arial"/>
                <w:sz w:val="18"/>
                <w:szCs w:val="18"/>
                <w:color w:val="auto"/>
              </w:rPr>
              <w:t>Net tangible book value per share as of October 31, 2020</w:t>
            </w:r>
          </w:p>
        </w:tc>
        <w:tc>
          <w:tcPr>
            <w:tcW w:w="3280" w:type="dxa"/>
            <w:vAlign w:val="bottom"/>
          </w:tcPr>
          <w:p>
            <w:pPr>
              <w:jc w:val="right"/>
              <w:ind w:right="932"/>
              <w:spacing w:after="0" w:line="202" w:lineRule="exact"/>
              <w:rPr>
                <w:sz w:val="20"/>
                <w:szCs w:val="20"/>
                <w:color w:val="auto"/>
              </w:rPr>
            </w:pPr>
            <w:r>
              <w:rPr>
                <w:rFonts w:ascii="Arial" w:cs="Arial" w:eastAsia="Arial" w:hAnsi="Arial"/>
                <w:sz w:val="18"/>
                <w:szCs w:val="18"/>
                <w:color w:val="auto"/>
              </w:rPr>
              <w:t>$ 5.21</w:t>
            </w:r>
          </w:p>
        </w:tc>
        <w:tc>
          <w:tcPr>
            <w:tcW w:w="60" w:type="dxa"/>
            <w:vAlign w:val="bottom"/>
          </w:tcPr>
          <w:p>
            <w:pPr>
              <w:spacing w:after="0"/>
              <w:rPr>
                <w:sz w:val="17"/>
                <w:szCs w:val="17"/>
                <w:color w:val="auto"/>
              </w:rPr>
            </w:pPr>
          </w:p>
        </w:tc>
      </w:tr>
      <w:tr>
        <w:trPr>
          <w:trHeight w:val="203"/>
        </w:trPr>
        <w:tc>
          <w:tcPr>
            <w:tcW w:w="7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Increase in net tangible book value per share as of October 31, 2020</w:t>
            </w:r>
          </w:p>
        </w:tc>
        <w:tc>
          <w:tcPr>
            <w:tcW w:w="3280" w:type="dxa"/>
            <w:vAlign w:val="bottom"/>
            <w:shd w:val="clear" w:color="auto" w:fill="CCEEFF"/>
          </w:tcPr>
          <w:p>
            <w:pPr>
              <w:jc w:val="right"/>
              <w:ind w:right="932"/>
              <w:spacing w:after="0" w:line="202" w:lineRule="exact"/>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7"/>
                <w:szCs w:val="17"/>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As adjusted net tangible book value per share immediately after this offering</w:t>
            </w:r>
          </w:p>
        </w:tc>
        <w:tc>
          <w:tcPr>
            <w:tcW w:w="3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11.07</w:t>
            </w: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investors in this offering</w:t>
            </w:r>
          </w:p>
        </w:tc>
        <w:tc>
          <w:tcPr>
            <w:tcW w:w="3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$328.93</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9" w:lineRule="exact"/>
        <w:rPr>
          <w:sz w:val="20"/>
          <w:szCs w:val="20"/>
          <w:color w:val="auto"/>
        </w:rPr>
      </w:pPr>
    </w:p>
    <w:p>
      <w:pPr>
        <w:ind w:left="120" w:right="140"/>
        <w:spacing w:after="0" w:line="252" w:lineRule="auto"/>
        <w:rPr>
          <w:sz w:val="20"/>
          <w:szCs w:val="20"/>
          <w:color w:val="auto"/>
        </w:rPr>
      </w:pPr>
      <w:r>
        <w:rPr>
          <w:rFonts w:ascii="Arial" w:cs="Arial" w:eastAsia="Arial" w:hAnsi="Arial"/>
          <w:sz w:val="18"/>
          <w:szCs w:val="18"/>
          <w:color w:val="auto"/>
        </w:rPr>
        <w:t>If the underwriter exercises its option to purchase additional shares in full, the as adjusted net tangible book value after the offering would be $11.89 per share, the increase in net tangible book value per share to existing stockholders would be $6.68 per share and the dilution per share to new investors would be $328.11 per share.</w:t>
      </w:r>
    </w:p>
    <w:p>
      <w:pPr>
        <w:spacing w:after="0" w:line="64" w:lineRule="exact"/>
        <w:rPr>
          <w:sz w:val="20"/>
          <w:szCs w:val="20"/>
          <w:color w:val="auto"/>
        </w:rPr>
      </w:pPr>
    </w:p>
    <w:p>
      <w:pPr>
        <w:ind w:left="120" w:right="80"/>
        <w:spacing w:after="0" w:line="269" w:lineRule="auto"/>
        <w:rPr>
          <w:sz w:val="20"/>
          <w:szCs w:val="20"/>
          <w:color w:val="auto"/>
        </w:rPr>
      </w:pPr>
      <w:r>
        <w:rPr>
          <w:rFonts w:ascii="Arial" w:cs="Arial" w:eastAsia="Arial" w:hAnsi="Arial"/>
          <w:sz w:val="18"/>
          <w:szCs w:val="18"/>
          <w:color w:val="auto"/>
        </w:rPr>
        <w:t>The foregoing table does not take into effect further dilution to new investors that could occur upon the exercise of outstanding options having a per share exercise price less than the public offering price per share in this offering or the vesting of outstanding RSUs.</w:t>
      </w:r>
    </w:p>
    <w:p>
      <w:pPr>
        <w:spacing w:after="0" w:line="49" w:lineRule="exact"/>
        <w:rPr>
          <w:sz w:val="20"/>
          <w:szCs w:val="20"/>
          <w:color w:val="auto"/>
        </w:rPr>
      </w:pPr>
    </w:p>
    <w:p>
      <w:pPr>
        <w:ind w:left="120" w:right="20"/>
        <w:spacing w:after="0" w:line="269" w:lineRule="auto"/>
        <w:rPr>
          <w:sz w:val="20"/>
          <w:szCs w:val="20"/>
          <w:color w:val="auto"/>
        </w:rPr>
      </w:pPr>
      <w:r>
        <w:rPr>
          <w:rFonts w:ascii="Arial" w:cs="Arial" w:eastAsia="Arial" w:hAnsi="Arial"/>
          <w:sz w:val="18"/>
          <w:szCs w:val="18"/>
          <w:color w:val="auto"/>
        </w:rPr>
        <w:t>The outstanding share information in the table above is based on 198,179,809 shares of our Class A common stock and 87,765,770 shares of our Class B common stock outstanding as of October 31, 2020 and excludes:</w:t>
      </w:r>
    </w:p>
    <w:p>
      <w:pPr>
        <w:spacing w:after="0" w:line="63" w:lineRule="exact"/>
        <w:rPr>
          <w:sz w:val="20"/>
          <w:szCs w:val="20"/>
          <w:color w:val="auto"/>
        </w:rPr>
      </w:pPr>
    </w:p>
    <w:p>
      <w:pPr>
        <w:ind w:left="340" w:right="480" w:hanging="224"/>
        <w:spacing w:after="0" w:line="26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313,772 shares of our Class A common stock issuable upon the exercise of options to purchase shares of our Class A common stock outstanding as of October 31, 2020, with a weighted-average exercise price of $65.66 per share;</w:t>
      </w:r>
    </w:p>
    <w:p>
      <w:pPr>
        <w:spacing w:after="0" w:line="62" w:lineRule="exact"/>
        <w:rPr>
          <w:rFonts w:ascii="Arial" w:cs="Arial" w:eastAsia="Arial" w:hAnsi="Arial"/>
          <w:sz w:val="18"/>
          <w:szCs w:val="18"/>
          <w:color w:val="auto"/>
        </w:rPr>
      </w:pPr>
    </w:p>
    <w:p>
      <w:pPr>
        <w:ind w:left="340" w:right="220" w:hanging="224"/>
        <w:spacing w:after="0" w:line="26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10,164,397 shares of our Class B common stock issuable upon the exercise of options to purchase shares of our Class B common stock outstanding as of October 31, 2020, with a weighted-average exercise price of $5.45 per share;</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4,458,602 shares of our Class A common stock issuable upon the settlement of RSUs outstanding as of October 31, 2020;</w:t>
      </w:r>
    </w:p>
    <w:p>
      <w:pPr>
        <w:spacing w:after="0" w:line="117" w:lineRule="exact"/>
        <w:rPr>
          <w:rFonts w:ascii="Arial" w:cs="Arial" w:eastAsia="Arial" w:hAnsi="Arial"/>
          <w:sz w:val="18"/>
          <w:szCs w:val="18"/>
          <w:color w:val="auto"/>
        </w:rPr>
      </w:pPr>
    </w:p>
    <w:p>
      <w:pPr>
        <w:ind w:left="340" w:right="140" w:hanging="224"/>
        <w:spacing w:after="0" w:line="26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44,801,908 shares of our Class A common stock reserved for future issuance under the 2019 Plan as of October 31, 2020, as well as any automatic increases in the number of shares of Class A common stock reserved for issuance under the 2019 Plan;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140"/>
          </w:cols>
          <w:pgMar w:left="320" w:top="455"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hanging="224"/>
        <w:spacing w:after="0" w:line="26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10,691,086 shares of our Class A common stock reserved for future issuance under the ESPP, as well as any automatic increases in the number of shares of Class A common stock reserved for issuance under the ESPP; and</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conversion of 10,385,980 shares of our Class B common stock to Class A common stock after October 31, 2020.</w:t>
      </w:r>
    </w:p>
    <w:p>
      <w:pPr>
        <w:spacing w:after="0" w:line="1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0900"/>
          </w:cols>
          <w:pgMar w:left="320" w:top="455" w:right="6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right="640"/>
        <w:spacing w:after="0" w:line="289" w:lineRule="auto"/>
        <w:rPr>
          <w:sz w:val="20"/>
          <w:szCs w:val="20"/>
          <w:color w:val="auto"/>
        </w:rPr>
      </w:pPr>
      <w:r>
        <w:rPr>
          <w:rFonts w:ascii="Arial" w:cs="Arial" w:eastAsia="Arial" w:hAnsi="Arial"/>
          <w:sz w:val="32"/>
          <w:szCs w:val="32"/>
          <w:b w:val="1"/>
          <w:bCs w:val="1"/>
          <w:color w:val="auto"/>
        </w:rPr>
        <w:t>Material U.S. federal income tax considerations for certain non-U.S. holders</w:t>
      </w:r>
    </w:p>
    <w:p>
      <w:pPr>
        <w:spacing w:after="0" w:line="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the special tax accounting rules under Section 451(b) of the Code or the alternative minimum tax, and does not address any estate or gift tax consequences or any tax consequences arising under any state, local or foreign tax laws, or any other U.S. federal tax laws. This discussion is based on the U.S. Internal Revenue Code of 1986, as amended (the “Code”), Treasury Regulations promulgated thereunder, judicial decisions and published rulings and administrative pronouncements of the Internal Revenue Service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78"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86"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7" w:lineRule="exact"/>
        <w:rPr>
          <w:rFonts w:ascii="Arial" w:cs="Arial" w:eastAsia="Arial" w:hAnsi="Arial"/>
          <w:sz w:val="18"/>
          <w:szCs w:val="18"/>
          <w:color w:val="auto"/>
        </w:rPr>
      </w:pPr>
    </w:p>
    <w:p>
      <w:pPr>
        <w:ind w:left="340" w:right="980" w:hanging="224"/>
        <w:spacing w:after="0" w:line="26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62" w:lineRule="exact"/>
        <w:rPr>
          <w:rFonts w:ascii="Arial" w:cs="Arial" w:eastAsia="Arial" w:hAnsi="Arial"/>
          <w:sz w:val="18"/>
          <w:szCs w:val="18"/>
          <w:color w:val="auto"/>
        </w:rPr>
      </w:pPr>
    </w:p>
    <w:p>
      <w:pPr>
        <w:ind w:left="340" w:right="260" w:hanging="224"/>
        <w:spacing w:after="0" w:line="26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Class A common stock;</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17" w:lineRule="exact"/>
        <w:rPr>
          <w:rFonts w:ascii="Arial" w:cs="Arial" w:eastAsia="Arial" w:hAnsi="Arial"/>
          <w:sz w:val="18"/>
          <w:szCs w:val="18"/>
          <w:color w:val="auto"/>
        </w:rPr>
      </w:pPr>
    </w:p>
    <w:p>
      <w:pPr>
        <w:ind w:left="340" w:right="160" w:hanging="224"/>
        <w:spacing w:after="0" w:line="26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hedging or conversion transaction or straddle, or a constructive sale, or other risk reduction strategy or integrated investment.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Class A common stock, the U.S. federal income tax treatment of a partner in the partnership will generally 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67"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Definition of Non-U.S. Holder</w:t>
      </w:r>
    </w:p>
    <w:p>
      <w:pPr>
        <w:spacing w:after="0" w:line="116" w:lineRule="exact"/>
        <w:rPr>
          <w:sz w:val="20"/>
          <w:szCs w:val="20"/>
          <w:color w:val="auto"/>
        </w:rPr>
      </w:pPr>
    </w:p>
    <w:p>
      <w:pPr>
        <w:ind w:left="120" w:right="140"/>
        <w:spacing w:after="0" w:line="252"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77" w:lineRule="exact"/>
        <w:rPr>
          <w:sz w:val="20"/>
          <w:szCs w:val="20"/>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340" w:right="500" w:hanging="224"/>
        <w:spacing w:after="0" w:line="26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corporation (or any entity treated as a corporation for U.S. federal income tax purposes) created or organized under the laws of the United States, any state thereof or the District of Columbia;</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340" w:right="60" w:hanging="224"/>
        <w:spacing w:after="0" w:line="25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 on our Class A common stock</w:t>
      </w:r>
    </w:p>
    <w:p>
      <w:pPr>
        <w:spacing w:after="0" w:line="116"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As described under the section titled “Dividend Policy,” we have not paid and do not anticipate paying any cash dividends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a valid IRS Form W-8BEN or IRS Form W-8BEN-E (or applicable successor form) certifying such holder’s qualification for the reduced rate. This certification must be provided to us or the withholding agent before the payment of dividends and must be updated periodically. If the non-U.S. holder holds the stock through a financial institution or other agent acting on the non-U.S. holder’s behalf, the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8"/>
          <w:szCs w:val="18"/>
          <w:color w:val="auto"/>
        </w:rPr>
        <w:t>non-U.S. holder will be required to provide appropriate documentation to the agent, which then will be required to provide certification to us or the withholding agent, either directly or through other intermediaries.</w:t>
      </w:r>
    </w:p>
    <w:p>
      <w:pPr>
        <w:spacing w:after="0" w:line="4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73"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38" w:lineRule="exact"/>
        <w:rPr>
          <w:sz w:val="20"/>
          <w:szCs w:val="20"/>
          <w:color w:val="auto"/>
        </w:rPr>
      </w:pPr>
    </w:p>
    <w:p>
      <w:pPr>
        <w:ind w:left="120" w:right="60"/>
        <w:spacing w:after="0" w:line="269"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Gain on disposition of our Class A Common stock</w:t>
      </w:r>
    </w:p>
    <w:p>
      <w:pPr>
        <w:spacing w:after="0" w:line="116" w:lineRule="exact"/>
        <w:rPr>
          <w:sz w:val="20"/>
          <w:szCs w:val="20"/>
          <w:color w:val="auto"/>
        </w:rPr>
      </w:pPr>
    </w:p>
    <w:p>
      <w:pPr>
        <w:ind w:left="120" w:right="440"/>
        <w:spacing w:after="0" w:line="269"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63" w:lineRule="exact"/>
        <w:rPr>
          <w:sz w:val="20"/>
          <w:szCs w:val="20"/>
          <w:color w:val="auto"/>
        </w:rPr>
      </w:pPr>
    </w:p>
    <w:p>
      <w:pPr>
        <w:ind w:left="340" w:right="320" w:hanging="224"/>
        <w:spacing w:after="0" w:line="25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76" w:lineRule="exact"/>
        <w:rPr>
          <w:rFonts w:ascii="Arial" w:cs="Arial" w:eastAsia="Arial" w:hAnsi="Arial"/>
          <w:sz w:val="18"/>
          <w:szCs w:val="18"/>
          <w:color w:val="auto"/>
        </w:rPr>
      </w:pPr>
    </w:p>
    <w:p>
      <w:pPr>
        <w:ind w:left="340" w:right="580" w:hanging="224"/>
        <w:spacing w:after="0" w:line="26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62" w:lineRule="exact"/>
        <w:rPr>
          <w:rFonts w:ascii="Arial" w:cs="Arial" w:eastAsia="Arial" w:hAnsi="Arial"/>
          <w:sz w:val="18"/>
          <w:szCs w:val="18"/>
          <w:color w:val="auto"/>
        </w:rPr>
      </w:pPr>
    </w:p>
    <w:p>
      <w:pPr>
        <w:ind w:left="340" w:right="20" w:hanging="224"/>
        <w:spacing w:after="0" w:line="24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Class A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6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worldwide real property interests and our other assets held for use in a trade or business. We believe that we are not currently and do not anticipate becoming a USRPHC for U.S. federal income tax purposes, although there can be no assurance we will not in the future become a USRPHC.</w:t>
      </w:r>
    </w:p>
    <w:p>
      <w:pPr>
        <w:spacing w:after="0" w:line="69"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1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distributions on our Class A common stock paid to such holder and the amount of any tax withheld with respect to those distributions. These information reporting requirements apply even if no withholding was required because the distributions were dividends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80" w:lineRule="exact"/>
        <w:rPr>
          <w:sz w:val="20"/>
          <w:szCs w:val="20"/>
          <w:color w:val="auto"/>
        </w:rPr>
      </w:pPr>
    </w:p>
    <w:p>
      <w:pPr>
        <w:jc w:val="both"/>
        <w:ind w:left="120" w:right="120"/>
        <w:spacing w:after="0" w:line="252"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Withholding on foreign entities</w:t>
      </w:r>
    </w:p>
    <w:p>
      <w:pPr>
        <w:spacing w:after="0" w:line="11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Under the applicable Treasury Regulations and administrative guidance, withholding under FATCA generally applies to payments of dividends on our common stock, and will apply to payments of gross proceeds from the sale or other disposition of such stock, although under proposed regulations (the preamble to which specifies that taxpayers are permitted to rely on such proposed regulations pending finalization), no withholding would apply with respect to payments of gross proceeds.</w:t>
      </w:r>
    </w:p>
    <w:p>
      <w:pPr>
        <w:spacing w:after="0" w:line="83" w:lineRule="exact"/>
        <w:rPr>
          <w:sz w:val="20"/>
          <w:szCs w:val="20"/>
          <w:color w:val="auto"/>
        </w:rPr>
      </w:pPr>
    </w:p>
    <w:p>
      <w:pPr>
        <w:ind w:left="120" w:right="80"/>
        <w:spacing w:after="0" w:line="269"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Class A common stock.</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Underwriting</w:t>
      </w:r>
    </w:p>
    <w:p>
      <w:pPr>
        <w:spacing w:after="0" w:line="141" w:lineRule="exact"/>
        <w:rPr>
          <w:sz w:val="20"/>
          <w:szCs w:val="20"/>
          <w:color w:val="auto"/>
        </w:rPr>
      </w:pPr>
    </w:p>
    <w:p>
      <w:pPr>
        <w:ind w:left="120" w:right="80"/>
        <w:spacing w:after="0" w:line="243" w:lineRule="auto"/>
        <w:rPr>
          <w:sz w:val="20"/>
          <w:szCs w:val="20"/>
          <w:color w:val="auto"/>
        </w:rPr>
      </w:pPr>
      <w:r>
        <w:rPr>
          <w:rFonts w:ascii="Arial" w:cs="Arial" w:eastAsia="Arial" w:hAnsi="Arial"/>
          <w:sz w:val="18"/>
          <w:szCs w:val="18"/>
          <w:color w:val="auto"/>
        </w:rPr>
        <w:t>We are offering the shares of Class A common stock described in this prospectus supplement through an underwriter. J.P. Morgan Securities LLC is acting as book-running manager of the offering. We have entered into an underwriting agreement with the underwriter. Subject to the terms and conditions of the underwriting agreement, we have agreed to sell to the underwriter, at the public offering price less the underwriting discounts and commissions set forth on the cover page of this prospectus, the number of shares of Class A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90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Number of</w:t>
            </w:r>
          </w:p>
        </w:tc>
      </w:tr>
      <w:tr>
        <w:trPr>
          <w:trHeight w:val="223"/>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shares</w:t>
            </w:r>
          </w:p>
        </w:tc>
      </w:tr>
      <w:tr>
        <w:trPr>
          <w:trHeight w:val="196"/>
        </w:trPr>
        <w:tc>
          <w:tcPr>
            <w:tcW w:w="9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5,147,059</w:t>
            </w:r>
          </w:p>
        </w:tc>
        <w:tc>
          <w:tcPr>
            <w:tcW w:w="80" w:type="dxa"/>
            <w:vAlign w:val="bottom"/>
            <w:shd w:val="clear" w:color="auto" w:fill="CCEEFF"/>
          </w:tcPr>
          <w:p>
            <w:pPr>
              <w:spacing w:after="0"/>
              <w:rPr>
                <w:sz w:val="17"/>
                <w:szCs w:val="17"/>
                <w:color w:val="auto"/>
              </w:rPr>
            </w:pPr>
          </w:p>
        </w:tc>
      </w:tr>
      <w:tr>
        <w:trPr>
          <w:trHeight w:val="155"/>
        </w:trPr>
        <w:tc>
          <w:tcPr>
            <w:tcW w:w="99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5,147,059</w:t>
            </w:r>
          </w:p>
        </w:tc>
        <w:tc>
          <w:tcPr>
            <w:tcW w:w="80" w:type="dxa"/>
            <w:vAlign w:val="bottom"/>
            <w:shd w:val="clear" w:color="auto" w:fill="CCEEFF"/>
          </w:tcPr>
          <w:p>
            <w:pPr>
              <w:spacing w:after="0"/>
              <w:rPr>
                <w:sz w:val="17"/>
                <w:szCs w:val="17"/>
                <w:color w:val="auto"/>
              </w:rPr>
            </w:pPr>
          </w:p>
        </w:tc>
      </w:tr>
      <w:tr>
        <w:trPr>
          <w:trHeight w:val="20"/>
        </w:trPr>
        <w:tc>
          <w:tcPr>
            <w:tcW w:w="9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3"/>
        </w:trPr>
        <w:tc>
          <w:tcPr>
            <w:tcW w:w="9900" w:type="dxa"/>
            <w:vAlign w:val="bottom"/>
          </w:tcPr>
          <w:p>
            <w:pPr>
              <w:spacing w:after="0"/>
              <w:rPr>
                <w:sz w:val="20"/>
                <w:szCs w:val="20"/>
                <w:color w:val="auto"/>
              </w:rPr>
            </w:pPr>
            <w:r>
              <w:rPr>
                <w:rFonts w:ascii="Arial" w:cs="Arial" w:eastAsia="Arial" w:hAnsi="Arial"/>
                <w:sz w:val="18"/>
                <w:szCs w:val="18"/>
                <w:color w:val="auto"/>
                <w:w w:val="99"/>
              </w:rPr>
              <w:t>The underwriter is committed to purchase all the shares of Class A common stock offered by us if they purchase any shares.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74"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The underwriter proposes to offer the shares of Class A common stock directly to the public at the public offering price set forth on the cover page of this prospectus supplement and to certain dealers at that price less a concession not in excess of $2.04 per share. After the initial offering of the shares to the public, the underwriter may change the offering price and the other selling terms. Sales of any shares made outside of the United States may be made by affiliates of the underwriter.</w:t>
      </w:r>
    </w:p>
    <w:p>
      <w:pPr>
        <w:spacing w:after="0" w:line="69" w:lineRule="exact"/>
        <w:rPr>
          <w:sz w:val="20"/>
          <w:szCs w:val="20"/>
          <w:color w:val="auto"/>
        </w:rPr>
      </w:pPr>
    </w:p>
    <w:p>
      <w:pPr>
        <w:ind w:left="120" w:right="300"/>
        <w:spacing w:after="0" w:line="298" w:lineRule="auto"/>
        <w:rPr>
          <w:sz w:val="20"/>
          <w:szCs w:val="20"/>
          <w:color w:val="auto"/>
        </w:rPr>
      </w:pPr>
      <w:r>
        <w:rPr>
          <w:rFonts w:ascii="Arial" w:cs="Arial" w:eastAsia="Arial" w:hAnsi="Arial"/>
          <w:sz w:val="16"/>
          <w:szCs w:val="16"/>
          <w:color w:val="auto"/>
        </w:rPr>
        <w:t>The underwriter has an option to buy up to 735,294 additional shares of Class A common stock from us. The underwriter has 30 days from the date of this prospectus supplement to exercise this option to purchase additional shares. If any additional shares of Class A common stock are purchased, the underwriter will offer the additional shares on the same terms as those on which the shares are being offered.</w:t>
      </w:r>
    </w:p>
    <w:p>
      <w:pPr>
        <w:spacing w:after="0" w:line="30"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The underwriting fee is equal to the public offering price per share of Class A common stock less the amount paid by the underwriter to us per share of Class A common stock. The underwriting fee is $3.40 per share. The following table shows the per share and total underwriting discounts and commissions to be paid to the underwriter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No</w:t>
            </w:r>
          </w:p>
        </w:tc>
        <w:tc>
          <w:tcPr>
            <w:tcW w:w="3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Full</w:t>
            </w:r>
          </w:p>
        </w:tc>
      </w:tr>
      <w:tr>
        <w:trPr>
          <w:trHeight w:val="223"/>
        </w:trPr>
        <w:tc>
          <w:tcPr>
            <w:tcW w:w="456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exercise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exercise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3.40</w:t>
            </w:r>
          </w:p>
        </w:tc>
        <w:tc>
          <w:tcPr>
            <w:tcW w:w="3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3.40</w:t>
            </w:r>
          </w:p>
        </w:tc>
      </w:tr>
      <w:tr>
        <w:trPr>
          <w:trHeight w:val="216"/>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17,500,001</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c>
          <w:tcPr>
            <w:tcW w:w="80" w:type="dxa"/>
            <w:vAlign w:val="bottom"/>
          </w:tcPr>
          <w:p>
            <w:pPr>
              <w:spacing w:after="0"/>
              <w:rPr>
                <w:sz w:val="18"/>
                <w:szCs w:val="18"/>
                <w:color w:val="auto"/>
              </w:rPr>
            </w:pPr>
          </w:p>
        </w:tc>
      </w:tr>
    </w:tbl>
    <w:p>
      <w:pPr>
        <w:spacing w:after="0" w:line="89"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We estimate that our share of the total expenses of this offering, including registration, filing and listing fees, printing fees and legal and accounting expenses, but excluding the underwriting discounts and commissions, will be approximately $1.5 million. The underwriter has agreed to reimburse us for certain of these expenses. We have agreed to reimburse the underwriter for expenses relating to clearance of this offering with the Financial Industry Regulatory Authority (FINRA) up to $35,000.</w:t>
      </w:r>
    </w:p>
    <w:p>
      <w:pPr>
        <w:spacing w:after="0" w:line="69"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The prospectus supplement and the accompanying prospectus in electronic format may be made available on the web sites maintained by the underwriter, or selling group members, if any, participating in the offering. The underwriter may agree to allocate a number of shares to selling group members for sale to their online brokerage account holders. Internet distributions will be allocated by the underwriter and selling group members that may make Internet distributions on the same basis as other allocations.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140"/>
          </w:cols>
          <w:pgMar w:left="320" w:top="455"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8"/>
          <w:szCs w:val="18"/>
          <w:color w:val="auto"/>
        </w:rPr>
        <w:t>We and all directors and executive officers have agreed that, without the prior written consent of J.P. Morgan Securities LLC, we and they will not, during the period ending 45 days after the date of this prospectus or the restricted period:</w:t>
      </w:r>
    </w:p>
    <w:p>
      <w:pPr>
        <w:spacing w:after="0" w:line="63" w:lineRule="exact"/>
        <w:rPr>
          <w:sz w:val="20"/>
          <w:szCs w:val="20"/>
          <w:color w:val="auto"/>
        </w:rPr>
      </w:pPr>
    </w:p>
    <w:p>
      <w:pPr>
        <w:ind w:left="340" w:right="100" w:hanging="224"/>
        <w:spacing w:after="0" w:line="24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publicly announce the intention to enter into any such transaction;</w:t>
      </w:r>
    </w:p>
    <w:p>
      <w:pPr>
        <w:spacing w:after="0" w:line="82" w:lineRule="exact"/>
        <w:rPr>
          <w:rFonts w:ascii="Arial" w:cs="Arial" w:eastAsia="Arial" w:hAnsi="Arial"/>
          <w:sz w:val="18"/>
          <w:szCs w:val="18"/>
          <w:color w:val="auto"/>
        </w:rPr>
      </w:pPr>
    </w:p>
    <w:p>
      <w:pPr>
        <w:ind w:left="340" w:right="80" w:hanging="224"/>
        <w:spacing w:after="0" w:line="26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62" w:lineRule="exact"/>
        <w:rPr>
          <w:rFonts w:ascii="Arial" w:cs="Arial" w:eastAsia="Arial" w:hAnsi="Arial"/>
          <w:sz w:val="18"/>
          <w:szCs w:val="18"/>
          <w:color w:val="auto"/>
        </w:rPr>
      </w:pPr>
    </w:p>
    <w:p>
      <w:pPr>
        <w:ind w:left="340" w:right="100" w:hanging="224"/>
        <w:spacing w:after="0" w:line="26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4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J.P. Morgan Securities LLC,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69" w:lineRule="exact"/>
        <w:rPr>
          <w:sz w:val="20"/>
          <w:szCs w:val="20"/>
          <w:color w:val="auto"/>
        </w:rPr>
      </w:pPr>
    </w:p>
    <w:p>
      <w:pPr>
        <w:ind w:left="120" w:right="600"/>
        <w:spacing w:after="0" w:line="269" w:lineRule="auto"/>
        <w:rPr>
          <w:sz w:val="20"/>
          <w:szCs w:val="20"/>
          <w:color w:val="auto"/>
        </w:rPr>
      </w:pPr>
      <w:r>
        <w:rPr>
          <w:rFonts w:ascii="Arial" w:cs="Arial" w:eastAsia="Arial" w:hAnsi="Arial"/>
          <w:sz w:val="18"/>
          <w:szCs w:val="18"/>
          <w:color w:val="auto"/>
        </w:rPr>
        <w:t>The restrictions described in the immediately preceding paragraph are subject to specified exceptions, including, without limitation, the following:</w:t>
      </w:r>
    </w:p>
    <w:p>
      <w:pPr>
        <w:spacing w:after="0" w:line="63" w:lineRule="exact"/>
        <w:rPr>
          <w:sz w:val="20"/>
          <w:szCs w:val="20"/>
          <w:color w:val="auto"/>
        </w:rPr>
      </w:pPr>
    </w:p>
    <w:p>
      <w:pPr>
        <w:ind w:left="340" w:right="80" w:hanging="224"/>
        <w:spacing w:after="0" w:line="26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transfers of shares of common stock acquired in open market transactions after the completion of this offering provided that no filing under Section 16 of the Exchange Act would be required or voluntarily made;</w:t>
      </w:r>
    </w:p>
    <w:p>
      <w:pPr>
        <w:spacing w:after="0" w:line="62" w:lineRule="exact"/>
        <w:rPr>
          <w:rFonts w:ascii="Arial" w:cs="Arial" w:eastAsia="Arial" w:hAnsi="Arial"/>
          <w:sz w:val="18"/>
          <w:szCs w:val="18"/>
          <w:color w:val="auto"/>
        </w:rPr>
      </w:pPr>
    </w:p>
    <w:p>
      <w:pPr>
        <w:ind w:left="340" w:right="20" w:hanging="224"/>
        <w:spacing w:after="0" w:line="24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(1) as bona fide gifts, charitable contributions or for bona fide estate planning purposes; (2) upon death, by will or intestate succession; (3) to an immediate family member or a trust for the direct or indirect benefit of the lock-up party or the immediate family of the lock-up party; or (4) by a lock-up party that is a trust to a trustor or beneficiary of the trust or to the estate of a beneficiary of such trust;</w:t>
      </w:r>
    </w:p>
    <w:p>
      <w:pPr>
        <w:spacing w:after="0" w:line="82" w:lineRule="exact"/>
        <w:rPr>
          <w:rFonts w:ascii="Arial" w:cs="Arial" w:eastAsia="Arial" w:hAnsi="Arial"/>
          <w:sz w:val="18"/>
          <w:szCs w:val="18"/>
          <w:color w:val="auto"/>
        </w:rPr>
      </w:pPr>
    </w:p>
    <w:p>
      <w:pPr>
        <w:ind w:left="340" w:right="40" w:hanging="224"/>
        <w:spacing w:after="0" w:line="24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transfers or distributions of shares of common stock or any security convertible into or exercisable or exchangeable for common stock by a lock-up party that is a corporation, partnership, limited liability company, trust or other business entity (1) to limited partners, members, stockholders or holders of similar equity interests in the undersigned (or in each case its nominee or custodian) or (2) to another corporation, partnership, limited liability company, trust or other business entity that is an affiliate of the lock-up party, or to any investment fund or other entity controlled or managed by the lock-up party or affiliates of the lock-up party;</w:t>
      </w:r>
    </w:p>
    <w:p>
      <w:pPr>
        <w:spacing w:after="0" w:line="86" w:lineRule="exact"/>
        <w:rPr>
          <w:rFonts w:ascii="Arial" w:cs="Arial" w:eastAsia="Arial" w:hAnsi="Arial"/>
          <w:sz w:val="18"/>
          <w:szCs w:val="18"/>
          <w:color w:val="auto"/>
        </w:rPr>
      </w:pPr>
    </w:p>
    <w:p>
      <w:pPr>
        <w:ind w:left="340" w:right="160" w:hanging="224"/>
        <w:spacing w:after="0" w:line="24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transfers of shares of common stock or any security convertible into or exercisable or exchangeable for common stock that occurs by operation of law pursuant to a qualified domestic order or in connection with a divorce settlement; provided that any filing required by Section 16 of the Exchange Act shall clearly indicate in the footnotes thereto the nature and conditions of such transfer and that such transfer occurred by operation of law, court order, or in connection with a divorce settlement,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further that no other public announcement or filing shall be required or shall be voluntarily made during the restricted period;</w:t>
      </w:r>
    </w:p>
    <w:p>
      <w:pPr>
        <w:spacing w:after="0" w:line="86" w:lineRule="exact"/>
        <w:rPr>
          <w:rFonts w:ascii="Arial" w:cs="Arial" w:eastAsia="Arial" w:hAnsi="Arial"/>
          <w:sz w:val="18"/>
          <w:szCs w:val="18"/>
          <w:color w:val="auto"/>
        </w:rPr>
      </w:pPr>
    </w:p>
    <w:p>
      <w:pPr>
        <w:ind w:left="340" w:right="120" w:hanging="224"/>
        <w:spacing w:after="0" w:line="26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 the receipt by the lock-up party of shares of common stock upon the exercise, vesting or settlement of options, restricted stock units or other equity awards granted under a stock incentive plan or other equity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line="269" w:lineRule="auto"/>
        <w:rPr>
          <w:sz w:val="20"/>
          <w:szCs w:val="20"/>
          <w:color w:val="auto"/>
        </w:rPr>
      </w:pPr>
      <w:r>
        <w:rPr>
          <w:rFonts w:ascii="Arial" w:cs="Arial" w:eastAsia="Arial" w:hAnsi="Arial"/>
          <w:sz w:val="16"/>
          <w:szCs w:val="16"/>
          <w:color w:val="auto"/>
        </w:rPr>
        <w:t>award plan, which plan is described in this prospectus, or (2) the transfer of shares of common stock or any securities convertible into common stock to us upon a vesting or settlement event of our restricted stock units or other securities or upon the exercise of options to purchase our securities on a “cashless” or “net exercise” basis to the extent permitted by the instruments representing such options (and any transfer to us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us and our cancellation of all or a portion thereof to pay the exercise price and/or withholding tax and remittance obligations in connection with the vesting, settlement or exercise of the restricted stock unit, option or other equity award; provided that the shares received upon vesting, settlement or exercise of the restricted stock unit, option or other equity award are subject to a lock-up agreement with the underwriter, and that in the case of (1) or (2), any filing required under Section 16 of the Exchange Act to be made during the restricted period shall include a statement to the effect that (A) such transaction reflects the circumstances described in (1) or (2), as the case may be, (B) such transaction was only with the Company and</w:t>
      </w:r>
    </w:p>
    <w:p>
      <w:pPr>
        <w:spacing w:after="0" w:line="184" w:lineRule="exact"/>
        <w:rPr>
          <w:sz w:val="20"/>
          <w:szCs w:val="20"/>
          <w:color w:val="auto"/>
        </w:rPr>
      </w:pPr>
    </w:p>
    <w:p>
      <w:pPr>
        <w:ind w:left="340" w:right="140"/>
        <w:spacing w:after="0" w:line="243" w:lineRule="auto"/>
        <w:rPr>
          <w:sz w:val="20"/>
          <w:szCs w:val="20"/>
          <w:color w:val="auto"/>
        </w:rPr>
      </w:pPr>
      <w:r>
        <w:rPr>
          <w:rFonts w:ascii="Arial" w:cs="Arial" w:eastAsia="Arial" w:hAnsi="Arial"/>
          <w:sz w:val="18"/>
          <w:szCs w:val="18"/>
          <w:color w:val="auto"/>
        </w:rPr>
        <w:t>(C) in the case of (1) the shares of common stock received upon exercise or settlement of the option, restricted stock units or other equity awards are subject to the lock-up agreement with the underwriter;</w:t>
      </w:r>
    </w:p>
    <w:p>
      <w:pPr>
        <w:spacing w:after="0" w:line="85"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transfers to us of shares of common stock or any security convertible into or exercisable or exchangeable for common stock in connection with the repurchase by us from the lock-up party of shares of common stock or any security convertible into or exercisable or exchangeable for common stock pursuant to a repurchase right arising upon the termination of the lock-up party’s employment with us; provided that such repurchase right is pursuant to contractual agreements with us; provided further that any filing required by Section 16 of the Exchange Act shall clearly indicate in the footnotes thereto that the such transfer is being made pursuant to the circumstances described in this bullet point and that no shares or securities were sold by the reporting person; provided further that no other public announcement or filing shall be required or shall be voluntarily made during the restricted period;</w:t>
      </w:r>
    </w:p>
    <w:p>
      <w:pPr>
        <w:spacing w:after="0" w:line="90" w:lineRule="exact"/>
        <w:rPr>
          <w:rFonts w:ascii="Arial" w:cs="Arial" w:eastAsia="Arial" w:hAnsi="Arial"/>
          <w:sz w:val="18"/>
          <w:szCs w:val="18"/>
          <w:color w:val="auto"/>
        </w:rPr>
      </w:pPr>
    </w:p>
    <w:p>
      <w:pPr>
        <w:ind w:left="340" w:right="20" w:hanging="224"/>
        <w:spacing w:after="0" w:line="241"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pursuant to a bona fide third-party tender offer, merger, consolidation or other similar transaction that is approved by our board of directors, made to all holders of common stock involving a change of control of the Company which occurs after the consummation of this offering, is open to all holders of our capital stock and has been approved by our board of directors; provided that in the event that such tender offer, merger, consolidation or other such transaction is not completed, the securities held by the lock-up party shall remain subject to the provisions of the lock-up agreement;</w:t>
      </w:r>
    </w:p>
    <w:p>
      <w:pPr>
        <w:spacing w:after="0" w:line="89" w:lineRule="exact"/>
        <w:rPr>
          <w:rFonts w:ascii="Arial" w:cs="Arial" w:eastAsia="Arial" w:hAnsi="Arial"/>
          <w:sz w:val="18"/>
          <w:szCs w:val="18"/>
          <w:color w:val="auto"/>
        </w:rPr>
      </w:pPr>
    </w:p>
    <w:p>
      <w:pPr>
        <w:ind w:left="340" w:right="20" w:hanging="224"/>
        <w:spacing w:after="0" w:line="24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(such plan, a “10b5-1 Plan”) for the transfer of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such plan does not provide for the transfer of common stock during the restricted period and (2)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w:t>
      </w:r>
    </w:p>
    <w:p>
      <w:pPr>
        <w:spacing w:after="0" w:line="86" w:lineRule="exact"/>
        <w:rPr>
          <w:rFonts w:ascii="Arial" w:cs="Arial" w:eastAsia="Arial" w:hAnsi="Arial"/>
          <w:sz w:val="18"/>
          <w:szCs w:val="18"/>
          <w:color w:val="auto"/>
        </w:rPr>
      </w:pPr>
    </w:p>
    <w:p>
      <w:pPr>
        <w:ind w:left="340" w:right="40" w:hanging="224"/>
        <w:spacing w:after="0" w:line="25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transfers of shares of common stock under a 10b5-1 Plan that is existing as of the date of this prospectus, provided that to the extent a public announcement or filing under the Exchange Act is required of the lock-up party or us regarding the sale such announcement of filing shall include a statement to the effect that the sale occurred pursuant to such 10b5-1 Plan;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220" w:hanging="224"/>
        <w:spacing w:after="0" w:line="252"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conversion of outstanding Class B common stock into Class A common stock, provided that such shares of Class A common stock received upon conversion remain subject to the terms of the lock-up agreement; provided further that any filing required by Section 16 of the Exchange Act shall clearly indicate in the footnotes thereto the nature and conditions of such transfer.</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17" w:lineRule="exact"/>
        <w:rPr>
          <w:sz w:val="20"/>
          <w:szCs w:val="20"/>
          <w:color w:val="auto"/>
        </w:rPr>
      </w:pPr>
    </w:p>
    <w:p>
      <w:pPr>
        <w:ind w:left="340" w:hanging="224"/>
        <w:spacing w:after="0" w:line="26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the second through fourth bullets above, each donee, trustee, distributee or transferee shall sign and deliver a lock-up letter agreement; and</w:t>
      </w:r>
    </w:p>
    <w:p>
      <w:pPr>
        <w:spacing w:after="0" w:line="62" w:lineRule="exact"/>
        <w:rPr>
          <w:rFonts w:ascii="Arial" w:cs="Arial" w:eastAsia="Arial" w:hAnsi="Arial"/>
          <w:sz w:val="18"/>
          <w:szCs w:val="18"/>
          <w:color w:val="auto"/>
        </w:rPr>
      </w:pPr>
    </w:p>
    <w:p>
      <w:pPr>
        <w:ind w:left="340" w:right="220" w:hanging="224"/>
        <w:spacing w:after="0" w:line="252"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the second and third bullets above, (1) no public announcement or filing under Section 16 of the Exchange Act, or any other public filing or disclosure shall be required or shall be voluntarily made during the restricted period, and (2) such transfer or distribution shall not involve a disposition for value.</w:t>
      </w:r>
    </w:p>
    <w:p>
      <w:pPr>
        <w:spacing w:after="0" w:line="63" w:lineRule="exact"/>
        <w:rPr>
          <w:sz w:val="20"/>
          <w:szCs w:val="20"/>
          <w:color w:val="auto"/>
        </w:rPr>
      </w:pPr>
    </w:p>
    <w:p>
      <w:pPr>
        <w:ind w:left="120" w:right="340"/>
        <w:spacing w:after="0" w:line="269" w:lineRule="auto"/>
        <w:rPr>
          <w:sz w:val="20"/>
          <w:szCs w:val="20"/>
          <w:color w:val="auto"/>
        </w:rPr>
      </w:pPr>
      <w:r>
        <w:rPr>
          <w:rFonts w:ascii="Arial" w:cs="Arial" w:eastAsia="Arial" w:hAnsi="Arial"/>
          <w:sz w:val="18"/>
          <w:szCs w:val="18"/>
          <w:color w:val="auto"/>
        </w:rPr>
        <w:t>J.P. Morgan Securities LLC, in its sole discretion, may release the securities subject to any of the lock-up agreements described above, in whole or in part at any time with or without notice.</w:t>
      </w:r>
    </w:p>
    <w:p>
      <w:pPr>
        <w:spacing w:after="0" w:line="4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Record holders of our securities are typically the parties to the lock-up agreements with the underwriter with us referred to above, while holders of beneficial interests in our shares who are not also record holders in respect of such shares are not typically subject to any such agreements or other similar restrictions. Accordingly, we believe that certain holders of beneficial interests who are not record holders and are not bound by lock-up agreements could enter into transactions with respect to those beneficial interests that negatively impact our stock price. In addition, a shareholder who is not subject to a lock-up agreement with the underwriter may be able to sell, short sell, transfer, hedge, pledge, lend or otherwise dispose of or attempt to sell short sell, transfer, hedge, pledge, lend or otherwise dispose of, their equity interests at any time after the closing of this offering.</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of 1933.</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Class A common stock is listed on The Nasdaq Global Select Market under the symbol “ZM”.</w:t>
      </w:r>
    </w:p>
    <w:p>
      <w:pPr>
        <w:spacing w:after="0" w:line="10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connection with this offering, the underwriter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 may close out any covered short position either by exercising their option to purchase additional shares, in whole or in part, or by purchasing shares in the open market. In making this determination, the underwriter will consider, among other things, the price of shares available for purchase in the open market compared to the price at which the underwriter may purchase shares through the option to purchase additional shares. A naked short position is more likely to be created if the underwriter is concerned that there may be downward pressure on the price of the Class A common stock in the open market that could adversely affect investors who purchase in this offering. To the extent that the underwriter creates a naked short position, it will purchase shares in the open market to cover the position.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underwriter has advised us that, pursuant to Regulation M of the Securities Act of 1933, they may also engage in other activities that stabilize, maintain or otherwise affect the price of the Class A common stock, including the imposition of penalty bids. This means that if the representatives of the underwriter purchase Class A common stock in the open market in stabilizing transactions or to cover short sales, the representatives can require the underwriter that sold those shares as part of this offering to repay the underwriting discount received by them.</w:t>
      </w:r>
    </w:p>
    <w:p>
      <w:pPr>
        <w:spacing w:after="0" w:line="38"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 commences these activities, it may discontinue them at any time. The underwriter may carry out these transactions on The Nasdaq Global Select Market, in the over-the-counter market or otherwise.</w:t>
      </w:r>
    </w:p>
    <w:p>
      <w:pPr>
        <w:spacing w:after="0" w:line="6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In addition, in connection with this offering the underwriter (and selling group members)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1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Other than in the United States, no action has been taken by us or the underwriter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comes are advised to inform themselves about and to observe any restrictions relating to the offering and the distribution of this prospectus supplement and the accompanying prospectus. This prospectus supplement and the accompanying prospectus does not constitute an offer to sell or a solicitation of an offer to buy any securities offered by this prospectus supplement and the accompanying prospectus in any jurisdiction in which such an offer or a solicitation is unlawful.</w:t>
      </w:r>
    </w:p>
    <w:p>
      <w:pPr>
        <w:spacing w:after="0" w:line="80" w:lineRule="exact"/>
        <w:rPr>
          <w:sz w:val="20"/>
          <w:szCs w:val="20"/>
          <w:color w:val="auto"/>
        </w:rPr>
      </w:pPr>
    </w:p>
    <w:p>
      <w:pPr>
        <w:ind w:left="120" w:right="260"/>
        <w:spacing w:after="0" w:line="243" w:lineRule="auto"/>
        <w:rPr>
          <w:sz w:val="20"/>
          <w:szCs w:val="20"/>
          <w:color w:val="auto"/>
        </w:rPr>
      </w:pPr>
      <w:r>
        <w:rPr>
          <w:rFonts w:ascii="Arial" w:cs="Arial" w:eastAsia="Arial" w:hAnsi="Arial"/>
          <w:sz w:val="18"/>
          <w:szCs w:val="18"/>
          <w:color w:val="auto"/>
        </w:rPr>
        <w:t>The underwriter and its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04" w:lineRule="exact"/>
        <w:rPr>
          <w:sz w:val="20"/>
          <w:szCs w:val="20"/>
          <w:color w:val="auto"/>
        </w:rPr>
      </w:pPr>
    </w:p>
    <w:p>
      <w:pPr>
        <w:ind w:left="120" w:right="140"/>
        <w:spacing w:after="0" w:line="243" w:lineRule="auto"/>
        <w:rPr>
          <w:sz w:val="20"/>
          <w:szCs w:val="20"/>
          <w:color w:val="auto"/>
        </w:rPr>
      </w:pPr>
      <w:r>
        <w:rPr>
          <w:rFonts w:ascii="Arial" w:cs="Arial" w:eastAsia="Arial" w:hAnsi="Arial"/>
          <w:sz w:val="18"/>
          <w:szCs w:val="18"/>
          <w:color w:val="auto"/>
        </w:rPr>
        <w:t>The shares of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73" w:lineRule="exact"/>
        <w:rPr>
          <w:sz w:val="20"/>
          <w:szCs w:val="20"/>
          <w:color w:val="auto"/>
        </w:rPr>
      </w:pPr>
    </w:p>
    <w:p>
      <w:pPr>
        <w:ind w:left="120" w:right="100"/>
        <w:spacing w:after="0" w:line="24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3" w:lineRule="exact"/>
        <w:rPr>
          <w:sz w:val="20"/>
          <w:szCs w:val="20"/>
          <w:color w:val="auto"/>
        </w:rPr>
      </w:pPr>
    </w:p>
    <w:p>
      <w:pPr>
        <w:ind w:left="120" w:right="140"/>
        <w:spacing w:after="0" w:line="26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UK</w:t>
      </w:r>
    </w:p>
    <w:p>
      <w:pPr>
        <w:spacing w:after="0" w:line="104"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Class A common stock have been offered or will be offered pursuant to the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Class A common stock may be made to the public in that Relevant State at any time under the following exemptions under the Prospectus Regulation:</w:t>
      </w:r>
    </w:p>
    <w:p>
      <w:pPr>
        <w:spacing w:after="0" w:line="89"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540" w:right="600" w:hanging="424"/>
        <w:spacing w:after="0" w:line="26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 or</w:t>
      </w:r>
    </w:p>
    <w:p>
      <w:pPr>
        <w:spacing w:after="0" w:line="62"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0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of Class A common stock shall require us or the underwriter to publish a prospectus pursuant to Article 3</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Prospectus Regulation or supplement a prospectus pursuant to Article 23 of the Prospectus Regulation and each person who initially acquires any shares of Class A common stock or to whom any offer is made will be deemed to have represented, acknowledged and agreed to and with each of the underwriter and the Company that it is a “qualified investor” within the meaning of Article 2(e) of the Prospectus Regulation. In the case of any shares of Class A common stock being offered to a financial intermediary as that term is used in the Prospectus Regulation,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State to qualified investors as so defined or in circumstances in which the prior consent of the underwriter has been obtained to each such proposed offer or resale.</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100"/>
          </w:cols>
          <w:pgMar w:left="320" w:top="455" w:right="4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For the purposes of this provision, the expression an “offer to the public” in relation to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04"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Class A common stock in the United Kingdom within the meaning of the Financial Services and Markets Act 2000.</w:t>
      </w:r>
    </w:p>
    <w:p>
      <w:pPr>
        <w:spacing w:after="0" w:line="77" w:lineRule="exact"/>
        <w:rPr>
          <w:sz w:val="20"/>
          <w:szCs w:val="20"/>
          <w:color w:val="auto"/>
        </w:rPr>
      </w:pPr>
    </w:p>
    <w:p>
      <w:pPr>
        <w:jc w:val="both"/>
        <w:ind w:left="120" w:right="60"/>
        <w:spacing w:after="0" w:line="252"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04" w:lineRule="exact"/>
        <w:rPr>
          <w:sz w:val="20"/>
          <w:szCs w:val="20"/>
          <w:color w:val="auto"/>
        </w:rPr>
      </w:pPr>
    </w:p>
    <w:p>
      <w:pPr>
        <w:ind w:left="120" w:right="60"/>
        <w:spacing w:after="0" w:line="277" w:lineRule="auto"/>
        <w:rPr>
          <w:sz w:val="20"/>
          <w:szCs w:val="20"/>
          <w:color w:val="auto"/>
        </w:rPr>
      </w:pPr>
      <w:r>
        <w:rPr>
          <w:rFonts w:ascii="Arial" w:cs="Arial" w:eastAsia="Arial" w:hAnsi="Arial"/>
          <w:sz w:val="16"/>
          <w:szCs w:val="16"/>
          <w:color w:val="auto"/>
        </w:rPr>
        <w:t>The shares of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49"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 of Class A common stock.</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w:t>
      </w:r>
    </w:p>
    <w:p>
      <w:pPr>
        <w:spacing w:after="0" w:line="117" w:lineRule="exact"/>
        <w:rPr>
          <w:sz w:val="20"/>
          <w:szCs w:val="20"/>
          <w:color w:val="auto"/>
        </w:rPr>
      </w:pPr>
    </w:p>
    <w:p>
      <w:pPr>
        <w:ind w:left="340" w:hanging="224"/>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40" w:lineRule="exact"/>
        <w:rPr>
          <w:rFonts w:ascii="Arial" w:cs="Arial" w:eastAsia="Arial" w:hAnsi="Arial"/>
          <w:sz w:val="16"/>
          <w:szCs w:val="16"/>
          <w:color w:val="auto"/>
        </w:rPr>
      </w:pPr>
    </w:p>
    <w:p>
      <w:pPr>
        <w:ind w:left="340" w:right="40" w:hanging="224"/>
        <w:spacing w:after="0" w:line="252"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420" w:hanging="224"/>
        <w:spacing w:after="0" w:line="26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49"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4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sale of the shares of Class A common stock, offer, transfer, assign or otherwise alienate those shares of Class A common stock to investors in Australia except in circumstances where disclosure to investors is not required under Chapter 6D.2 of the Corporations Act or where a compliant disclosure document is prepared and lodged with ASIC.</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0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shares of Class A common stock have not been and will not be registered pursuant to Article 4, Paragraph 1 of the Financial Instruments and Exchange Act. Accordingly, none of the shares of Class A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0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shares of Class A common stock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the Class A common stock which are or are intended to be disposed of only to persons outside Hong Kong or only to “professional investors” as defined in the SFO and any rules made thereunder.</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100"/>
          </w:cols>
          <w:pgMar w:left="320" w:top="455" w:right="4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of Class A common stock or caused the shares of Class A common stock to be made the subject of an invitation for subscription or purchase and will not offer or sell any shares of Class A common stock or cause the shares of Class A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Class A common stock, whether directly or indirectly, to any person in Singapore other than:</w:t>
      </w:r>
    </w:p>
    <w:p>
      <w:pPr>
        <w:spacing w:after="0" w:line="90" w:lineRule="exact"/>
        <w:rPr>
          <w:sz w:val="20"/>
          <w:szCs w:val="20"/>
          <w:color w:val="auto"/>
        </w:rPr>
      </w:pPr>
    </w:p>
    <w:p>
      <w:pPr>
        <w:ind w:left="540" w:right="600" w:hanging="424"/>
        <w:spacing w:after="0" w:line="26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2" w:lineRule="exact"/>
        <w:rPr>
          <w:rFonts w:ascii="Arial" w:cs="Arial" w:eastAsia="Arial" w:hAnsi="Arial"/>
          <w:sz w:val="18"/>
          <w:szCs w:val="18"/>
          <w:color w:val="auto"/>
        </w:rPr>
      </w:pPr>
    </w:p>
    <w:p>
      <w:pPr>
        <w:ind w:left="540" w:right="700" w:hanging="424"/>
        <w:spacing w:after="0" w:line="26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2"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w:t>
      </w:r>
    </w:p>
    <w:p>
      <w:pPr>
        <w:spacing w:after="0" w:line="117" w:lineRule="exact"/>
        <w:rPr>
          <w:sz w:val="20"/>
          <w:szCs w:val="20"/>
          <w:color w:val="auto"/>
        </w:rPr>
      </w:pPr>
    </w:p>
    <w:p>
      <w:pPr>
        <w:ind w:left="540" w:right="540" w:hanging="424"/>
        <w:spacing w:after="0" w:line="333"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 w:lineRule="exact"/>
        <w:rPr>
          <w:rFonts w:ascii="Arial" w:cs="Arial" w:eastAsia="Arial" w:hAnsi="Arial"/>
          <w:sz w:val="16"/>
          <w:szCs w:val="16"/>
          <w:color w:val="auto"/>
        </w:rPr>
      </w:pPr>
    </w:p>
    <w:p>
      <w:pPr>
        <w:ind w:left="540" w:hanging="424"/>
        <w:spacing w:after="0" w:line="26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49" w:lineRule="exact"/>
        <w:rPr>
          <w:sz w:val="20"/>
          <w:szCs w:val="20"/>
          <w:color w:val="auto"/>
        </w:rPr>
      </w:pPr>
    </w:p>
    <w:p>
      <w:pPr>
        <w:ind w:left="120" w:right="180"/>
        <w:spacing w:after="0" w:line="252"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w:t>
      </w:r>
    </w:p>
    <w:p>
      <w:pPr>
        <w:spacing w:after="0" w:line="77" w:lineRule="exact"/>
        <w:rPr>
          <w:sz w:val="20"/>
          <w:szCs w:val="20"/>
          <w:color w:val="auto"/>
        </w:rPr>
      </w:pPr>
    </w:p>
    <w:p>
      <w:pPr>
        <w:ind w:left="540" w:right="60" w:hanging="424"/>
        <w:spacing w:after="0" w:line="26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 (i)(B) of the SFA;</w:t>
      </w:r>
    </w:p>
    <w:p>
      <w:pPr>
        <w:spacing w:after="0" w:line="62"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540" w:right="580" w:hanging="424"/>
        <w:spacing w:after="0" w:line="26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49"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100"/>
          </w:cols>
          <w:pgMar w:left="320" w:top="455" w:right="4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04"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This prospectus will not be circulated or distributed in the PRC and the shares of Class A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0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04"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8"/>
          <w:szCs w:val="18"/>
          <w:color w:val="auto"/>
        </w:rPr>
        <w:t>subscription or purchase, invitation to subscribe for or purchase any securities requiring the registration of a prospectus with the Commission under the Capital Markets and Services Act 2007.</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04"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10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77" w:lineRule="exact"/>
        <w:rPr>
          <w:sz w:val="20"/>
          <w:szCs w:val="20"/>
          <w:color w:val="auto"/>
        </w:rPr>
      </w:pPr>
    </w:p>
    <w:p>
      <w:pPr>
        <w:jc w:val="both"/>
        <w:ind w:left="120" w:right="60"/>
        <w:spacing w:after="0" w:line="252"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04"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100"/>
          </w:cols>
          <w:pgMar w:left="320" w:top="455" w:right="4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04" w:lineRule="exact"/>
        <w:rPr>
          <w:sz w:val="20"/>
          <w:szCs w:val="20"/>
          <w:color w:val="auto"/>
        </w:rPr>
      </w:pPr>
    </w:p>
    <w:p>
      <w:pPr>
        <w:ind w:left="120" w:right="60"/>
        <w:spacing w:after="0" w:line="298" w:lineRule="auto"/>
        <w:rPr>
          <w:sz w:val="20"/>
          <w:szCs w:val="20"/>
          <w:color w:val="auto"/>
        </w:rPr>
      </w:pPr>
      <w:r>
        <w:rPr>
          <w:rFonts w:ascii="Arial" w:cs="Arial" w:eastAsia="Arial" w:hAnsi="Arial"/>
          <w:sz w:val="16"/>
          <w:szCs w:val="16"/>
          <w:color w:val="auto"/>
        </w:rPr>
        <w:t>Shares of Class A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04"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shares of Class A common stock are not being, and may not be offered to the public or to any person in the British Virgin Islands for purchase or subscription by or on behalf of the company. The shares of Class A common stock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04"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Due to restrictions under the securities laws of South Africa, no “</w:t>
      </w:r>
      <w:r>
        <w:rPr>
          <w:rFonts w:ascii="Arial" w:cs="Arial" w:eastAsia="Arial" w:hAnsi="Arial"/>
          <w:sz w:val="16"/>
          <w:szCs w:val="16"/>
          <w:i w:val="1"/>
          <w:iCs w:val="1"/>
          <w:color w:val="auto"/>
        </w:rPr>
        <w:t>offer to the public</w:t>
      </w:r>
      <w:r>
        <w:rPr>
          <w:rFonts w:ascii="Arial" w:cs="Arial" w:eastAsia="Arial" w:hAnsi="Arial"/>
          <w:sz w:val="16"/>
          <w:szCs w:val="16"/>
          <w:color w:val="auto"/>
        </w:rPr>
        <w:t>” (as such term is defined in the South African Companies Act, No. 71 of 2008 (as amended or re-enacted) (the “South African Companies Act”))is being made in connection with the issue of the shares of Class A common stock in South Africa. Accordingly, this document does not, nor is it intended to, constitute a “</w:t>
      </w:r>
      <w:r>
        <w:rPr>
          <w:rFonts w:ascii="Arial" w:cs="Arial" w:eastAsia="Arial" w:hAnsi="Arial"/>
          <w:sz w:val="16"/>
          <w:szCs w:val="16"/>
          <w:i w:val="1"/>
          <w:iCs w:val="1"/>
          <w:color w:val="auto"/>
        </w:rPr>
        <w:t>registered prospectus</w:t>
      </w:r>
      <w:r>
        <w:rPr>
          <w:rFonts w:ascii="Arial" w:cs="Arial" w:eastAsia="Arial" w:hAnsi="Arial"/>
          <w:sz w:val="16"/>
          <w:szCs w:val="16"/>
          <w:color w:val="auto"/>
        </w:rPr>
        <w:t xml:space="preserve"> ”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w:t>
      </w:r>
    </w:p>
    <w:p>
      <w:pPr>
        <w:spacing w:after="0" w:line="63"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w:t>
      </w:r>
    </w:p>
    <w:p>
      <w:pPr>
        <w:spacing w:after="0" w:line="117" w:lineRule="exact"/>
        <w:rPr>
          <w:rFonts w:ascii="Arial" w:cs="Arial" w:eastAsia="Arial" w:hAnsi="Arial"/>
          <w:sz w:val="18"/>
          <w:szCs w:val="18"/>
          <w:color w:val="auto"/>
        </w:rPr>
      </w:pPr>
    </w:p>
    <w:p>
      <w:pPr>
        <w:ind w:left="1200" w:hanging="652"/>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17" w:lineRule="exact"/>
        <w:rPr>
          <w:rFonts w:ascii="Arial" w:cs="Arial" w:eastAsia="Arial" w:hAnsi="Arial"/>
          <w:sz w:val="18"/>
          <w:szCs w:val="18"/>
          <w:color w:val="auto"/>
        </w:rPr>
      </w:pPr>
    </w:p>
    <w:p>
      <w:pPr>
        <w:ind w:left="1200" w:hanging="652"/>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17" w:lineRule="exact"/>
        <w:rPr>
          <w:rFonts w:ascii="Arial" w:cs="Arial" w:eastAsia="Arial" w:hAnsi="Arial"/>
          <w:sz w:val="18"/>
          <w:szCs w:val="18"/>
          <w:color w:val="auto"/>
        </w:rPr>
      </w:pPr>
    </w:p>
    <w:p>
      <w:pPr>
        <w:ind w:left="1200" w:hanging="652"/>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17" w:lineRule="exact"/>
        <w:rPr>
          <w:rFonts w:ascii="Arial" w:cs="Arial" w:eastAsia="Arial" w:hAnsi="Arial"/>
          <w:sz w:val="18"/>
          <w:szCs w:val="18"/>
          <w:color w:val="auto"/>
        </w:rPr>
      </w:pPr>
    </w:p>
    <w:p>
      <w:pPr>
        <w:ind w:left="1200" w:hanging="652"/>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17" w:lineRule="exact"/>
        <w:rPr>
          <w:rFonts w:ascii="Arial" w:cs="Arial" w:eastAsia="Arial" w:hAnsi="Arial"/>
          <w:sz w:val="18"/>
          <w:szCs w:val="18"/>
          <w:color w:val="auto"/>
        </w:rPr>
      </w:pPr>
    </w:p>
    <w:p>
      <w:pPr>
        <w:ind w:left="1200" w:hanging="652"/>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17" w:lineRule="exact"/>
        <w:rPr>
          <w:rFonts w:ascii="Arial" w:cs="Arial" w:eastAsia="Arial" w:hAnsi="Arial"/>
          <w:sz w:val="18"/>
          <w:szCs w:val="18"/>
          <w:color w:val="auto"/>
        </w:rPr>
      </w:pPr>
    </w:p>
    <w:p>
      <w:pPr>
        <w:ind w:left="1200" w:hanging="652"/>
        <w:spacing w:after="0" w:line="252" w:lineRule="auto"/>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77" w:lineRule="exact"/>
        <w:rPr>
          <w:rFonts w:ascii="Arial" w:cs="Arial" w:eastAsia="Arial" w:hAnsi="Arial"/>
          <w:sz w:val="18"/>
          <w:szCs w:val="18"/>
          <w:color w:val="auto"/>
        </w:rPr>
      </w:pPr>
    </w:p>
    <w:p>
      <w:pPr>
        <w:ind w:left="1200" w:hanging="652"/>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17" w:lineRule="exact"/>
        <w:rPr>
          <w:rFonts w:ascii="Arial" w:cs="Arial" w:eastAsia="Arial" w:hAnsi="Arial"/>
          <w:sz w:val="18"/>
          <w:szCs w:val="18"/>
          <w:color w:val="auto"/>
        </w:rPr>
      </w:pPr>
    </w:p>
    <w:p>
      <w:pPr>
        <w:ind w:left="540" w:right="120" w:hanging="424"/>
        <w:spacing w:after="0" w:line="252"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63" w:lineRule="exact"/>
        <w:rPr>
          <w:sz w:val="20"/>
          <w:szCs w:val="20"/>
          <w:color w:val="auto"/>
        </w:rPr>
      </w:pPr>
    </w:p>
    <w:p>
      <w:pPr>
        <w:ind w:left="120" w:right="320"/>
        <w:spacing w:after="0" w:line="269"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Chile</w:t>
      </w:r>
    </w:p>
    <w:p>
      <w:pPr>
        <w:spacing w:after="0" w:line="104" w:lineRule="exact"/>
        <w:rPr>
          <w:sz w:val="20"/>
          <w:szCs w:val="20"/>
          <w:color w:val="auto"/>
        </w:rPr>
      </w:pPr>
    </w:p>
    <w:p>
      <w:pPr>
        <w:ind w:left="120" w:right="240"/>
        <w:spacing w:after="0" w:line="243" w:lineRule="auto"/>
        <w:rPr>
          <w:sz w:val="20"/>
          <w:szCs w:val="20"/>
          <w:color w:val="auto"/>
        </w:rPr>
      </w:pPr>
      <w:r>
        <w:rPr>
          <w:rFonts w:ascii="Arial" w:cs="Arial" w:eastAsia="Arial" w:hAnsi="Arial"/>
          <w:sz w:val="18"/>
          <w:szCs w:val="18"/>
          <w:color w:val="auto"/>
        </w:rPr>
        <w:t>THESE SECURITIES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73" w:lineRule="exact"/>
        <w:rPr>
          <w:sz w:val="20"/>
          <w:szCs w:val="20"/>
          <w:color w:val="auto"/>
        </w:rPr>
      </w:pPr>
    </w:p>
    <w:p>
      <w:pPr>
        <w:ind w:left="120" w:right="340"/>
        <w:spacing w:after="0" w:line="269" w:lineRule="auto"/>
        <w:rPr>
          <w:sz w:val="20"/>
          <w:szCs w:val="20"/>
          <w:color w:val="auto"/>
        </w:rPr>
      </w:pPr>
      <w:r>
        <w:rPr>
          <w:rFonts w:ascii="Arial" w:cs="Arial" w:eastAsia="Arial" w:hAnsi="Arial"/>
          <w:sz w:val="18"/>
          <w:szCs w:val="18"/>
          <w:color w:val="auto"/>
        </w:rPr>
        <w:t>PURSUANT TO RULE 336 THE FOLLOWING INFORMATION IS PROVIDED IN CHILE TO PROSPECTIVE RESIDENT INVESTORS IN THE OFFERED SECURITIES:</w:t>
      </w:r>
    </w:p>
    <w:p>
      <w:pPr>
        <w:spacing w:after="0" w:line="63"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INITIATION OF THE OFFER IN CHILE IS JANUARY 12, 2021.</w:t>
      </w:r>
    </w:p>
    <w:p>
      <w:pPr>
        <w:spacing w:after="0" w:line="117" w:lineRule="exact"/>
        <w:rPr>
          <w:rFonts w:ascii="Arial" w:cs="Arial" w:eastAsia="Arial" w:hAnsi="Arial"/>
          <w:sz w:val="18"/>
          <w:szCs w:val="18"/>
          <w:color w:val="auto"/>
        </w:rPr>
      </w:pPr>
    </w:p>
    <w:p>
      <w:pPr>
        <w:ind w:left="540" w:right="140" w:hanging="424"/>
        <w:spacing w:after="0" w:line="269"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 IS SUBJECT TO NCG 336 OF JUNE 27, 2012 ISSUED BY THE SUPERINTENDENCIA DE VALORES Y SEGUROS DE CHILE (SUPERINTENDENCY OF SECURITIES AND INSURANCE OF CHILE).</w:t>
      </w:r>
    </w:p>
    <w:p>
      <w:pPr>
        <w:spacing w:after="0" w:line="62" w:lineRule="exact"/>
        <w:rPr>
          <w:rFonts w:ascii="Arial" w:cs="Arial" w:eastAsia="Arial" w:hAnsi="Arial"/>
          <w:sz w:val="18"/>
          <w:szCs w:val="18"/>
          <w:color w:val="auto"/>
        </w:rPr>
      </w:pPr>
    </w:p>
    <w:p>
      <w:pPr>
        <w:ind w:left="540" w:hanging="424"/>
        <w:spacing w:after="0" w:line="333"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OFFER REFERS TO SECURITIES THAT ARE NOT REGISTERED IN THE REGISTRO DE VALORES (SECURITIES REGISTRY) OR THE REGISTRO DE VALORES EXTRANJEROS (FOREIGN SECURITIES REGISTRY) OF THE SVS AND THEREFORE:</w:t>
      </w:r>
    </w:p>
    <w:p>
      <w:pPr>
        <w:spacing w:after="0" w:line="15" w:lineRule="exact"/>
        <w:rPr>
          <w:rFonts w:ascii="Arial" w:cs="Arial" w:eastAsia="Arial" w:hAnsi="Arial"/>
          <w:sz w:val="16"/>
          <w:szCs w:val="16"/>
          <w:color w:val="auto"/>
        </w:rPr>
      </w:pPr>
    </w:p>
    <w:p>
      <w:pPr>
        <w:ind w:left="1080" w:hanging="532"/>
        <w:spacing w:after="0"/>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SECURITIES ARE NOT SUBJECT TO THE OVERSIGHT OF THE SVS; AND</w:t>
      </w:r>
    </w:p>
    <w:p>
      <w:pPr>
        <w:spacing w:after="0" w:line="117" w:lineRule="exact"/>
        <w:rPr>
          <w:rFonts w:ascii="Arial" w:cs="Arial" w:eastAsia="Arial" w:hAnsi="Arial"/>
          <w:sz w:val="18"/>
          <w:szCs w:val="18"/>
          <w:color w:val="auto"/>
        </w:rPr>
      </w:pPr>
    </w:p>
    <w:p>
      <w:pPr>
        <w:ind w:left="1080" w:right="860" w:hanging="532"/>
        <w:spacing w:after="0" w:line="269"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THERE ISSUER THEREOF IS NOT SUBJECT TO REPORTING OBLIGATION WITH RESPECT TO ITSELF OR THE OFFERED SECURITIES.</w:t>
      </w:r>
    </w:p>
    <w:p>
      <w:pPr>
        <w:spacing w:after="0" w:line="62" w:lineRule="exact"/>
        <w:rPr>
          <w:rFonts w:ascii="Arial" w:cs="Arial" w:eastAsia="Arial" w:hAnsi="Arial"/>
          <w:sz w:val="18"/>
          <w:szCs w:val="18"/>
          <w:color w:val="auto"/>
        </w:rPr>
      </w:pPr>
    </w:p>
    <w:p>
      <w:pPr>
        <w:ind w:left="540" w:right="980" w:hanging="424"/>
        <w:spacing w:after="0" w:line="269"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SECURITIES MAY NOT BE PUBLICLY OFFERED IN CHILE UNLESS AND UNTIL THEY ARE REGISTERED IN THE SECURITIES REGISTRY OF THE SVS.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INFORMACIÓN A LOS INVERSIONISTAS RESIDENTES EN CHILE</w:t>
      </w:r>
    </w:p>
    <w:p>
      <w:pPr>
        <w:spacing w:after="0" w:line="116" w:lineRule="exact"/>
        <w:rPr>
          <w:sz w:val="20"/>
          <w:szCs w:val="20"/>
          <w:color w:val="auto"/>
        </w:rPr>
      </w:pPr>
    </w:p>
    <w:p>
      <w:pPr>
        <w:ind w:left="120" w:right="120"/>
        <w:spacing w:after="0" w:line="278" w:lineRule="auto"/>
        <w:rPr>
          <w:sz w:val="20"/>
          <w:szCs w:val="20"/>
          <w:color w:val="auto"/>
        </w:rPr>
      </w:pPr>
      <w:r>
        <w:rPr>
          <w:rFonts w:ascii="Arial" w:cs="Arial" w:eastAsia="Arial" w:hAnsi="Arial"/>
          <w:sz w:val="16"/>
          <w:szCs w:val="16"/>
          <w:color w:val="auto"/>
        </w:rPr>
        <w:t>LOS VALORES OBJETO DE ESTA OFERTA SE OFRECEN PRIVADAMENTE EN CHILE DE CONFORMIDAD CON LAS DISPOSICIONES DE LA LEY N° 18.045 DE MERCADO DE VALORES, Y LA NORMA DE CARÁCTER GENERAL N° 336 DE 27 DE JUNIO DE 2012 (“NCG</w:t>
      </w:r>
    </w:p>
    <w:p>
      <w:pPr>
        <w:spacing w:after="0" w:line="1"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336”) EMITIDA POR LA SUPERINTENDENCIA DE VALORES Y SEGUROS DE CHILE, A LOS “INVERSIONISTAS CALIFICADOS” QUE ENUMERA LA NCG 336 Y QUE SE DEFINEN EN LA NORMA DE CARÁCTER GENERAL N° 216 DE 12 DE JUNIO DE 2008 EMITIDA POR LA MISMA SUPERINTENDENCIA.</w:t>
      </w:r>
    </w:p>
    <w:p>
      <w:pPr>
        <w:spacing w:after="0" w:line="75" w:lineRule="exact"/>
        <w:rPr>
          <w:sz w:val="20"/>
          <w:szCs w:val="20"/>
          <w:color w:val="auto"/>
        </w:rPr>
      </w:pPr>
    </w:p>
    <w:p>
      <w:pPr>
        <w:ind w:left="120" w:right="420"/>
        <w:spacing w:after="0" w:line="269" w:lineRule="auto"/>
        <w:rPr>
          <w:sz w:val="20"/>
          <w:szCs w:val="20"/>
          <w:color w:val="auto"/>
        </w:rPr>
      </w:pPr>
      <w:r>
        <w:rPr>
          <w:rFonts w:ascii="Arial" w:cs="Arial" w:eastAsia="Arial" w:hAnsi="Arial"/>
          <w:sz w:val="18"/>
          <w:szCs w:val="18"/>
          <w:color w:val="auto"/>
        </w:rPr>
        <w:t>EN CUMPLIMIENTO DE LA NCG 336, LA SIGUIENTE INFORMACIÓN SE PROPORCIONA A LOS POTENCIALES INVERSIONISTAS RESIDENTES EN CHILE:</w:t>
      </w:r>
    </w:p>
    <w:p>
      <w:pPr>
        <w:spacing w:after="0" w:line="63"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 OFERTA DE ESTOS VALORES EN CHILE COMIENZA EL DÍA 12 DE ENERO DE 2021.</w:t>
      </w:r>
    </w:p>
    <w:p>
      <w:pPr>
        <w:spacing w:after="0" w:line="117" w:lineRule="exact"/>
        <w:rPr>
          <w:rFonts w:ascii="Arial" w:cs="Arial" w:eastAsia="Arial" w:hAnsi="Arial"/>
          <w:sz w:val="18"/>
          <w:szCs w:val="18"/>
          <w:color w:val="auto"/>
        </w:rPr>
      </w:pPr>
    </w:p>
    <w:p>
      <w:pPr>
        <w:ind w:left="540" w:right="1360" w:hanging="424"/>
        <w:spacing w:after="0" w:line="26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 OFERTA SE ENCUENTRA ACOGIDA A LA NCG 336 DE FECHA ECHA 27 DE JUNIO DE 2012 EMITIDA POR LA SUPERINTENDENCIA DE VALORES Y SEGUROS.</w:t>
      </w:r>
    </w:p>
    <w:p>
      <w:pPr>
        <w:spacing w:after="0" w:line="62" w:lineRule="exact"/>
        <w:rPr>
          <w:rFonts w:ascii="Arial" w:cs="Arial" w:eastAsia="Arial" w:hAnsi="Arial"/>
          <w:sz w:val="18"/>
          <w:szCs w:val="18"/>
          <w:color w:val="auto"/>
        </w:rPr>
      </w:pPr>
    </w:p>
    <w:p>
      <w:pPr>
        <w:ind w:left="540" w:right="540" w:hanging="424"/>
        <w:spacing w:after="0" w:line="333"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LA OFERTA VERSA SOBRE VALORES QUE NO SE ENCUENTRAN INSCRITOS EN EL REGISTRO DE VALORES NI EN EL REGISTRO DE VALORES EXTRANJEROS QUE LLEVA LA SUPERINTENDENCIA DE VALORES Y SEGUROS, POR LO QUE:</w:t>
      </w:r>
    </w:p>
    <w:p>
      <w:pPr>
        <w:spacing w:after="0" w:line="15" w:lineRule="exact"/>
        <w:rPr>
          <w:rFonts w:ascii="Arial" w:cs="Arial" w:eastAsia="Arial" w:hAnsi="Arial"/>
          <w:sz w:val="16"/>
          <w:szCs w:val="16"/>
          <w:color w:val="auto"/>
        </w:rPr>
      </w:pPr>
    </w:p>
    <w:p>
      <w:pPr>
        <w:ind w:left="1080" w:hanging="532"/>
        <w:spacing w:after="0"/>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LOS VALORES NO ESTÁN SUJETOS A LA FISCALIZACIÓN DE ESA SUPERINTENDENCIA; Y</w:t>
      </w:r>
    </w:p>
    <w:p>
      <w:pPr>
        <w:spacing w:after="0" w:line="117" w:lineRule="exact"/>
        <w:rPr>
          <w:rFonts w:ascii="Arial" w:cs="Arial" w:eastAsia="Arial" w:hAnsi="Arial"/>
          <w:sz w:val="18"/>
          <w:szCs w:val="18"/>
          <w:color w:val="auto"/>
        </w:rPr>
      </w:pPr>
    </w:p>
    <w:p>
      <w:pPr>
        <w:ind w:left="1080" w:right="320" w:hanging="532"/>
        <w:spacing w:after="0" w:line="269" w:lineRule="auto"/>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EL EMISOR DE LOS VALORES NO ESTÁ SUJETO A LA OBLIGACIÓN DE ENTREGAR INFORMACIÓN PÚBLICA SOBRE LOS VALORES OFRECIDOS NI SU EMISOR.</w:t>
      </w:r>
    </w:p>
    <w:p>
      <w:pPr>
        <w:spacing w:after="0" w:line="62" w:lineRule="exact"/>
        <w:rPr>
          <w:rFonts w:ascii="Arial" w:cs="Arial" w:eastAsia="Arial" w:hAnsi="Arial"/>
          <w:sz w:val="18"/>
          <w:szCs w:val="18"/>
          <w:color w:val="auto"/>
        </w:rPr>
      </w:pPr>
    </w:p>
    <w:p>
      <w:pPr>
        <w:ind w:left="540" w:right="80" w:hanging="424"/>
        <w:spacing w:after="0" w:line="26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 VALORES PRIVADAMENTE OFRECIDOS NO PODRÁN SER OBJETO DE OFERTA PÚBLICA EN CHILE MIENTRAS NO SEAN INSCRITOS EN EL REGISTRO DE VALORES CORRESPONDIENTE.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Brazil</w:t>
      </w:r>
    </w:p>
    <w:p>
      <w:pPr>
        <w:spacing w:after="0" w:line="104"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The shares have not been, and will not be, registered with the Brazilian Securities Commission (Comissão de Valores Mobiliários), or the CVM. The shares may not be offered or sold in Brazil, except in circumstances that do not constitute a public offering or unauthorized distribution under Brazilian laws and regulations. The shares are not being offered into Brazil. Documents relating to the offering of the shares, as well as information contained therein, may not be supplied to the public in Brazil, nor be used in connection with any public offer for subscription or sale of the shares to the public in Brazil.</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04" w:lineRule="exact"/>
        <w:rPr>
          <w:sz w:val="20"/>
          <w:szCs w:val="20"/>
          <w:color w:val="auto"/>
        </w:rPr>
      </w:pPr>
    </w:p>
    <w:p>
      <w:pPr>
        <w:ind w:left="120" w:right="200"/>
        <w:spacing w:after="0" w:line="287" w:lineRule="auto"/>
        <w:rPr>
          <w:sz w:val="20"/>
          <w:szCs w:val="20"/>
          <w:color w:val="auto"/>
        </w:rPr>
      </w:pPr>
      <w:r>
        <w:rPr>
          <w:rFonts w:ascii="Arial" w:cs="Arial" w:eastAsia="Arial" w:hAnsi="Arial"/>
          <w:sz w:val="16"/>
          <w:szCs w:val="16"/>
          <w:color w:val="auto"/>
        </w:rPr>
        <w:t xml:space="preserve">Neither this document nor any other offering material relating to the shares described in this document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shares have not been offered or sold and will not be offered or sold, directly or indirectly, to the public in France. Neither this document nor any other offering material relating to the shares has been or will be:</w:t>
      </w:r>
    </w:p>
    <w:p>
      <w:pPr>
        <w:spacing w:after="0" w:line="51" w:lineRule="exact"/>
        <w:rPr>
          <w:sz w:val="20"/>
          <w:szCs w:val="20"/>
          <w:color w:val="auto"/>
        </w:rPr>
      </w:pPr>
    </w:p>
    <w:p>
      <w:pPr>
        <w:ind w:left="980" w:hanging="432"/>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17" w:lineRule="exact"/>
        <w:rPr>
          <w:sz w:val="20"/>
          <w:szCs w:val="20"/>
          <w:color w:val="auto"/>
        </w:rPr>
      </w:pPr>
    </w:p>
    <w:p>
      <w:pPr>
        <w:ind w:left="980" w:right="340" w:hanging="432"/>
        <w:spacing w:after="0" w:line="252"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xml:space="preserve">) or to a restricted circle of investors (cercle restreint d’investisseurs), in each case investing for their own account, all as defined in, and in accordance with articles L.411-2, D.411-1, D.411-2, D.734-1, D.744-1, D.754-1 and D.764-1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980" w:hanging="432"/>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17" w:lineRule="exact"/>
        <w:rPr>
          <w:rFonts w:ascii="Arial" w:cs="Arial" w:eastAsia="Arial" w:hAnsi="Arial"/>
          <w:sz w:val="18"/>
          <w:szCs w:val="18"/>
          <w:color w:val="auto"/>
        </w:rPr>
      </w:pPr>
    </w:p>
    <w:p>
      <w:pPr>
        <w:jc w:val="both"/>
        <w:ind w:left="980" w:hanging="432"/>
        <w:spacing w:after="0" w:line="252"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L.411-2-II-1° -or-2° -or 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appel</w:t>
      </w:r>
      <w:r>
        <w:rPr>
          <w:rFonts w:ascii="Arial" w:cs="Arial" w:eastAsia="Arial" w:hAnsi="Arial"/>
          <w:sz w:val="18"/>
          <w:szCs w:val="18"/>
          <w:color w:val="auto"/>
        </w:rPr>
        <w:t xml:space="preserve"> </w:t>
      </w:r>
      <w:r>
        <w:rPr>
          <w:rFonts w:ascii="Arial" w:cs="Arial" w:eastAsia="Arial" w:hAnsi="Arial"/>
          <w:sz w:val="18"/>
          <w:szCs w:val="18"/>
          <w:i w:val="1"/>
          <w:iCs w:val="1"/>
          <w:color w:val="auto"/>
        </w:rPr>
        <w:t>public à l’épargne</w:t>
      </w:r>
      <w:r>
        <w:rPr>
          <w:rFonts w:ascii="Arial" w:cs="Arial" w:eastAsia="Arial" w:hAnsi="Arial"/>
          <w:sz w:val="18"/>
          <w:szCs w:val="18"/>
          <w:color w:val="auto"/>
        </w:rPr>
        <w:t>).</w:t>
      </w:r>
    </w:p>
    <w:p>
      <w:pPr>
        <w:spacing w:after="0" w:line="63" w:lineRule="exact"/>
        <w:rPr>
          <w:sz w:val="20"/>
          <w:szCs w:val="20"/>
          <w:color w:val="auto"/>
        </w:rPr>
      </w:pPr>
    </w:p>
    <w:p>
      <w:pPr>
        <w:ind w:left="120"/>
        <w:spacing w:after="0" w:line="269"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 xml:space="preserve"> and the applicable regulations thereunder.</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Kuwait</w:t>
      </w:r>
    </w:p>
    <w:p>
      <w:pPr>
        <w:spacing w:after="0" w:line="104"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ordinary shares, these may not be marketed, offered for sale, nor sold in the State of Kuwait. Neither this document (including any related document), nor any of the information contained therein is intended to lead to the conclusion of any contract of whatsoever nature within Kuwait.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Qatar</w:t>
      </w:r>
    </w:p>
    <w:p>
      <w:pPr>
        <w:spacing w:after="0" w:line="104" w:lineRule="exact"/>
        <w:rPr>
          <w:sz w:val="20"/>
          <w:szCs w:val="20"/>
          <w:color w:val="auto"/>
        </w:rPr>
      </w:pPr>
    </w:p>
    <w:p>
      <w:pPr>
        <w:ind w:left="120" w:right="100"/>
        <w:spacing w:after="0" w:line="243" w:lineRule="auto"/>
        <w:rPr>
          <w:sz w:val="20"/>
          <w:szCs w:val="20"/>
          <w:color w:val="auto"/>
        </w:rPr>
      </w:pPr>
      <w:r>
        <w:rPr>
          <w:rFonts w:ascii="Arial" w:cs="Arial" w:eastAsia="Arial" w:hAnsi="Arial"/>
          <w:sz w:val="18"/>
          <w:szCs w:val="18"/>
          <w:color w:val="auto"/>
        </w:rPr>
        <w:t>The shares described in this document have not been, and will not be, offered, sold or delivered, at any time, directly or indirectly in the State of Qatar in a manner that would constitute a public offering. This document has not been, and will not be, registered with or approved by the Qatar Financial Markets Authority or Qatar Central Bank and may not be publicly distributed. This document is intended for the original recipient only and must not be provided to any other person. It is not for general circulation in the State of Qatar and may not be reproduced or used for any other purpose.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Legal matters</w:t>
      </w:r>
    </w:p>
    <w:p>
      <w:pPr>
        <w:spacing w:after="0" w:line="141" w:lineRule="exact"/>
        <w:rPr>
          <w:sz w:val="20"/>
          <w:szCs w:val="20"/>
          <w:color w:val="auto"/>
        </w:rPr>
      </w:pPr>
    </w:p>
    <w:p>
      <w:pPr>
        <w:ind w:left="120"/>
        <w:spacing w:after="0" w:line="333" w:lineRule="auto"/>
        <w:rPr>
          <w:sz w:val="20"/>
          <w:szCs w:val="20"/>
          <w:color w:val="auto"/>
        </w:rPr>
      </w:pPr>
      <w:r>
        <w:rPr>
          <w:rFonts w:ascii="Arial" w:cs="Arial" w:eastAsia="Arial" w:hAnsi="Arial"/>
          <w:sz w:val="16"/>
          <w:szCs w:val="16"/>
          <w:color w:val="auto"/>
        </w:rPr>
        <w:t>The validity of the shares of Class A common stock being offered by this prospectus will be passed upon for us by Cooley LLP, Palo Alto, California. Wilson Sonsini Goodrich &amp; Rosati, P.C., Palo Alto, California, is acting as counsel to the underwriter in connection with this offering.</w:t>
      </w:r>
    </w:p>
    <w:p>
      <w:pPr>
        <w:spacing w:after="0" w:line="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Experts</w:t>
      </w:r>
    </w:p>
    <w:p>
      <w:pPr>
        <w:spacing w:after="0" w:line="141"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consolidated financial statements of Zoom Video Communications, Inc. as of January 31, 2019 and 2020, and for each of the years in the three-year period ended January 31, 2020, have been incorporated by reference in this prospectus by reference to our 2020 Annual Report in reliance upon the report of KPMG LLP, independent registered public accounting firm, incorporated by reference herein and upon the authority of said firm as experts in accounting and auditing.</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report on the consolidated financial statements refers to the change in accounting for leases as of February 1, 2019.</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100"/>
          </w:cols>
          <w:pgMar w:left="320" w:top="455" w:right="4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Where you can find additional information</w:t>
      </w:r>
    </w:p>
    <w:p>
      <w:pPr>
        <w:spacing w:after="0" w:line="14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have filed with the Securities and Exchange Commission (“SEC”) a registration statement on Form S-3, including exhibits and schedules, under the Securities Act of 1933, as amended (the “Securities Act”), with respect to the shares of Class A common stock being offered by this prospectus supplement. This prospectus supplement, which constitutes part of the registration statement, does not contain all of the information in the registration statement and its exhibits. For further information with respect to us and the Class A common stock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104" w:lineRule="exact"/>
        <w:rPr>
          <w:sz w:val="20"/>
          <w:szCs w:val="20"/>
          <w:color w:val="auto"/>
        </w:rPr>
      </w:pPr>
    </w:p>
    <w:p>
      <w:pPr>
        <w:ind w:left="120" w:right="240"/>
        <w:spacing w:after="0" w:line="241" w:lineRule="auto"/>
        <w:rPr>
          <w:sz w:val="20"/>
          <w:szCs w:val="20"/>
          <w:color w:val="auto"/>
        </w:rPr>
      </w:pPr>
      <w:r>
        <w:rPr>
          <w:rFonts w:ascii="Arial" w:cs="Arial" w:eastAsia="Arial" w:hAnsi="Arial"/>
          <w:sz w:val="18"/>
          <w:szCs w:val="18"/>
          <w:color w:val="auto"/>
        </w:rPr>
        <w:t>We are subject to the information reporting requirements of the Securities Exchange Act of 1934, as amended, and we file reports, proxy statements and other information with the SEC. These reports, proxy statements and other information are available for inspection and copying at the website of the SEC referred to above. We also maintain a website at https://zoom.com,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The inclusion of our website address in this prospectus is an inactive textual reference only.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060"/>
          </w:cols>
          <w:pgMar w:left="320" w:top="455" w:right="51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Incorporation of certain information by reference</w:t>
      </w:r>
    </w:p>
    <w:p>
      <w:pPr>
        <w:spacing w:after="0" w:line="141"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The Securities and Exchange Commission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the SEC (File No. 001-38865)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63" w:lineRule="exact"/>
        <w:rPr>
          <w:sz w:val="20"/>
          <w:szCs w:val="20"/>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w:t>
      </w:r>
      <w:hyperlink r:id="rId107">
        <w:r>
          <w:rPr>
            <w:rFonts w:ascii="Arial" w:cs="Arial" w:eastAsia="Arial" w:hAnsi="Arial"/>
            <w:sz w:val="18"/>
            <w:szCs w:val="18"/>
            <w:u w:val="single" w:color="auto"/>
            <w:color w:val="0000EE"/>
          </w:rPr>
          <w:t>Annual Report on Form 10-K for the year ended January 31, 2020</w:t>
        </w:r>
      </w:hyperlink>
      <w:r>
        <w:rPr>
          <w:rFonts w:ascii="Arial" w:cs="Arial" w:eastAsia="Arial" w:hAnsi="Arial"/>
          <w:sz w:val="18"/>
          <w:szCs w:val="18"/>
          <w:color w:val="auto"/>
        </w:rPr>
        <w:t>, filed with the SEC on March 20, 2020;</w:t>
      </w:r>
    </w:p>
    <w:p>
      <w:pPr>
        <w:spacing w:after="0" w:line="117" w:lineRule="exact"/>
        <w:rPr>
          <w:rFonts w:ascii="Arial" w:cs="Arial" w:eastAsia="Arial" w:hAnsi="Arial"/>
          <w:sz w:val="18"/>
          <w:szCs w:val="18"/>
          <w:color w:val="auto"/>
        </w:rPr>
      </w:pPr>
    </w:p>
    <w:p>
      <w:pPr>
        <w:ind w:left="340" w:right="60" w:hanging="224"/>
        <w:spacing w:after="0" w:line="26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w:t>
      </w:r>
      <w:hyperlink r:id="rId108">
        <w:r>
          <w:rPr>
            <w:rFonts w:ascii="Arial" w:cs="Arial" w:eastAsia="Arial" w:hAnsi="Arial"/>
            <w:sz w:val="18"/>
            <w:szCs w:val="18"/>
            <w:u w:val="single" w:color="auto"/>
            <w:color w:val="0000EE"/>
          </w:rPr>
          <w:t>Definitive Proxy Statement on Schedule 14A</w:t>
        </w:r>
      </w:hyperlink>
      <w:r>
        <w:rPr>
          <w:rFonts w:ascii="Arial" w:cs="Arial" w:eastAsia="Arial" w:hAnsi="Arial"/>
          <w:sz w:val="18"/>
          <w:szCs w:val="18"/>
          <w:color w:val="auto"/>
        </w:rPr>
        <w:t>, filed with the SEC on May 7, 2020 (excluding those portions that are not incorporated by reference into our Annual Report on Form 10-K for the fiscal year ended January 31, 2020);</w:t>
      </w:r>
    </w:p>
    <w:p>
      <w:pPr>
        <w:spacing w:after="0" w:line="62"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w:t>
      </w:r>
      <w:hyperlink r:id="rId109">
        <w:r>
          <w:rPr>
            <w:rFonts w:ascii="Arial" w:cs="Arial" w:eastAsia="Arial" w:hAnsi="Arial"/>
            <w:sz w:val="18"/>
            <w:szCs w:val="18"/>
            <w:u w:val="single" w:color="auto"/>
            <w:color w:val="0000EE"/>
          </w:rPr>
          <w:t>Quarterly Report on Form 10-Q for the quarter ended April 30, 2020</w:t>
        </w:r>
      </w:hyperlink>
      <w:r>
        <w:rPr>
          <w:rFonts w:ascii="Arial" w:cs="Arial" w:eastAsia="Arial" w:hAnsi="Arial"/>
          <w:sz w:val="18"/>
          <w:szCs w:val="18"/>
          <w:color w:val="auto"/>
        </w:rPr>
        <w:t>, filed with the SEC on June 5, 2020;</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w:t>
      </w:r>
      <w:hyperlink r:id="rId110">
        <w:r>
          <w:rPr>
            <w:rFonts w:ascii="Arial" w:cs="Arial" w:eastAsia="Arial" w:hAnsi="Arial"/>
            <w:sz w:val="18"/>
            <w:szCs w:val="18"/>
            <w:u w:val="single" w:color="auto"/>
            <w:color w:val="0000EE"/>
          </w:rPr>
          <w:t>Quarterly Report on Form 10-Q for the quarter ended July 31, 2020</w:t>
        </w:r>
      </w:hyperlink>
      <w:r>
        <w:rPr>
          <w:rFonts w:ascii="Arial" w:cs="Arial" w:eastAsia="Arial" w:hAnsi="Arial"/>
          <w:sz w:val="18"/>
          <w:szCs w:val="18"/>
          <w:color w:val="auto"/>
        </w:rPr>
        <w:t>, filed with the SEC on September 3, 2020;</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w:t>
      </w:r>
      <w:hyperlink r:id="rId111">
        <w:r>
          <w:rPr>
            <w:rFonts w:ascii="Arial" w:cs="Arial" w:eastAsia="Arial" w:hAnsi="Arial"/>
            <w:sz w:val="18"/>
            <w:szCs w:val="18"/>
            <w:u w:val="single" w:color="auto"/>
            <w:color w:val="0000EE"/>
          </w:rPr>
          <w:t>Quarterly Report on Form 10-Q for the quarter ended October 31, 2020</w:t>
        </w:r>
      </w:hyperlink>
      <w:r>
        <w:rPr>
          <w:rFonts w:ascii="Arial" w:cs="Arial" w:eastAsia="Arial" w:hAnsi="Arial"/>
          <w:sz w:val="18"/>
          <w:szCs w:val="18"/>
          <w:color w:val="auto"/>
        </w:rPr>
        <w:t>, filed with the SEC on December 4, 2020;</w:t>
      </w:r>
    </w:p>
    <w:p>
      <w:pPr>
        <w:spacing w:after="0" w:line="117" w:lineRule="exact"/>
        <w:rPr>
          <w:rFonts w:ascii="Arial" w:cs="Arial" w:eastAsia="Arial" w:hAnsi="Arial"/>
          <w:sz w:val="18"/>
          <w:szCs w:val="18"/>
          <w:color w:val="auto"/>
        </w:rPr>
      </w:pPr>
    </w:p>
    <w:p>
      <w:pPr>
        <w:ind w:left="340" w:right="540" w:hanging="224"/>
        <w:spacing w:after="0" w:line="269" w:lineRule="auto"/>
        <w:tabs>
          <w:tab w:leader="none" w:pos="340" w:val="left"/>
        </w:tabs>
        <w:numPr>
          <w:ilvl w:val="0"/>
          <w:numId w:val="43"/>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112">
        <w:r>
          <w:rPr>
            <w:rFonts w:ascii="Arial" w:cs="Arial" w:eastAsia="Arial" w:hAnsi="Arial"/>
            <w:sz w:val="18"/>
            <w:szCs w:val="18"/>
            <w:u w:val="single" w:color="auto"/>
            <w:color w:val="0000EE"/>
          </w:rPr>
          <w:t>May 6, 2020</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EE"/>
          </w:rPr>
          <w:t>June 4,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on </w:t>
      </w:r>
      <w:hyperlink r:id="rId114">
        <w:r>
          <w:rPr>
            <w:rFonts w:ascii="Arial" w:cs="Arial" w:eastAsia="Arial" w:hAnsi="Arial"/>
            <w:sz w:val="18"/>
            <w:szCs w:val="18"/>
            <w:u w:val="single" w:color="auto"/>
            <w:color w:val="0000EE"/>
          </w:rPr>
          <w:t>July 24, 2020</w:t>
        </w:r>
      </w:hyperlink>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EE"/>
          </w:rPr>
          <w:t>June 24, 2020</w:t>
        </w:r>
      </w:hyperlink>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EE"/>
          </w:rPr>
          <w:t>September 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17">
        <w:r>
          <w:rPr>
            <w:rFonts w:ascii="Arial" w:cs="Arial" w:eastAsia="Arial" w:hAnsi="Arial"/>
            <w:sz w:val="18"/>
            <w:szCs w:val="18"/>
            <w:u w:val="single" w:color="auto"/>
            <w:color w:val="0000EE"/>
          </w:rPr>
          <w:t>November 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118">
        <w:r>
          <w:rPr>
            <w:rFonts w:ascii="Arial" w:cs="Arial" w:eastAsia="Arial" w:hAnsi="Arial"/>
            <w:sz w:val="18"/>
            <w:szCs w:val="18"/>
            <w:u w:val="single" w:color="auto"/>
            <w:color w:val="0000EE"/>
          </w:rPr>
          <w:t>December 18,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62" w:lineRule="exact"/>
        <w:rPr>
          <w:rFonts w:ascii="Arial" w:cs="Arial" w:eastAsia="Arial" w:hAnsi="Arial"/>
          <w:sz w:val="18"/>
          <w:szCs w:val="18"/>
          <w:color w:val="0000EE"/>
        </w:rPr>
      </w:pPr>
    </w:p>
    <w:p>
      <w:pPr>
        <w:ind w:left="340" w:right="500" w:hanging="224"/>
        <w:spacing w:after="0" w:line="26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description of our Class A common stock set forth in our registration statement on </w:t>
      </w:r>
      <w:hyperlink r:id="rId119">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April 8, 2019, including any amendments thereto or reports filed for the purposes of updating this description.</w:t>
      </w:r>
    </w:p>
    <w:p>
      <w:pPr>
        <w:spacing w:after="0" w:line="49" w:lineRule="exact"/>
        <w:rPr>
          <w:rFonts w:ascii="Arial" w:cs="Arial" w:eastAsia="Arial" w:hAnsi="Arial"/>
          <w:sz w:val="18"/>
          <w:szCs w:val="18"/>
          <w:color w:val="0000EE"/>
        </w:rPr>
      </w:pPr>
    </w:p>
    <w:p>
      <w:pPr>
        <w:ind w:left="120" w:right="160"/>
        <w:spacing w:after="0" w:line="252" w:lineRule="auto"/>
        <w:rPr>
          <w:sz w:val="20"/>
          <w:szCs w:val="20"/>
          <w:color w:val="auto"/>
        </w:rPr>
      </w:pPr>
      <w:r>
        <w:rPr>
          <w:rFonts w:ascii="Arial" w:cs="Arial" w:eastAsia="Arial" w:hAnsi="Arial"/>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 supplement and the accompanying prospectus.</w:t>
      </w:r>
    </w:p>
    <w:p>
      <w:pPr>
        <w:spacing w:after="0" w:line="64" w:lineRule="exact"/>
        <w:rPr>
          <w:rFonts w:ascii="Arial" w:cs="Arial" w:eastAsia="Arial" w:hAnsi="Arial"/>
          <w:sz w:val="18"/>
          <w:szCs w:val="18"/>
          <w:color w:val="0000EE"/>
        </w:rPr>
      </w:pPr>
    </w:p>
    <w:p>
      <w:pPr>
        <w:ind w:left="120" w:right="160"/>
        <w:spacing w:after="0" w:line="252" w:lineRule="auto"/>
        <w:rPr>
          <w:sz w:val="20"/>
          <w:szCs w:val="20"/>
          <w:color w:val="auto"/>
        </w:rPr>
      </w:pPr>
      <w:r>
        <w:rPr>
          <w:rFonts w:ascii="Arial" w:cs="Arial" w:eastAsia="Arial" w:hAnsi="Arial"/>
          <w:sz w:val="18"/>
          <w:szCs w:val="18"/>
          <w:color w:val="auto"/>
        </w:rPr>
        <w:t>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spacing w:after="0" w:line="63" w:lineRule="exact"/>
        <w:rPr>
          <w:rFonts w:ascii="Arial" w:cs="Arial" w:eastAsia="Arial" w:hAnsi="Arial"/>
          <w:sz w:val="18"/>
          <w:szCs w:val="18"/>
          <w:color w:val="0000EE"/>
        </w:rPr>
      </w:pPr>
    </w:p>
    <w:p>
      <w:pPr>
        <w:ind w:left="120"/>
        <w:spacing w:after="0"/>
        <w:rPr>
          <w:sz w:val="20"/>
          <w:szCs w:val="20"/>
          <w:color w:val="auto"/>
        </w:rPr>
      </w:pPr>
      <w:r>
        <w:rPr>
          <w:rFonts w:ascii="Arial" w:cs="Arial" w:eastAsia="Arial" w:hAnsi="Arial"/>
          <w:sz w:val="18"/>
          <w:szCs w:val="18"/>
          <w:color w:val="auto"/>
        </w:rPr>
        <w:t>You may also request a copy of these filings, at no cost, by writing or telephoning us at the following address or telephone number:</w:t>
      </w:r>
    </w:p>
    <w:p>
      <w:pPr>
        <w:spacing w:after="0" w:line="104"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Zoom Video Communications, Inc.</w:t>
      </w:r>
    </w:p>
    <w:p>
      <w:pPr>
        <w:spacing w:after="0" w:line="13"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55 Almaden Boulevard, 6th Floor</w:t>
      </w:r>
    </w:p>
    <w:p>
      <w:pPr>
        <w:jc w:val="center"/>
        <w:ind w:right="-159"/>
        <w:spacing w:after="0" w:line="234" w:lineRule="auto"/>
        <w:rPr>
          <w:sz w:val="20"/>
          <w:szCs w:val="20"/>
          <w:color w:val="auto"/>
        </w:rPr>
      </w:pPr>
      <w:r>
        <w:rPr>
          <w:rFonts w:ascii="Arial" w:cs="Arial" w:eastAsia="Arial" w:hAnsi="Arial"/>
          <w:sz w:val="18"/>
          <w:szCs w:val="18"/>
          <w:color w:val="auto"/>
        </w:rPr>
        <w:t>San Jose, California 95113</w:t>
      </w:r>
    </w:p>
    <w:p>
      <w:pPr>
        <w:spacing w:after="0" w:line="1"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(888) 799-9666</w:t>
      </w:r>
    </w:p>
    <w:p>
      <w:pPr>
        <w:spacing w:after="0" w:line="82" w:lineRule="exact"/>
        <w:rPr>
          <w:rFonts w:ascii="Arial" w:cs="Arial" w:eastAsia="Arial" w:hAnsi="Arial"/>
          <w:sz w:val="18"/>
          <w:szCs w:val="18"/>
          <w:color w:val="0000EE"/>
        </w:rPr>
      </w:pPr>
    </w:p>
    <w:p>
      <w:pPr>
        <w:ind w:left="120" w:right="200"/>
        <w:spacing w:after="0" w:line="252" w:lineRule="auto"/>
        <w:rPr>
          <w:sz w:val="20"/>
          <w:szCs w:val="20"/>
          <w:color w:val="auto"/>
        </w:rPr>
      </w:pPr>
      <w:r>
        <w:rPr>
          <w:rFonts w:ascii="Arial" w:cs="Arial" w:eastAsia="Arial" w:hAnsi="Arial"/>
          <w:sz w:val="18"/>
          <w:szCs w:val="18"/>
          <w:color w:val="auto"/>
        </w:rPr>
        <w:t>The information contained in, or that can be accessed through, our website is not part of, and is not incorporated into, this prospectus supplement and the accompanying prospectus. The inclusion of our website address in this prospectus supplement and the accompanying prospectus is an inactive textual reference only.</w:t>
      </w:r>
    </w:p>
    <w:p>
      <w:pPr>
        <w:spacing w:after="0" w:line="104"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080"/>
          </w:cols>
          <w:pgMar w:left="320" w:top="455" w:right="49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supplement and the accompanying prospectus will be deemed modified, superseded or replaced for purposes of this prospectus supplement and the accompanying prospectus to the extent that a statement contained in this prospectus supplement and the accompanying prospectus modifies, supersedes or replaces such statement.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173990</wp:posOffset>
            </wp:positionV>
            <wp:extent cx="1234440" cy="291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123444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From time to time, we or selling securityholders may offer and sell any combination of the securities described in this prospectus, either individually or in combination with other securities in one or more offerings. We or selling securityholders may also offer securities as may be issuable upon conversion, redemption, repurchase, exchange or exercise of any securities registered hereunder, including any applicable antidilution provisions.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or selling securityholders offer securities pursuant to this prospectus, we will provide specific terms of these offerings and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or Nasdaq, under the symbol “ZM.” On January 11, 2021, the last reported sale price of our Class A common stock was $337.71 per share. The applicable prospectus supplement will contain information, where applicable, as to any other listing on Nasdaq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20" w:right="12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heading “</w:t>
      </w:r>
      <w:hyperlink w:anchor="page96">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contained in the applicable prospectus supplement and any related free writing prospectus we have authorized for use in connection with a specific offering, and under similar headings in the other documents that are incorporated by reference into this prospectus.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options to purchase additional shares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spacing w:after="0" w:line="183"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an “emerging growth company” under the federal securities laws and are subject to reduced public company reporting requirements.</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12, 2021</w:t>
      </w:r>
    </w:p>
    <w:p>
      <w:pPr>
        <w:sectPr>
          <w:pgSz w:w="11900" w:h="16838" w:orient="portrait"/>
          <w:cols w:equalWidth="0" w:num="1">
            <w:col w:w="11120"/>
          </w:cols>
          <w:pgMar w:left="320" w:top="455"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ABOUT THIS PROSPECTUS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PROSPECTUS SUMMARY</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RISK FACTORS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SPECIAL NOTE REGARDING FORWARD-LOOKING STATEMENTS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USE OF PROCEEDS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DESCRIPTION OF CAPITAL STOCK</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DESCRIPTION OF DEBT SECURITIES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DESCRIPTION OF WARRANTS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LEGAL OWNERSHIP OF SECURITIES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SELLING SECURITYHOLDERS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PLAN OF DISTRIBUTION</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LEGAL MATTERS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EXPERTS</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WHERE YOU CAN FIND ADDITIONAL INFORMATION</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INCORPORATION OF CERTAIN INFORMATION BY REFERENCE</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Securities and Exchange Commission, or the SEC, utilizing a “shelf” registration process as a “well-known seasoned issuer” as defined in Rule 405 under the Securities Act of 1933, as amended, or the Securities Act. Under this shelf registration process, we or selling securityholders may offer and sell any combination of the securities described in this prospectus, either individually or in combination with other securities, in one or more offerings. There is no limit on the aggregate amount of the securities that we or selling securityholders may offer pursuant to the registration statement of which this prospectus is a part. This prospectus provides you with a general description of the securities we or selling securityholders may offer.</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Each time we or selling securityholders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If there is any inconsistency between the information in this prospectus and the applicable prospectus supplement or free writing prospectus, you should rely on the prospectus supplement or free writing prospectus, as applicable.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88"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does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spacing w:after="0" w:line="183"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the terms “Zoom,” “company,” “our,” “us,” and “we” in this prospectus refer to Zoom Video Communications, Inc. and where appropriate our consolidated subsidiaries. 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or incorporated by reference in this prospectus. This summary does not contain all of the information you should consider before investing in our securities. Before you decide to invest in our securities, you should carefully read the entire prospectus, the applicable prospectus supplement and any related free writing prospectus, including the section titled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the exhibits to the registration statement of which this prospectus is a part.</w:t>
      </w:r>
    </w:p>
    <w:p>
      <w:pPr>
        <w:spacing w:after="0" w:line="3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mission is to make video communications frictionless and secure.</w:t>
      </w:r>
    </w:p>
    <w:p>
      <w:pPr>
        <w:spacing w:after="0" w:line="225"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We provide a video-first unified communications platform that delivers happiness and fundamentally changes how people interact. We connect people through frictionless and secure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applications and physical spaces. We believe that rich and reliable communications lead to interactions that build greater empathy and trust. We strive to live up to the trust our customers place in us by delivering a communications solution that “just works” while prioritizing their privacy and security. Our goal is to make Zoom Meetings better than in-person meetings. Our 21 co-located data centers located worldwide and the public cloud enable us to provide both high-quality and high-definition, real-time video to our customers even in low-bandwidth environments.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Selected Risks Affecting Our Business</w:t>
      </w:r>
    </w:p>
    <w:p>
      <w:pPr>
        <w:spacing w:after="0" w:line="12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sections titled “Risk Factors,” “Selected Risks Affecting Our Business,” “Risk Factor Summary,” or similar title contained in our most recent Annual Report on Form 10-K, as may be updated by our subsequent Quarterly Reports on Form 10-Q and other filings we make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prospectus. 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677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300"/>
        <w:spacing w:after="0" w:line="266"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Jumpstart Our Business Startups Act (the “JOBS Act”) enacted in April 2012. An emerging growth company may take advantage of reduced reporting requirements that are otherwise applicable to public companies. These provisions include, but are not limited to:</w:t>
      </w:r>
    </w:p>
    <w:p>
      <w:pPr>
        <w:spacing w:after="0" w:line="81" w:lineRule="exact"/>
        <w:rPr>
          <w:sz w:val="20"/>
          <w:szCs w:val="20"/>
          <w:color w:val="auto"/>
        </w:rPr>
      </w:pPr>
    </w:p>
    <w:p>
      <w:pPr>
        <w:ind w:left="1240" w:right="380" w:hanging="415"/>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for a certain period of time with the auditor attestation requirements of Section 404 of the Sarbanes-Oxley Act of 2002, as amended;</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67"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stockholder advisory vote on executive compensation and any golden parachute payments not previously approved.</w:t>
      </w:r>
    </w:p>
    <w:p>
      <w:pPr>
        <w:spacing w:after="0" w:line="162"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the date of the first sale of our Class A common stock in our initial public offering. However, if certain events occur prior to the end of such five-year period, including if (i) we become a “large accelerated filer,” with at least $700 million of equity securities held by non-affiliates; (ii) our annual gross revenue exceeds $1.07 billion; or (iii) we issue more than $1.0 billion of non-convertible debt in any three-year period, we will cease to be an emerging growth company prior to the end of such five-year period. We currently anticipate that we will lose our “emerging growth company” status as of the end of the fiscal year ending January 31, 2021.</w:t>
      </w:r>
    </w:p>
    <w:p>
      <w:pPr>
        <w:spacing w:after="0" w:line="187" w:lineRule="exact"/>
        <w:rPr>
          <w:sz w:val="20"/>
          <w:szCs w:val="20"/>
          <w:color w:val="auto"/>
        </w:rPr>
      </w:pPr>
    </w:p>
    <w:p>
      <w:pPr>
        <w:ind w:left="300" w:right="280"/>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We or selling securityholders may offer shares of our Class A common stock and preferred stock, various series of debt securities and/or warrants to purchase any of such securities, either individually or in combination with other securities, from time to time under this prospectus, together with the applicable prospectus supplement and any related free writing prospectus, at prices and on terms to be determined at the time of any offering. We may also offer Class A common stock, preferred stock and/or debt securities upon the exercise of warrants.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94" w:lineRule="exact"/>
        <w:rPr>
          <w:sz w:val="20"/>
          <w:szCs w:val="20"/>
          <w:color w:val="auto"/>
        </w:rPr>
      </w:pPr>
    </w:p>
    <w:p>
      <w:pPr>
        <w:ind w:left="1240" w:hanging="415"/>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532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6998970" cy="6553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ind w:left="300" w:right="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62"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the securities directly to investors or to or through underwriters, dealers or agents. We, and our underwriters or agents, reserve the right to accept or reject all or part of any proposed purchase of securities. If we or selling securityholders do offer securities to or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the option to purchase additional shares or other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329" w:lineRule="exact"/>
        <w:rPr>
          <w:sz w:val="20"/>
          <w:szCs w:val="20"/>
          <w:color w:val="auto"/>
        </w:rPr>
      </w:pPr>
    </w:p>
    <w:p>
      <w:pPr>
        <w:ind w:left="300" w:right="14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This prospectus may not be used to consummate a sale of securities unless it is accompanied by a prospectus supplement. </w:t>
      </w:r>
      <w:r>
        <w:rPr>
          <w:rFonts w:ascii="Times New Roman" w:cs="Times New Roman" w:eastAsia="Times New Roman" w:hAnsi="Times New Roman"/>
          <w:sz w:val="18"/>
          <w:szCs w:val="18"/>
          <w:b w:val="1"/>
          <w:bCs w:val="1"/>
          <w:i w:val="1"/>
          <w:iCs w:val="1"/>
          <w:color w:val="auto"/>
        </w:rPr>
        <w:t>Class A Common Stock</w:t>
      </w:r>
    </w:p>
    <w:p>
      <w:pPr>
        <w:ind w:left="300"/>
        <w:spacing w:after="0" w:line="253" w:lineRule="auto"/>
        <w:rPr>
          <w:sz w:val="20"/>
          <w:szCs w:val="20"/>
          <w:color w:val="auto"/>
        </w:rPr>
      </w:pPr>
      <w:r>
        <w:rPr>
          <w:rFonts w:ascii="Times New Roman" w:cs="Times New Roman" w:eastAsia="Times New Roman" w:hAnsi="Times New Roman"/>
          <w:sz w:val="18"/>
          <w:szCs w:val="18"/>
          <w:color w:val="auto"/>
        </w:rPr>
        <w:t>We may issue shares of our Class A common stock from time to time. The holders of Class A common stock are entitled to one vote per share on all matters to be voted on by the stockholders. Subject to the preferences that may be applicable to any outstanding shares of preferred stock, the holders of Class A common stock and Class B common stock are entitled to receive ratably any dividends our board of directors declares out of funds legally available for the payment of dividends. If we are liquidated, dissolved or wound up, the holders of Class A common stock and Class B common stock are entitled to share pro rata all assets remaining after payment of liabilities and liquidation preferences of any outstanding shares of preferred stock. Holders of Class A common stock have no preemptive rights or rights to convert their Class A common stock into any other securities. There are no redemption or sinking fund provisions applicable to the Class A common stock. In this prospectus, we have summarized certain general features of the Class A common stock and Class B common stock under the heading “Description of Capital Stock— Class A and Class B Common Stock.” We urge you, however, to read the applicable prospectus supplement (and any related free writing prospectus that we may authorize to be provided to you) related to any Class A common stock being offered.</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board of directors will determine the designations, voting powers, preferences and rights of the preferred stock, as well as the</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qualifications, limitations or restrictions thereof, including dividend rights, conversion rights, preemptive rights, terms of redemption or repurchase, liquidation preferences, sinking fund terms and the number of shares constituting any series or the designation of any series, or the designation of such series, any or all of which may be greater than the rights of our Class A common stock or Class B common stock. Convertible preferred stock will be convertible into our Class A common stock or exchangeable for other securities. Conversion may be mandatory or at your option and would be at prescribed conversion rates.</w:t>
      </w:r>
    </w:p>
    <w:p>
      <w:pPr>
        <w:spacing w:after="0" w:line="183"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From time to time, we may issue debt securities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rates.</w:t>
      </w:r>
    </w:p>
    <w:p>
      <w:pPr>
        <w:spacing w:after="0" w:line="187"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any series of debt securities being offered, as well as the complete indenture(s) and any supplemental indentures that contain the terms of the debt securities. We have filed a form of indenture as an exhibit to the registration statement of which this prospectus is a part. We will file as exhibits to the registration statement of which this prospectus is a part, or will incorporate by reference from reports that we file with the SEC, supplemental indentures and forms of debt securities containing the terms of the debt securities being offered.</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12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Class A common stock, preferred stock and/or debt securities, in one or more series, from time to time. We may issue warrants independently or in combination with Class A common stock, preferred stock and/or debt securities.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any particular series of warrants being offered, as well as the complete warrant agreements and warrant certificates that contain the terms of the warrants. We have filed forms of the warrant agreements and forms of warrant certificates containing the terms of the warrants that we may offer as exhibits to the registration statement of which this prospectus is a part. We will file as exhibits to the registration statement of which this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1275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76"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Any warrants issued under this prospectus may be evidenced by warrant certificates. Warrants may be issued under a warrant agreement that we enter into with a warrant agent. We will indicate the name and address of the warrant agent, if applicable, in the prospectus supplement relating to the particular series of warrants being offered.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securities.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Information about selling securityholders, if any, will be set forth in a prospectus supplement. See “Selling Securityholders” in this prospectus.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intend to use the net proceeds for working capital and general corporate purposes, including sales and marketing activities, research and development activities, general and administrative matters, repayment of debt, other business opportunities and capital expenditures. We may also use a portion of the net proceeds to acquire or invest in businesses, products and technologies that are complementary to our own, although we have no current commitments or agreements with respect to any acquisitions or investments. See “Use of Proceeds” in this prospectus. Unless the applicable prospectus supplement provides otherwise, we will not receive any of the proceeds from the sale of our securities by selling securityholders.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Nasdaq Global Select Market Listing</w:t>
      </w:r>
    </w:p>
    <w:p>
      <w:pPr>
        <w:spacing w:after="0" w:line="121" w:lineRule="exact"/>
        <w:rPr>
          <w:sz w:val="20"/>
          <w:szCs w:val="20"/>
          <w:color w:val="auto"/>
        </w:rPr>
      </w:pPr>
    </w:p>
    <w:p>
      <w:pPr>
        <w:jc w:val="both"/>
        <w:ind w:left="300" w:right="44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“ZM.” The applicable prospectus supplement will contain information, where applicable, as to other listings, if any, on the Nasdaq Global Select Market or any other securities market or other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titled “Risk Factors” contained in our most recent Annual Report on Form 10-K, as may be updated by our subsequent Quarterly Reports on Form 10-Q and other filings we make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Additional Information” and “Incorporation of Certain Information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“Special Note Regarding Forward-Looking Statements.”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in this prospectus by reference, contain forward-looking statements. These statements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incorporated by reference from our most recent Annual Report on Form 10-K and our most recent Quarterly Report on Form 10-Q, as well as any amendments thereto, filed with the SEC.</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 “continue,” “could,” “design,” “due,” “estimate,” “expect,” “goal,” “intend,” “may,” “objective,” “plan,” “predict,” “project,” “positioned,” “potential,” “seek,” “should,” “target,” “will,” “would” or the negative or plural of those terms, and similar expressions intended to identify statements about the future, although not all forward-looking statements contain these words. These forward-looking statements involve known and unknown risks, uncertainties and other factors that may cause our actual results, levels of activity, performance or achievements to be materially different from the information expressed or implied by these statements.</w:t>
      </w:r>
    </w:p>
    <w:p>
      <w:pPr>
        <w:spacing w:after="0" w:line="187"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Forward-looking statements in this prospectus or incorporated herein by reference include, but are not limited to, statements about our future financial performance, including our revenue, cost of revenue, gross profit, margins, and operating expenses; market trends; trends in our key business metrics; the sufficiency of our cash and cash equivalents, investments, and cash provided by sales of our products and services to meet our efforts to enhance the security and privacy of our platform; our efforts to enhance the security and privacy of our platform; the potential impacts of the COVID-19 pandemic and related public health measures on our business, the business of our customers, suppliers and channel partners, and the economy; our liquidity needs; our ability to become the ubiquitous platform for communications; our ability to attract new customers and retain existing customers; our ability to successfully expand in our existing markets and into new markets; our ability to effectively manage our growth and future expenses; and the impact of recent accounting pronouncements on our unaudited condensed consolidated financial statements.</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You should refer to the “Risk Factors” section of this prospectus, applicable prospectus supplements, any related free writing prospectus that we may authorize to be provided to you, our most recent Annual Report on Form 10-K, and our most recent Quarterly Report on Form 10-Q, as updated by our subsequent filings,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intend to use the net proceeds from the sale of the securities offered hereby, if any, for working capital and general corporate purposes, including sales and marketing activities, research and development activities, general and administrative matters, repayment of debt, other business opportunities and capital expenditures. We may also use a portion of the net proceeds to acquire or invest in businesses, products and technologies that are complementary to our own, although we have no current commitments or agreements with respect to any acquisitions or investments. We will set forth in the applicable prospectus supplement or free writing prospectus our intended use for the net proceeds received from the sale of any securities sold pursuant to the applicable prospectus supplement or free writing prospectus.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provides otherwise, we will not receive any of the proceeds from the sale of our securities by selling securityholders.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rights of our common and preferred stock and some of the provisions of our amended and restated certificate of incorporation, amended and restated bylaws, and relevant provisions of Delaware General Corporation Law. The descriptions herein are qualified in their entirety by our amended and restated certificate of incorporation and amended and restated bylaws, copies of which have been filed as exhibits to our Annual Report on Form 10-K, as well as the relevant provisions of Delaware General Corporation Law.</w:t>
      </w:r>
    </w:p>
    <w:p>
      <w:pPr>
        <w:spacing w:after="0" w:line="180"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our board of directors.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authorized capital stock consists of the following shares, all with a par value of $0.001 per share, of which:</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2,000,000,000 shares are designated as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are designated as Class B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shares are designated as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and Class B Common Stock</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All issued and outstanding shares of our Class A common stock and Class B common stock are duly authorized, validly issued, fully paid and non-assessable. All authorized but unissued shares of our Class A common stock and Class B common stock are available for issuance by our board of directors without any further stockholder action, except as required by the listing standards of The Nasdaq Stock Market. Our amended and restated certificate of incorporation provides that, except with respect to voting rights and conversion rights, the Class A common stock and Class B common stock are treated equally and identically.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 Class A common stock or amend our certificate of incorporation to alter the powers, preferences or special rights of the common stock as a whole in a way that would adversely affect the holders of our Class A common stock.</w:t>
      </w:r>
    </w:p>
    <w:p>
      <w:pPr>
        <w:spacing w:after="0" w:line="18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8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number of authorized shares of preferred stock, Class A common stock or Class B common stock may be increased or decreased (but not below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number of shares of preferred stock, Class A common stock and Class B common stock then outstanding) by the affirmative vote of the holders of a majority of the outstanding voting power of all of our outstanding capital stock, voting together as a single class (i.e., without a separate class vote of the holders of either the Class A common stock or the Class B common stock). As a result, the holders of a majority of the outstanding Class B common stock, which is entitled to 10 votes per share,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cumulative voting for the election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Subdivisions and Combinations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Each share of our Class B common stock is convertible at any time at the option of the holder into one share of our Class A common stock. In addition, each share of our Class B common stock will convert automatically into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Eric S. Yuan, (ii) the date that is six months following the date that Mr.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Class A common stock and Class B common stock have no preemptive rights pursuant to the terms of our amended and restated certificate of incorporation and our amended and restated bylaws. There are no redemption or sinking fund provisions applicable to the Class A common stock and Class B common stock. All outstanding shares of our Class A common stock are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Dual Class Stock</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described above,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only by our chairperson of the board, chief executive officer, or by a resolution adopted by a majority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eliminate the right of stockholders to act by written consent without a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form, the Court of Chancery of the State of Delaware will be the sole and exclusive forum 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types of actions or proceedings under Delaware statutory or common law: (i) any derivative action or proceeding brought on our behalf;</w:t>
      </w:r>
    </w:p>
    <w:p>
      <w:pPr>
        <w:spacing w:after="0" w:line="27" w:lineRule="exact"/>
        <w:rPr>
          <w:sz w:val="20"/>
          <w:szCs w:val="20"/>
          <w:color w:val="auto"/>
        </w:rPr>
      </w:pPr>
    </w:p>
    <w:p>
      <w:pPr>
        <w:ind w:left="120" w:hanging="4"/>
        <w:spacing w:after="0" w:line="251" w:lineRule="auto"/>
        <w:tabs>
          <w:tab w:leader="none" w:pos="3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62"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and Class B common stock is Computershare Trust Company, N.A. The transfer agent and registrar’s address is 250 Royall Street, Canton, Massachusetts 02021.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“ZM.”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61"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15</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68"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5540" w:right="1420" w:hanging="4884"/>
        <w:spacing w:after="0" w:line="454" w:lineRule="auto"/>
        <w:tabs>
          <w:tab w:leader="none" w:pos="10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 17</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0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as amended,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Class A common stock or preferred stock, the number of shares of Class A common stock or preferred stock, as the case may be, purchasable upon the exercise of one warrant and the price at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Class A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131" w:lineRule="exact"/>
        <w:rPr>
          <w:sz w:val="20"/>
          <w:szCs w:val="20"/>
          <w:color w:val="auto"/>
        </w:rPr>
      </w:pPr>
    </w:p>
    <w:p>
      <w:pPr>
        <w:ind w:left="1080" w:right="22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Information about selling securityholders, if applicable, will be set forth in a prospectus supplement, in a post-effective amendment to this registration statement, or in filings we make with the SEC under the Exchange Act that are incorporated by reference.</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320" w:top="455" w:right="6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sell the securities from time to time pursuant to underwritten public offerings, direct sales to the public, “at the market” offerings, negotiated transactions, block trades or a combination of these methods. We or selling securityholders may sell the securities to or through one or more underwriters or dealers (acting as principal or agent), through agents, or directly to one or more purchasers. We or selling securityholders may distribute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5"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agents or other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selling securityholders,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 or any selling securityholders;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We or selling securityholders may use underwriters, dealers or agents with whom we have a material relationship. We will describe in the prospectus supplement, naming the underwriter, dealer or agent, the nature of any such relationship.</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jc w:val="both"/>
        <w:ind w:left="120" w:right="760"/>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underwriters or dealers or agents that are qualified market makers on the Nasdaq Global Select Market may engage in passive market making transactions in the Class A common stock on the Nasdaq Global Select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and any supplement thereto, will be passed upon for us by Cooley LLP.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Zoom Video Communications, Inc. as of January 31, 2019 and 2020, and for each of the years in the three-year period ended January 31, 2020, have been incorporated by reference in this prospectus by reference to our 2020 Annual Report in reliance upon the report of KPMG LLP, independent registered public accounting firm, incorporated by reference herein and upon the authority of said firm as experts in accounting and auditing.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report on the consolidated financial statements refers to the change in accounting for leases as of February 1, 2019.</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This prospectus and any prospectus supplement are part of the registration statement on Form S-3 we filed with the SEC under the Securities Act and do not contain all the information set forth or incorporated by reference in the registration statement. Whenever a reference is made in this prospectus or any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or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section of our website, which is located</w:t>
      </w:r>
    </w:p>
    <w:p>
      <w:pPr>
        <w:spacing w:after="0" w:line="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at investors.zoom.us. These filings will be available as soon as reasonably practicable after we electronically file such material with, or furnish it to, the SEC. Our website address is https://zoom.com. Information contained on or accessible through our website is not a part of this prospectus and is not incorporated by reference herein, and the inclusion of our website address in this prospectus is an inactive textual reference only.</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Securities and Exchange Commission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the SEC (File No. 001-38865)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94"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07">
        <w:r>
          <w:rPr>
            <w:rFonts w:ascii="Times New Roman" w:cs="Times New Roman" w:eastAsia="Times New Roman" w:hAnsi="Times New Roman"/>
            <w:sz w:val="18"/>
            <w:szCs w:val="18"/>
            <w:u w:val="single" w:color="auto"/>
            <w:color w:val="0000EE"/>
          </w:rPr>
          <w:t>Annual Report on Form 10-K for the year ended January 31, 2020</w:t>
        </w:r>
      </w:hyperlink>
      <w:r>
        <w:rPr>
          <w:rFonts w:ascii="Times New Roman" w:cs="Times New Roman" w:eastAsia="Times New Roman" w:hAnsi="Times New Roman"/>
          <w:sz w:val="18"/>
          <w:szCs w:val="18"/>
          <w:color w:val="auto"/>
        </w:rPr>
        <w:t>, filed with the SEC on March 20, 2020;</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08">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filed with the SEC on May 7, 2020 (excluding those portions that are not incorporated by reference into our Annual Report on Form 10-K for the fiscal year ended January 31, 2020);</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09">
        <w:r>
          <w:rPr>
            <w:rFonts w:ascii="Times New Roman" w:cs="Times New Roman" w:eastAsia="Times New Roman" w:hAnsi="Times New Roman"/>
            <w:sz w:val="18"/>
            <w:szCs w:val="18"/>
            <w:u w:val="single" w:color="auto"/>
            <w:color w:val="0000EE"/>
          </w:rPr>
          <w:t>Quarterly Report on Form 10-Q for the quarter ended April 30, 2020</w:t>
        </w:r>
      </w:hyperlink>
      <w:r>
        <w:rPr>
          <w:rFonts w:ascii="Times New Roman" w:cs="Times New Roman" w:eastAsia="Times New Roman" w:hAnsi="Times New Roman"/>
          <w:sz w:val="18"/>
          <w:szCs w:val="18"/>
          <w:color w:val="auto"/>
        </w:rPr>
        <w:t>, filed with the SEC on June 5,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10">
        <w:r>
          <w:rPr>
            <w:rFonts w:ascii="Times New Roman" w:cs="Times New Roman" w:eastAsia="Times New Roman" w:hAnsi="Times New Roman"/>
            <w:sz w:val="18"/>
            <w:szCs w:val="18"/>
            <w:u w:val="single" w:color="auto"/>
            <w:color w:val="0000EE"/>
          </w:rPr>
          <w:t>Quarterly Report on Form 10-Q for the quarter ended July 31, 2020</w:t>
        </w:r>
      </w:hyperlink>
      <w:r>
        <w:rPr>
          <w:rFonts w:ascii="Times New Roman" w:cs="Times New Roman" w:eastAsia="Times New Roman" w:hAnsi="Times New Roman"/>
          <w:sz w:val="18"/>
          <w:szCs w:val="18"/>
          <w:color w:val="auto"/>
        </w:rPr>
        <w:t>, filed with the SEC on September 3,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11">
        <w:r>
          <w:rPr>
            <w:rFonts w:ascii="Times New Roman" w:cs="Times New Roman" w:eastAsia="Times New Roman" w:hAnsi="Times New Roman"/>
            <w:sz w:val="18"/>
            <w:szCs w:val="18"/>
            <w:u w:val="single" w:color="auto"/>
            <w:color w:val="0000EE"/>
          </w:rPr>
          <w:t>Quarterly Report on Form 10-Q for the quarter ended October 31, 2020</w:t>
        </w:r>
      </w:hyperlink>
      <w:r>
        <w:rPr>
          <w:rFonts w:ascii="Times New Roman" w:cs="Times New Roman" w:eastAsia="Times New Roman" w:hAnsi="Times New Roman"/>
          <w:sz w:val="18"/>
          <w:szCs w:val="18"/>
          <w:color w:val="auto"/>
        </w:rPr>
        <w:t>, filed with the SEC on December 4, 2020;</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112">
        <w:r>
          <w:rPr>
            <w:rFonts w:ascii="Times New Roman" w:cs="Times New Roman" w:eastAsia="Times New Roman" w:hAnsi="Times New Roman"/>
            <w:sz w:val="18"/>
            <w:szCs w:val="18"/>
            <w:u w:val="single" w:color="auto"/>
            <w:color w:val="0000EE"/>
          </w:rPr>
          <w:t>May 6, 2020</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EE"/>
          </w:rPr>
          <w:t>June 4,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on </w:t>
      </w:r>
      <w:hyperlink r:id="rId114">
        <w:r>
          <w:rPr>
            <w:rFonts w:ascii="Times New Roman" w:cs="Times New Roman" w:eastAsia="Times New Roman" w:hAnsi="Times New Roman"/>
            <w:sz w:val="18"/>
            <w:szCs w:val="18"/>
            <w:u w:val="single" w:color="auto"/>
            <w:color w:val="0000EE"/>
          </w:rPr>
          <w:t>July 24, 2020</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EE"/>
          </w:rPr>
          <w:t>June 24, 2020</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EE"/>
          </w:rPr>
          <w:t>September 1,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7">
        <w:r>
          <w:rPr>
            <w:rFonts w:ascii="Times New Roman" w:cs="Times New Roman" w:eastAsia="Times New Roman" w:hAnsi="Times New Roman"/>
            <w:sz w:val="18"/>
            <w:szCs w:val="18"/>
            <w:u w:val="single" w:color="auto"/>
            <w:color w:val="0000EE"/>
          </w:rPr>
          <w:t>November 2,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8">
        <w:r>
          <w:rPr>
            <w:rFonts w:ascii="Times New Roman" w:cs="Times New Roman" w:eastAsia="Times New Roman" w:hAnsi="Times New Roman"/>
            <w:sz w:val="18"/>
            <w:szCs w:val="18"/>
            <w:u w:val="single" w:color="auto"/>
            <w:color w:val="0000EE"/>
          </w:rPr>
          <w:t>December 18,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34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set forth in our registration statement on </w:t>
      </w:r>
      <w:hyperlink r:id="rId119">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April 8, 2019, including any amendments thereto or reports filed for the purposes of updating this description.</w:t>
      </w:r>
    </w:p>
    <w:p>
      <w:pPr>
        <w:spacing w:after="0" w:line="162" w:lineRule="exact"/>
        <w:rPr>
          <w:rFonts w:ascii="Times New Roman" w:cs="Times New Roman" w:eastAsia="Times New Roman" w:hAnsi="Times New Roman"/>
          <w:sz w:val="18"/>
          <w:szCs w:val="18"/>
          <w:color w:val="0000EE"/>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62" w:lineRule="exact"/>
        <w:rPr>
          <w:rFonts w:ascii="Times New Roman" w:cs="Times New Roman" w:eastAsia="Times New Roman" w:hAnsi="Times New Roman"/>
          <w:sz w:val="18"/>
          <w:szCs w:val="18"/>
          <w:color w:val="0000EE"/>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spacing w:after="0" w:line="176" w:lineRule="exact"/>
        <w:rPr>
          <w:rFonts w:ascii="Times New Roman" w:cs="Times New Roman" w:eastAsia="Times New Roman" w:hAnsi="Times New Roman"/>
          <w:sz w:val="18"/>
          <w:szCs w:val="18"/>
          <w:color w:val="0000EE"/>
        </w:rPr>
      </w:pPr>
    </w:p>
    <w:p>
      <w:pPr>
        <w:ind w:left="120"/>
        <w:spacing w:after="0"/>
        <w:rPr>
          <w:sz w:val="20"/>
          <w:szCs w:val="20"/>
          <w:color w:val="auto"/>
        </w:rPr>
      </w:pPr>
      <w:r>
        <w:rPr>
          <w:rFonts w:ascii="Times New Roman" w:cs="Times New Roman" w:eastAsia="Times New Roman" w:hAnsi="Times New Roman"/>
          <w:sz w:val="18"/>
          <w:szCs w:val="18"/>
          <w:color w:val="auto"/>
        </w:rPr>
        <w:t>You may also request a copy of these filings, at no cost, by writing or telephoning us at the following address or telephone number:</w:t>
      </w:r>
    </w:p>
    <w:p>
      <w:pPr>
        <w:spacing w:after="0" w:line="11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Zoom Video Communications, Inc.</w:t>
      </w:r>
    </w:p>
    <w:p>
      <w:pPr>
        <w:spacing w:after="0" w:line="2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55 Almaden Boulevard, 6th Floor</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San Jose, California 95113</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(888) 799-9666</w:t>
      </w:r>
    </w:p>
    <w:p>
      <w:pPr>
        <w:spacing w:after="0" w:line="207" w:lineRule="exact"/>
        <w:rPr>
          <w:rFonts w:ascii="Times New Roman" w:cs="Times New Roman" w:eastAsia="Times New Roman" w:hAnsi="Times New Roman"/>
          <w:sz w:val="18"/>
          <w:szCs w:val="18"/>
          <w:color w:val="0000EE"/>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information contained in, or that can be accessed through, our website is not part of, and is not incorporated into, this prospectus. The inclusion of our website address in this prospectus is an inactive textual reference only.</w:t>
      </w:r>
    </w:p>
    <w:p>
      <w:pPr>
        <w:spacing w:after="0" w:line="162" w:lineRule="exact"/>
        <w:rPr>
          <w:rFonts w:ascii="Times New Roman" w:cs="Times New Roman" w:eastAsia="Times New Roman" w:hAnsi="Times New Roman"/>
          <w:sz w:val="18"/>
          <w:szCs w:val="18"/>
          <w:color w:val="0000EE"/>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72"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2" w:lineRule="exact"/>
        <w:rPr>
          <w:sz w:val="20"/>
          <w:szCs w:val="20"/>
          <w:color w:val="auto"/>
        </w:rPr>
      </w:pPr>
    </w:p>
    <w:p>
      <w:pPr>
        <w:ind w:left="4340"/>
        <w:spacing w:after="0"/>
        <w:rPr>
          <w:sz w:val="20"/>
          <w:szCs w:val="20"/>
          <w:color w:val="auto"/>
        </w:rPr>
      </w:pPr>
      <w:r>
        <w:rPr>
          <w:rFonts w:ascii="Arial" w:cs="Arial" w:eastAsia="Arial" w:hAnsi="Arial"/>
          <w:sz w:val="32"/>
          <w:szCs w:val="32"/>
          <w:b w:val="1"/>
          <w:bCs w:val="1"/>
          <w:i w:val="1"/>
          <w:iCs w:val="1"/>
          <w:color w:val="auto"/>
        </w:rPr>
        <w:t>5,147,059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526415</wp:posOffset>
            </wp:positionV>
            <wp:extent cx="1791335" cy="4286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17913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840"/>
        <w:spacing w:after="0"/>
        <w:rPr>
          <w:sz w:val="20"/>
          <w:szCs w:val="20"/>
          <w:color w:val="auto"/>
        </w:rPr>
      </w:pPr>
      <w:r>
        <w:rPr>
          <w:rFonts w:ascii="Arial" w:cs="Arial" w:eastAsia="Arial" w:hAnsi="Arial"/>
          <w:sz w:val="32"/>
          <w:szCs w:val="32"/>
          <w:b w:val="1"/>
          <w:bCs w:val="1"/>
          <w:color w:val="auto"/>
        </w:rPr>
        <w:t>Class A common stock</w:t>
      </w:r>
    </w:p>
    <w:p>
      <w:pPr>
        <w:spacing w:after="0" w:line="200" w:lineRule="exact"/>
        <w:rPr>
          <w:sz w:val="20"/>
          <w:szCs w:val="20"/>
          <w:color w:val="auto"/>
        </w:rPr>
      </w:pPr>
    </w:p>
    <w:p>
      <w:pPr>
        <w:spacing w:after="0" w:line="333" w:lineRule="exact"/>
        <w:rPr>
          <w:sz w:val="20"/>
          <w:szCs w:val="20"/>
          <w:color w:val="auto"/>
        </w:rPr>
      </w:pPr>
    </w:p>
    <w:p>
      <w:pPr>
        <w:jc w:val="center"/>
        <w:ind w:right="-1100"/>
        <w:spacing w:after="0"/>
        <w:rPr>
          <w:sz w:val="20"/>
          <w:szCs w:val="20"/>
          <w:color w:val="auto"/>
        </w:rPr>
      </w:pPr>
      <w:r>
        <w:rPr>
          <w:rFonts w:ascii="Arial" w:cs="Arial" w:eastAsia="Arial" w:hAnsi="Arial"/>
          <w:sz w:val="43"/>
          <w:szCs w:val="43"/>
          <w:b w:val="1"/>
          <w:bCs w:val="1"/>
          <w:color w:val="auto"/>
        </w:rPr>
        <w:t>Zoom Video Communications, Inc.</w:t>
      </w:r>
    </w:p>
    <w:p>
      <w:pPr>
        <w:spacing w:after="0" w:line="329" w:lineRule="exact"/>
        <w:rPr>
          <w:sz w:val="20"/>
          <w:szCs w:val="20"/>
          <w:color w:val="auto"/>
        </w:rPr>
      </w:pPr>
    </w:p>
    <w:p>
      <w:pPr>
        <w:jc w:val="center"/>
        <w:ind w:right="-1100"/>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960"/>
        <w:spacing w:after="0"/>
        <w:rPr>
          <w:sz w:val="20"/>
          <w:szCs w:val="20"/>
          <w:color w:val="auto"/>
        </w:rPr>
      </w:pPr>
      <w:r>
        <w:rPr>
          <w:rFonts w:ascii="Arial" w:cs="Arial" w:eastAsia="Arial" w:hAnsi="Arial"/>
          <w:sz w:val="24"/>
          <w:szCs w:val="24"/>
          <w:b w:val="1"/>
          <w:bCs w:val="1"/>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12, 2021</w:t>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1)"/>
      <w:numFmt w:val="decimal"/>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1)"/>
      <w:numFmt w:val="decimal"/>
      <w:start w:val="2"/>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Roman"/>
      <w:start w:val="1"/>
    </w:lvl>
  </w:abstractNum>
  <w:abstractNum w:abstractNumId="37">
    <w:nsid w:val="520EEDD1"/>
    <w:multiLevelType w:val="hybridMultilevel"/>
    <w:lvl w:ilvl="0">
      <w:lvlJc w:val="left"/>
      <w:lvlText w:val="(%1)"/>
      <w:numFmt w:val="decimal"/>
      <w:start w:val="1"/>
    </w:lvl>
    <w:lvl w:ilvl="1">
      <w:lvlJc w:val="left"/>
      <w:lvlText w:val="(%2)"/>
      <w:numFmt w:val="lowerRoman"/>
      <w:start w:val="1"/>
    </w:lvl>
  </w:abstractNum>
  <w:abstractNum w:abstractNumId="38">
    <w:nsid w:val="374A3FE6"/>
    <w:multiLevelType w:val="hybridMultilevel"/>
    <w:lvl w:ilvl="0">
      <w:lvlJc w:val="left"/>
      <w:lvlText w:val="%1."/>
      <w:numFmt w:val="decimal"/>
      <w:start w:val="1"/>
    </w:lvl>
    <w:lvl w:ilvl="1">
      <w:lvlJc w:val="left"/>
      <w:lvlText w:val="%2."/>
      <w:numFmt w:val="lowerLetter"/>
      <w:start w:val="1"/>
    </w:lvl>
  </w:abstractNum>
  <w:abstractNum w:abstractNumId="39">
    <w:nsid w:val="4F4EF005"/>
    <w:multiLevelType w:val="hybridMultilevel"/>
    <w:lvl w:ilvl="0">
      <w:lvlJc w:val="left"/>
      <w:lvlText w:val="%1."/>
      <w:numFmt w:val="decimal"/>
      <w:start w:val="1"/>
    </w:lvl>
    <w:lvl w:ilvl="1">
      <w:lvlJc w:val="left"/>
      <w:lvlText w:val="%2)"/>
      <w:numFmt w:val="lowerLetter"/>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lowerRoman"/>
      <w:start w:val="2"/>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jpe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jpeg"/><Relationship Id="rId107" Type="http://schemas.openxmlformats.org/officeDocument/2006/relationships/hyperlink" Target="http://www.sec.gov/ix?doc=/Archives/edgar/data/1585521/000158552120000095/zm-20200131.htm" TargetMode="External"/><Relationship Id="rId108" Type="http://schemas.openxmlformats.org/officeDocument/2006/relationships/hyperlink" Target="http://www.sec.gov/Archives/edgar/data/1585521/000158552120000128/a2020proxy-zoomvideocommun.htm" TargetMode="External"/><Relationship Id="rId109" Type="http://schemas.openxmlformats.org/officeDocument/2006/relationships/hyperlink" Target="http://www.sec.gov/ix?doc=/Archives/edgar/data/1585521/000158552120000154/zm-20200430.htm" TargetMode="External"/><Relationship Id="rId110" Type="http://schemas.openxmlformats.org/officeDocument/2006/relationships/hyperlink" Target="http://www.sec.gov/ix?doc=/Archives/edgar/data/1585521/000158552120000238/zm-20200731.htm" TargetMode="External"/><Relationship Id="rId111" Type="http://schemas.openxmlformats.org/officeDocument/2006/relationships/hyperlink" Target="http://www.sec.gov/ix?doc=/Archives/edgar/data/1585521/000158552120000299/zm-20201031.htm" TargetMode="External"/><Relationship Id="rId112" Type="http://schemas.openxmlformats.org/officeDocument/2006/relationships/hyperlink" Target="http://www.sec.gov/Archives/edgar/data/1585521/000158552120000122/zm-20200506x8k.htm" TargetMode="External"/><Relationship Id="rId113" Type="http://schemas.openxmlformats.org/officeDocument/2006/relationships/hyperlink" Target="http://www.sec.gov/Archives/edgar/data/1585521/000158552120000151/zm-20200604x8k.htm" TargetMode="External"/><Relationship Id="rId114" Type="http://schemas.openxmlformats.org/officeDocument/2006/relationships/hyperlink" Target="http://www.sec.gov/Archives/edgar/data/1585521/000158552120000218/zm-20200604x8ka.htm" TargetMode="External"/><Relationship Id="rId115" Type="http://schemas.openxmlformats.org/officeDocument/2006/relationships/hyperlink" Target="http://www.sec.gov/Archives/edgar/data/1585521/000158552120000190/zm-20200623x8k.htm" TargetMode="External"/><Relationship Id="rId116" Type="http://schemas.openxmlformats.org/officeDocument/2006/relationships/hyperlink" Target="http://www.sec.gov/Archives/edgar/data/1585521/000158552120000233/zm-20200901x8k.htm" TargetMode="External"/><Relationship Id="rId117" Type="http://schemas.openxmlformats.org/officeDocument/2006/relationships/hyperlink" Target="http://www.sec.gov/Archives/edgar/data/1585521/000158552120000280/zm-20201102x8k.htm" TargetMode="External"/><Relationship Id="rId118" Type="http://schemas.openxmlformats.org/officeDocument/2006/relationships/hyperlink" Target="http://www.sec.gov/Archives/edgar/data/1585521/000158552120000307/a20201218_8k.htm" TargetMode="External"/><Relationship Id="rId119" Type="http://schemas.openxmlformats.org/officeDocument/2006/relationships/hyperlink" Target="http://www.sec.gov/Archives/edgar/data/1585521/000119312519099830/d730043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2021-01-13T15:18:22Z</dcterms:created>
  <dcterms:modified xsi:type="dcterms:W3CDTF">2021-01-13T15:18:22Z</dcterms:modified>
</cp:coreProperties>
</file>