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189865</wp:posOffset>
            </wp:positionH>
            <wp:positionV relativeFrom="page">
              <wp:posOffset>81280</wp:posOffset>
            </wp:positionV>
            <wp:extent cx="7389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127000</wp:posOffset>
            </wp:positionV>
            <wp:extent cx="7389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9495" cy="8890"/>
                    </a:xfrm>
                    <a:prstGeom prst="rect">
                      <a:avLst/>
                    </a:prstGeom>
                    <a:noFill/>
                  </pic:spPr>
                </pic:pic>
              </a:graphicData>
            </a:graphic>
          </wp:anchor>
        </w:drawing>
        <w:t>UNITED STATES</w:t>
      </w:r>
    </w:p>
    <w:p>
      <w:pPr>
        <w:spacing w:after="0" w:line="30" w:lineRule="exact"/>
        <w:rPr>
          <w:sz w:val="24"/>
          <w:szCs w:val="24"/>
          <w:color w:val="auto"/>
        </w:rPr>
      </w:pPr>
    </w:p>
    <w:p>
      <w:pPr>
        <w:jc w:val="center"/>
        <w:ind w:right="-60"/>
        <w:spacing w:after="0"/>
        <w:rPr>
          <w:sz w:val="20"/>
          <w:szCs w:val="20"/>
          <w:color w:val="auto"/>
        </w:rPr>
      </w:pPr>
      <w:r>
        <w:rPr>
          <w:rFonts w:ascii="Arial" w:cs="Arial" w:eastAsia="Arial" w:hAnsi="Arial"/>
          <w:sz w:val="34"/>
          <w:szCs w:val="34"/>
          <w:b w:val="1"/>
          <w:bCs w:val="1"/>
          <w:color w:val="auto"/>
        </w:rPr>
        <w:t>SECURITIES AND EXCHANGE COMMISSION</w:t>
      </w:r>
    </w:p>
    <w:p>
      <w:pPr>
        <w:jc w:val="center"/>
        <w:ind w:right="-60"/>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241935</wp:posOffset>
            </wp:positionV>
            <wp:extent cx="1557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60"/>
        <w:spacing w:after="0"/>
        <w:rPr>
          <w:sz w:val="20"/>
          <w:szCs w:val="20"/>
          <w:color w:val="auto"/>
        </w:rPr>
      </w:pPr>
      <w:r>
        <w:rPr>
          <w:rFonts w:ascii="Arial" w:cs="Arial" w:eastAsia="Arial" w:hAnsi="Arial"/>
          <w:sz w:val="34"/>
          <w:szCs w:val="34"/>
          <w:b w:val="1"/>
          <w:bCs w:val="1"/>
          <w:color w:val="auto"/>
        </w:rPr>
        <w:t>SCHEDULE 13G</w:t>
      </w:r>
    </w:p>
    <w:p>
      <w:pPr>
        <w:spacing w:after="0" w:line="36" w:lineRule="exact"/>
        <w:rPr>
          <w:sz w:val="24"/>
          <w:szCs w:val="24"/>
          <w:color w:val="auto"/>
        </w:rPr>
      </w:pPr>
    </w:p>
    <w:p>
      <w:pPr>
        <w:ind w:left="5101"/>
        <w:spacing w:after="0"/>
        <w:rPr>
          <w:sz w:val="20"/>
          <w:szCs w:val="20"/>
          <w:color w:val="auto"/>
        </w:rPr>
      </w:pPr>
      <w:r>
        <w:rPr>
          <w:rFonts w:ascii="Arial" w:cs="Arial" w:eastAsia="Arial" w:hAnsi="Arial"/>
          <w:sz w:val="23"/>
          <w:szCs w:val="23"/>
          <w:b w:val="1"/>
          <w:bCs w:val="1"/>
          <w:color w:val="auto"/>
        </w:rPr>
        <w:t>(Rule 13d-102)</w:t>
      </w:r>
    </w:p>
    <w:p>
      <w:pPr>
        <w:spacing w:after="0" w:line="194" w:lineRule="exact"/>
        <w:rPr>
          <w:sz w:val="24"/>
          <w:szCs w:val="24"/>
          <w:color w:val="auto"/>
        </w:rPr>
      </w:pPr>
    </w:p>
    <w:p>
      <w:pPr>
        <w:ind w:left="3741"/>
        <w:spacing w:after="0"/>
        <w:rPr>
          <w:sz w:val="20"/>
          <w:szCs w:val="20"/>
          <w:color w:val="auto"/>
        </w:rPr>
      </w:pPr>
      <w:r>
        <w:rPr>
          <w:rFonts w:ascii="Arial" w:cs="Arial" w:eastAsia="Arial" w:hAnsi="Arial"/>
          <w:sz w:val="23"/>
          <w:szCs w:val="23"/>
          <w:b w:val="1"/>
          <w:bCs w:val="1"/>
          <w:color w:val="auto"/>
        </w:rPr>
        <w:t>Under the Securities Exchange Act of 1934</w:t>
      </w:r>
    </w:p>
    <w:p>
      <w:pPr>
        <w:spacing w:after="0" w:line="18" w:lineRule="exact"/>
        <w:rPr>
          <w:sz w:val="24"/>
          <w:szCs w:val="24"/>
          <w:color w:val="auto"/>
        </w:rPr>
      </w:pPr>
    </w:p>
    <w:p>
      <w:pPr>
        <w:jc w:val="center"/>
        <w:ind w:right="-80"/>
        <w:spacing w:after="0"/>
        <w:tabs>
          <w:tab w:leader="none" w:pos="260" w:val="left"/>
        </w:tabs>
        <w:rPr>
          <w:sz w:val="20"/>
          <w:szCs w:val="20"/>
          <w:color w:val="auto"/>
        </w:rPr>
      </w:pPr>
      <w:r>
        <w:rPr>
          <w:rFonts w:ascii="Arial" w:cs="Arial" w:eastAsia="Arial" w:hAnsi="Arial"/>
          <w:sz w:val="23"/>
          <w:szCs w:val="23"/>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233045</wp:posOffset>
            </wp:positionV>
            <wp:extent cx="155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60"/>
        <w:spacing w:after="0"/>
        <w:rPr>
          <w:sz w:val="20"/>
          <w:szCs w:val="20"/>
          <w:color w:val="auto"/>
        </w:rPr>
      </w:pPr>
      <w:r>
        <w:rPr>
          <w:rFonts w:ascii="Arial" w:cs="Arial" w:eastAsia="Arial" w:hAnsi="Arial"/>
          <w:sz w:val="46"/>
          <w:szCs w:val="46"/>
          <w:b w:val="1"/>
          <w:bCs w:val="1"/>
          <w:color w:val="auto"/>
        </w:rPr>
        <w:t>Zoom Video Communications, Inc.</w:t>
      </w:r>
    </w:p>
    <w:p>
      <w:pPr>
        <w:spacing w:after="0" w:line="45" w:lineRule="exact"/>
        <w:rPr>
          <w:sz w:val="24"/>
          <w:szCs w:val="24"/>
          <w:color w:val="auto"/>
        </w:rPr>
      </w:pPr>
    </w:p>
    <w:p>
      <w:pPr>
        <w:jc w:val="center"/>
        <w:ind w:right="-60"/>
        <w:spacing w:after="0"/>
        <w:rPr>
          <w:sz w:val="20"/>
          <w:szCs w:val="20"/>
          <w:color w:val="auto"/>
        </w:rPr>
      </w:pPr>
      <w:r>
        <w:rPr>
          <w:rFonts w:ascii="Arial" w:cs="Arial" w:eastAsia="Arial" w:hAnsi="Arial"/>
          <w:sz w:val="19"/>
          <w:szCs w:val="19"/>
          <w:b w:val="1"/>
          <w:bCs w:val="1"/>
          <w:color w:val="auto"/>
        </w:rPr>
        <w:t>(Name of Issuer)</w:t>
      </w:r>
    </w:p>
    <w:p>
      <w:pPr>
        <w:spacing w:after="0" w:line="216" w:lineRule="exact"/>
        <w:rPr>
          <w:sz w:val="24"/>
          <w:szCs w:val="24"/>
          <w:color w:val="auto"/>
        </w:rPr>
      </w:pPr>
    </w:p>
    <w:p>
      <w:pPr>
        <w:jc w:val="center"/>
        <w:ind w:right="-60"/>
        <w:spacing w:after="0"/>
        <w:rPr>
          <w:sz w:val="20"/>
          <w:szCs w:val="20"/>
          <w:color w:val="auto"/>
        </w:rPr>
      </w:pPr>
      <w:r>
        <w:rPr>
          <w:rFonts w:ascii="Arial" w:cs="Arial" w:eastAsia="Arial" w:hAnsi="Arial"/>
          <w:sz w:val="19"/>
          <w:szCs w:val="19"/>
          <w:b w:val="1"/>
          <w:bCs w:val="1"/>
          <w:color w:val="auto"/>
        </w:rPr>
        <w:t>Class A common stock, par value $0.001 per share</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15"/>
          <w:szCs w:val="15"/>
          <w:b w:val="1"/>
          <w:bCs w:val="1"/>
          <w:color w:val="auto"/>
        </w:rPr>
        <w:t>(Title of Class of Securities)</w:t>
      </w:r>
    </w:p>
    <w:p>
      <w:pPr>
        <w:spacing w:after="0" w:line="199" w:lineRule="exact"/>
        <w:rPr>
          <w:sz w:val="24"/>
          <w:szCs w:val="24"/>
          <w:color w:val="auto"/>
        </w:rPr>
      </w:pPr>
    </w:p>
    <w:p>
      <w:pPr>
        <w:jc w:val="center"/>
        <w:ind w:right="-60"/>
        <w:spacing w:after="0"/>
        <w:rPr>
          <w:sz w:val="20"/>
          <w:szCs w:val="20"/>
          <w:color w:val="auto"/>
        </w:rPr>
      </w:pPr>
      <w:r>
        <w:rPr>
          <w:rFonts w:ascii="Arial" w:cs="Arial" w:eastAsia="Arial" w:hAnsi="Arial"/>
          <w:sz w:val="19"/>
          <w:szCs w:val="19"/>
          <w:b w:val="1"/>
          <w:bCs w:val="1"/>
          <w:color w:val="auto"/>
        </w:rPr>
        <w:t>98980L101</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15"/>
          <w:szCs w:val="15"/>
          <w:b w:val="1"/>
          <w:bCs w:val="1"/>
          <w:color w:val="auto"/>
        </w:rPr>
        <w:t>(CUSIP Number)</w:t>
      </w:r>
    </w:p>
    <w:p>
      <w:pPr>
        <w:spacing w:after="0" w:line="199" w:lineRule="exact"/>
        <w:rPr>
          <w:sz w:val="24"/>
          <w:szCs w:val="24"/>
          <w:color w:val="auto"/>
        </w:rPr>
      </w:pPr>
    </w:p>
    <w:p>
      <w:pPr>
        <w:jc w:val="center"/>
        <w:ind w:right="-60"/>
        <w:spacing w:after="0"/>
        <w:rPr>
          <w:sz w:val="20"/>
          <w:szCs w:val="20"/>
          <w:color w:val="auto"/>
        </w:rPr>
      </w:pPr>
      <w:r>
        <w:rPr>
          <w:rFonts w:ascii="Arial" w:cs="Arial" w:eastAsia="Arial" w:hAnsi="Arial"/>
          <w:sz w:val="19"/>
          <w:szCs w:val="19"/>
          <w:b w:val="1"/>
          <w:bCs w:val="1"/>
          <w:color w:val="auto"/>
        </w:rPr>
        <w:t>April 23, 2019</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15"/>
          <w:szCs w:val="15"/>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229870</wp:posOffset>
            </wp:positionV>
            <wp:extent cx="155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1"/>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138"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Rule 13d-1(b)</w:t>
      </w:r>
    </w:p>
    <w:p>
      <w:pPr>
        <w:spacing w:after="0" w:line="138" w:lineRule="exact"/>
        <w:rPr>
          <w:sz w:val="24"/>
          <w:szCs w:val="24"/>
          <w:color w:val="auto"/>
        </w:rPr>
      </w:pPr>
    </w:p>
    <w:p>
      <w:pPr>
        <w:ind w:left="461" w:hanging="461"/>
        <w:spacing w:after="0"/>
        <w:tabs>
          <w:tab w:leader="none" w:pos="461"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Rule 13d-1(c)</w:t>
      </w:r>
    </w:p>
    <w:p>
      <w:pPr>
        <w:spacing w:after="0" w:line="138" w:lineRule="exact"/>
        <w:rPr>
          <w:sz w:val="24"/>
          <w:szCs w:val="24"/>
          <w:color w:val="auto"/>
        </w:rPr>
      </w:pPr>
    </w:p>
    <w:p>
      <w:pPr>
        <w:ind w:left="461" w:hanging="461"/>
        <w:spacing w:after="0"/>
        <w:tabs>
          <w:tab w:leader="none" w:pos="461" w:val="left"/>
        </w:tabs>
        <w:numPr>
          <w:ilvl w:val="0"/>
          <w:numId w:val="3"/>
        </w:numPr>
        <w:rPr>
          <w:rFonts w:ascii="MS PGothic" w:cs="MS PGothic" w:eastAsia="MS PGothic" w:hAnsi="MS PGothic"/>
          <w:sz w:val="19"/>
          <w:szCs w:val="19"/>
          <w:color w:val="auto"/>
        </w:rPr>
      </w:pPr>
      <w:r>
        <w:rPr>
          <w:rFonts w:ascii="Arial" w:cs="Arial" w:eastAsia="Arial" w:hAnsi="Arial"/>
          <w:sz w:val="19"/>
          <w:szCs w:val="19"/>
          <w:color w:val="auto"/>
        </w:rPr>
        <w:t>Rule 13d-1(d)</w:t>
      </w:r>
    </w:p>
    <w:p>
      <w:pPr>
        <w:spacing w:after="0" w:line="138" w:lineRule="exact"/>
        <w:rPr>
          <w:sz w:val="24"/>
          <w:szCs w:val="24"/>
          <w:color w:val="auto"/>
        </w:rPr>
      </w:pPr>
    </w:p>
    <w:p>
      <w:pPr>
        <w:ind w:left="461" w:hanging="461"/>
        <w:spacing w:after="0" w:line="304" w:lineRule="auto"/>
        <w:tabs>
          <w:tab w:leader="none" w:pos="4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0" w:lineRule="exact"/>
        <w:rPr>
          <w:sz w:val="24"/>
          <w:szCs w:val="24"/>
          <w:color w:val="auto"/>
        </w:rPr>
      </w:pPr>
    </w:p>
    <w:p>
      <w:pPr>
        <w:ind w:left="1" w:right="140" w:firstLine="465"/>
        <w:spacing w:after="0" w:line="33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389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wp:posOffset>
            </wp:positionV>
            <wp:extent cx="7389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561"/>
          </w:cols>
          <w:pgMar w:left="299" w:top="239" w:right="380" w:bottom="1440" w:gutter="0" w:footer="0" w:header="0"/>
        </w:sectPr>
      </w:pPr>
    </w:p>
    <w:bookmarkStart w:id="1" w:name="page2"/>
    <w:bookmarkEnd w:id="1"/>
    <w:tbl>
      <w:tblPr>
        <w:tblLayout w:type="fixed"/>
        <w:tblInd w:w="11" w:type="dxa"/>
        <w:tblCellMar>
          <w:top w:w="0" w:type="dxa"/>
          <w:left w:w="0" w:type="dxa"/>
          <w:bottom w:w="0" w:type="dxa"/>
          <w:right w:w="0" w:type="dxa"/>
        </w:tblCellMar>
      </w:tblPr>
      <w:tr>
        <w:trPr>
          <w:trHeight w:val="241"/>
        </w:trPr>
        <w:tc>
          <w:tcPr>
            <w:tcW w:w="2220" w:type="dxa"/>
            <w:vAlign w:val="bottom"/>
            <w:gridSpan w:val="6"/>
          </w:tcPr>
          <w:p>
            <w:pPr>
              <w:jc w:val="center"/>
              <w:ind w:right="440"/>
              <w:spacing w:after="0"/>
              <w:rPr>
                <w:sz w:val="20"/>
                <w:szCs w:val="20"/>
                <w:color w:val="auto"/>
              </w:rPr>
            </w:pPr>
            <w:r>
              <w:rPr>
                <w:rFonts w:ascii="Arial" w:cs="Arial" w:eastAsia="Arial" w:hAnsi="Arial"/>
                <w:sz w:val="19"/>
                <w:szCs w:val="19"/>
                <w:color w:val="auto"/>
                <w:w w:val="92"/>
              </w:rPr>
              <w:t>CUSIP No. 98980L101</w:t>
            </w:r>
          </w:p>
        </w:tc>
        <w:tc>
          <w:tcPr>
            <w:tcW w:w="7160" w:type="dxa"/>
            <w:vAlign w:val="bottom"/>
          </w:tcPr>
          <w:p>
            <w:pPr>
              <w:ind w:left="3680"/>
              <w:spacing w:after="0"/>
              <w:rPr>
                <w:sz w:val="20"/>
                <w:szCs w:val="20"/>
                <w:color w:val="auto"/>
              </w:rPr>
            </w:pPr>
            <w:r>
              <w:rPr>
                <w:rFonts w:ascii="Arial" w:cs="Arial" w:eastAsia="Arial" w:hAnsi="Arial"/>
                <w:sz w:val="19"/>
                <w:szCs w:val="19"/>
                <w:color w:val="auto"/>
              </w:rPr>
              <w:t>13G</w:t>
            </w:r>
          </w:p>
        </w:tc>
        <w:tc>
          <w:tcPr>
            <w:tcW w:w="2280" w:type="dxa"/>
            <w:vAlign w:val="bottom"/>
          </w:tcPr>
          <w:p>
            <w:pPr>
              <w:ind w:left="1400"/>
              <w:spacing w:after="0"/>
              <w:rPr>
                <w:sz w:val="20"/>
                <w:szCs w:val="20"/>
                <w:color w:val="auto"/>
              </w:rPr>
            </w:pPr>
            <w:r>
              <w:rPr>
                <w:rFonts w:ascii="Arial" w:cs="Arial" w:eastAsia="Arial" w:hAnsi="Arial"/>
                <w:sz w:val="19"/>
                <w:szCs w:val="19"/>
                <w:color w:val="auto"/>
                <w:w w:val="86"/>
              </w:rPr>
              <w:t>Page 1 of 4</w:t>
            </w:r>
          </w:p>
        </w:tc>
        <w:tc>
          <w:tcPr>
            <w:tcW w:w="0" w:type="dxa"/>
            <w:vAlign w:val="bottom"/>
          </w:tcPr>
          <w:p>
            <w:pPr>
              <w:spacing w:after="0"/>
              <w:rPr>
                <w:sz w:val="1"/>
                <w:szCs w:val="1"/>
                <w:color w:val="auto"/>
              </w:rPr>
            </w:pPr>
          </w:p>
        </w:tc>
      </w:tr>
      <w:tr>
        <w:trPr>
          <w:trHeight w:val="41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gridSpan w:val="2"/>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160" w:type="dxa"/>
            <w:vAlign w:val="bottom"/>
            <w:tcBorders>
              <w:right w:val="single" w:sz="8" w:color="auto"/>
            </w:tcBorders>
          </w:tcPr>
          <w:p>
            <w:pPr>
              <w:spacing w:after="0"/>
              <w:rPr>
                <w:sz w:val="20"/>
                <w:szCs w:val="20"/>
                <w:color w:val="auto"/>
              </w:rPr>
            </w:pPr>
          </w:p>
        </w:tc>
        <w:tc>
          <w:tcPr>
            <w:tcW w:w="8760" w:type="dxa"/>
            <w:vAlign w:val="bottom"/>
            <w:gridSpan w:val="5"/>
          </w:tcPr>
          <w:p>
            <w:pPr>
              <w:ind w:left="80"/>
              <w:spacing w:after="0"/>
              <w:rPr>
                <w:sz w:val="20"/>
                <w:szCs w:val="20"/>
                <w:color w:val="auto"/>
              </w:rPr>
            </w:pPr>
            <w:r>
              <w:rPr>
                <w:rFonts w:ascii="Arial" w:cs="Arial" w:eastAsia="Arial" w:hAnsi="Arial"/>
                <w:sz w:val="19"/>
                <w:szCs w:val="19"/>
                <w:color w:val="auto"/>
              </w:rPr>
              <w:t>NAMES OF REPORTING PERSONS</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4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4"/>
          </w:tcPr>
          <w:p>
            <w:pPr>
              <w:ind w:left="80"/>
              <w:spacing w:after="0"/>
              <w:rPr>
                <w:sz w:val="20"/>
                <w:szCs w:val="20"/>
                <w:color w:val="auto"/>
              </w:rPr>
            </w:pPr>
            <w:r>
              <w:rPr>
                <w:rFonts w:ascii="Arial" w:cs="Arial" w:eastAsia="Arial" w:hAnsi="Arial"/>
                <w:sz w:val="19"/>
                <w:szCs w:val="19"/>
                <w:color w:val="auto"/>
                <w:w w:val="89"/>
              </w:rPr>
              <w:t>salesforce.com, inc.</w:t>
            </w:r>
          </w:p>
        </w:tc>
        <w:tc>
          <w:tcPr>
            <w:tcW w:w="716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60" w:type="dxa"/>
            <w:vAlign w:val="bottom"/>
            <w:tcBorders>
              <w:left w:val="single" w:sz="8" w:color="auto"/>
            </w:tcBorders>
          </w:tcPr>
          <w:p>
            <w:pPr>
              <w:jc w:val="right"/>
              <w:spacing w:after="0" w:line="179" w:lineRule="exact"/>
              <w:rPr>
                <w:sz w:val="20"/>
                <w:szCs w:val="20"/>
                <w:color w:val="auto"/>
              </w:rPr>
            </w:pPr>
            <w:r>
              <w:rPr>
                <w:rFonts w:ascii="Arial" w:cs="Arial" w:eastAsia="Arial" w:hAnsi="Arial"/>
                <w:sz w:val="19"/>
                <w:szCs w:val="19"/>
                <w:color w:val="auto"/>
              </w:rPr>
              <w:t>2.</w:t>
            </w:r>
          </w:p>
        </w:tc>
        <w:tc>
          <w:tcPr>
            <w:tcW w:w="160" w:type="dxa"/>
            <w:vAlign w:val="bottom"/>
            <w:tcBorders>
              <w:right w:val="single" w:sz="8" w:color="auto"/>
            </w:tcBorders>
          </w:tcPr>
          <w:p>
            <w:pPr>
              <w:spacing w:after="0"/>
              <w:rPr>
                <w:sz w:val="15"/>
                <w:szCs w:val="15"/>
                <w:color w:val="auto"/>
              </w:rPr>
            </w:pPr>
          </w:p>
        </w:tc>
        <w:tc>
          <w:tcPr>
            <w:tcW w:w="8760" w:type="dxa"/>
            <w:vAlign w:val="bottom"/>
            <w:gridSpan w:val="5"/>
          </w:tcPr>
          <w:p>
            <w:pPr>
              <w:ind w:left="80"/>
              <w:spacing w:after="0" w:line="179" w:lineRule="exact"/>
              <w:rPr>
                <w:sz w:val="20"/>
                <w:szCs w:val="20"/>
                <w:color w:val="auto"/>
              </w:rPr>
            </w:pPr>
            <w:r>
              <w:rPr>
                <w:rFonts w:ascii="Arial" w:cs="Arial" w:eastAsia="Arial" w:hAnsi="Arial"/>
                <w:sz w:val="19"/>
                <w:szCs w:val="19"/>
                <w:color w:val="auto"/>
              </w:rPr>
              <w:t>CHECK THE APPROPRIATE BOX IF A MEMBER OF A GROUP</w:t>
            </w:r>
          </w:p>
        </w:tc>
        <w:tc>
          <w:tcPr>
            <w:tcW w:w="2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46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00" w:type="dxa"/>
            <w:vAlign w:val="bottom"/>
          </w:tcPr>
          <w:p>
            <w:pPr>
              <w:ind w:left="8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c>
          <w:tcPr>
            <w:tcW w:w="700" w:type="dxa"/>
            <w:vAlign w:val="bottom"/>
            <w:gridSpan w:val="3"/>
          </w:tcPr>
          <w:p>
            <w:pPr>
              <w:ind w:left="40"/>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c>
          <w:tcPr>
            <w:tcW w:w="71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 w:type="dxa"/>
            <w:vAlign w:val="bottom"/>
            <w:tcBorders>
              <w:left w:val="single" w:sz="8" w:color="auto"/>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tcBorders>
            <w:gridSpan w:val="2"/>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160" w:type="dxa"/>
            <w:vAlign w:val="bottom"/>
            <w:tcBorders>
              <w:bottom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160" w:type="dxa"/>
            <w:vAlign w:val="bottom"/>
            <w:tcBorders>
              <w:right w:val="single" w:sz="8" w:color="auto"/>
            </w:tcBorders>
          </w:tcPr>
          <w:p>
            <w:pPr>
              <w:spacing w:after="0"/>
              <w:rPr>
                <w:sz w:val="20"/>
                <w:szCs w:val="20"/>
                <w:color w:val="auto"/>
              </w:rPr>
            </w:pPr>
          </w:p>
        </w:tc>
        <w:tc>
          <w:tcPr>
            <w:tcW w:w="1600" w:type="dxa"/>
            <w:vAlign w:val="bottom"/>
            <w:gridSpan w:val="4"/>
          </w:tcPr>
          <w:p>
            <w:pPr>
              <w:ind w:left="80"/>
              <w:spacing w:after="0"/>
              <w:rPr>
                <w:sz w:val="20"/>
                <w:szCs w:val="20"/>
                <w:color w:val="auto"/>
              </w:rPr>
            </w:pPr>
            <w:r>
              <w:rPr>
                <w:rFonts w:ascii="Arial" w:cs="Arial" w:eastAsia="Arial" w:hAnsi="Arial"/>
                <w:sz w:val="19"/>
                <w:szCs w:val="19"/>
                <w:color w:val="auto"/>
              </w:rPr>
              <w:t>SEC USE ONLY</w:t>
            </w:r>
          </w:p>
        </w:tc>
        <w:tc>
          <w:tcPr>
            <w:tcW w:w="71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60" w:type="dxa"/>
            <w:vAlign w:val="bottom"/>
            <w:tcBorders>
              <w:left w:val="single" w:sz="8" w:color="auto"/>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tcBorders>
            <w:gridSpan w:val="2"/>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240" w:type="dxa"/>
            <w:vAlign w:val="bottom"/>
            <w:tcBorders>
              <w:bottom w:val="single" w:sz="8" w:color="auto"/>
            </w:tcBorders>
            <w:gridSpan w:val="2"/>
          </w:tcPr>
          <w:p>
            <w:pPr>
              <w:spacing w:after="0"/>
              <w:rPr>
                <w:sz w:val="22"/>
                <w:szCs w:val="22"/>
                <w:color w:val="auto"/>
              </w:rPr>
            </w:pPr>
          </w:p>
        </w:tc>
        <w:tc>
          <w:tcPr>
            <w:tcW w:w="22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160" w:type="dxa"/>
            <w:vAlign w:val="bottom"/>
            <w:tcBorders>
              <w:right w:val="single" w:sz="8" w:color="auto"/>
            </w:tcBorders>
          </w:tcPr>
          <w:p>
            <w:pPr>
              <w:spacing w:after="0"/>
              <w:rPr>
                <w:sz w:val="20"/>
                <w:szCs w:val="20"/>
                <w:color w:val="auto"/>
              </w:rPr>
            </w:pPr>
          </w:p>
        </w:tc>
        <w:tc>
          <w:tcPr>
            <w:tcW w:w="8760" w:type="dxa"/>
            <w:vAlign w:val="bottom"/>
            <w:gridSpan w:val="5"/>
          </w:tcPr>
          <w:p>
            <w:pPr>
              <w:ind w:left="80"/>
              <w:spacing w:after="0"/>
              <w:rPr>
                <w:sz w:val="20"/>
                <w:szCs w:val="20"/>
                <w:color w:val="auto"/>
              </w:rPr>
            </w:pPr>
            <w:r>
              <w:rPr>
                <w:rFonts w:ascii="Arial" w:cs="Arial" w:eastAsia="Arial" w:hAnsi="Arial"/>
                <w:sz w:val="19"/>
                <w:szCs w:val="19"/>
                <w:color w:val="auto"/>
              </w:rPr>
              <w:t>CITIZENSHIP OR PLACE OF ORGANIZATION</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4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9"/>
                <w:szCs w:val="19"/>
                <w:color w:val="auto"/>
                <w:w w:val="99"/>
              </w:rPr>
              <w:t>Delaware</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jc w:val="right"/>
              <w:ind w:right="125"/>
              <w:spacing w:after="0"/>
              <w:rPr>
                <w:sz w:val="20"/>
                <w:szCs w:val="20"/>
                <w:color w:val="auto"/>
              </w:rPr>
            </w:pPr>
            <w:r>
              <w:rPr>
                <w:rFonts w:ascii="Arial" w:cs="Arial" w:eastAsia="Arial" w:hAnsi="Arial"/>
                <w:sz w:val="19"/>
                <w:szCs w:val="19"/>
                <w:color w:val="auto"/>
              </w:rPr>
              <w:t>5.</w:t>
            </w:r>
          </w:p>
        </w:tc>
        <w:tc>
          <w:tcPr>
            <w:tcW w:w="8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Arial" w:cs="Arial" w:eastAsia="Arial" w:hAnsi="Arial"/>
                <w:sz w:val="19"/>
                <w:szCs w:val="19"/>
                <w:color w:val="auto"/>
              </w:rPr>
              <w:t>SOLE VOTING POWER</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520" w:type="dxa"/>
            <w:vAlign w:val="bottom"/>
            <w:tcBorders>
              <w:left w:val="single" w:sz="8" w:color="auto"/>
            </w:tcBorders>
            <w:gridSpan w:val="3"/>
          </w:tcPr>
          <w:p>
            <w:pPr>
              <w:jc w:val="center"/>
              <w:ind w:left="225"/>
              <w:spacing w:after="0"/>
              <w:rPr>
                <w:sz w:val="20"/>
                <w:szCs w:val="20"/>
                <w:color w:val="auto"/>
              </w:rPr>
            </w:pPr>
            <w:r>
              <w:rPr>
                <w:rFonts w:ascii="Arial" w:cs="Arial" w:eastAsia="Arial" w:hAnsi="Arial"/>
                <w:sz w:val="19"/>
                <w:szCs w:val="19"/>
                <w:b w:val="1"/>
                <w:bCs w:val="1"/>
                <w:color w:val="auto"/>
              </w:rPr>
              <w:t>NUMBER OF</w:t>
            </w:r>
          </w:p>
        </w:tc>
        <w:tc>
          <w:tcPr>
            <w:tcW w:w="160" w:type="dxa"/>
            <w:vAlign w:val="bottom"/>
            <w:tcBorders>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2,777,777</w:t>
            </w: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60" w:type="dxa"/>
            <w:vAlign w:val="bottom"/>
            <w:tcBorders>
              <w:left w:val="single" w:sz="8" w:color="auto"/>
            </w:tcBorders>
          </w:tcPr>
          <w:p>
            <w:pPr>
              <w:spacing w:after="0"/>
              <w:rPr>
                <w:sz w:val="21"/>
                <w:szCs w:val="21"/>
                <w:color w:val="auto"/>
              </w:rPr>
            </w:pPr>
          </w:p>
        </w:tc>
        <w:tc>
          <w:tcPr>
            <w:tcW w:w="1060" w:type="dxa"/>
            <w:vAlign w:val="bottom"/>
            <w:gridSpan w:val="2"/>
          </w:tcPr>
          <w:p>
            <w:pPr>
              <w:jc w:val="center"/>
              <w:ind w:right="45"/>
              <w:spacing w:after="0"/>
              <w:rPr>
                <w:sz w:val="20"/>
                <w:szCs w:val="20"/>
                <w:color w:val="auto"/>
              </w:rPr>
            </w:pPr>
            <w:r>
              <w:rPr>
                <w:rFonts w:ascii="Arial" w:cs="Arial" w:eastAsia="Arial" w:hAnsi="Arial"/>
                <w:sz w:val="19"/>
                <w:szCs w:val="19"/>
                <w:b w:val="1"/>
                <w:bCs w:val="1"/>
                <w:color w:val="auto"/>
                <w:w w:val="95"/>
              </w:rPr>
              <w:t>SHARES</w:t>
            </w:r>
          </w:p>
        </w:tc>
        <w:tc>
          <w:tcPr>
            <w:tcW w:w="160" w:type="dxa"/>
            <w:vAlign w:val="bottom"/>
            <w:tcBorders>
              <w:right w:val="single" w:sz="8" w:color="auto"/>
            </w:tcBorders>
          </w:tcPr>
          <w:p>
            <w:pPr>
              <w:spacing w:after="0"/>
              <w:rPr>
                <w:sz w:val="21"/>
                <w:szCs w:val="21"/>
                <w:color w:val="auto"/>
              </w:rPr>
            </w:pPr>
          </w:p>
        </w:tc>
        <w:tc>
          <w:tcPr>
            <w:tcW w:w="460" w:type="dxa"/>
            <w:vAlign w:val="bottom"/>
            <w:tcBorders>
              <w:right w:val="single" w:sz="8" w:color="auto"/>
            </w:tcBorders>
          </w:tcPr>
          <w:p>
            <w:pPr>
              <w:jc w:val="right"/>
              <w:ind w:right="125"/>
              <w:spacing w:after="0"/>
              <w:rPr>
                <w:sz w:val="20"/>
                <w:szCs w:val="20"/>
                <w:color w:val="auto"/>
              </w:rPr>
            </w:pPr>
            <w:r>
              <w:rPr>
                <w:rFonts w:ascii="Arial" w:cs="Arial" w:eastAsia="Arial" w:hAnsi="Arial"/>
                <w:sz w:val="19"/>
                <w:szCs w:val="19"/>
                <w:color w:val="auto"/>
              </w:rPr>
              <w:t>6.</w:t>
            </w:r>
          </w:p>
        </w:tc>
        <w:tc>
          <w:tcPr>
            <w:tcW w:w="80" w:type="dxa"/>
            <w:vAlign w:val="bottom"/>
          </w:tcPr>
          <w:p>
            <w:pPr>
              <w:spacing w:after="0"/>
              <w:rPr>
                <w:sz w:val="21"/>
                <w:szCs w:val="21"/>
                <w:color w:val="auto"/>
              </w:rPr>
            </w:pPr>
          </w:p>
        </w:tc>
        <w:tc>
          <w:tcPr>
            <w:tcW w:w="7160" w:type="dxa"/>
            <w:vAlign w:val="bottom"/>
          </w:tcPr>
          <w:p>
            <w:pPr>
              <w:ind w:left="20"/>
              <w:spacing w:after="0"/>
              <w:rPr>
                <w:sz w:val="20"/>
                <w:szCs w:val="20"/>
                <w:color w:val="auto"/>
              </w:rPr>
            </w:pPr>
            <w:r>
              <w:rPr>
                <w:rFonts w:ascii="Arial" w:cs="Arial" w:eastAsia="Arial" w:hAnsi="Arial"/>
                <w:sz w:val="19"/>
                <w:szCs w:val="19"/>
                <w:color w:val="auto"/>
              </w:rPr>
              <w:t>SHARED VOTING POWER</w:t>
            </w:r>
          </w:p>
        </w:tc>
        <w:tc>
          <w:tcPr>
            <w:tcW w:w="2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680" w:type="dxa"/>
            <w:vAlign w:val="bottom"/>
            <w:tcBorders>
              <w:left w:val="single" w:sz="8" w:color="auto"/>
              <w:right w:val="single" w:sz="8" w:color="auto"/>
            </w:tcBorders>
            <w:gridSpan w:val="4"/>
          </w:tcPr>
          <w:p>
            <w:pPr>
              <w:jc w:val="center"/>
              <w:ind w:left="85"/>
              <w:spacing w:after="0"/>
              <w:rPr>
                <w:sz w:val="20"/>
                <w:szCs w:val="20"/>
                <w:color w:val="auto"/>
              </w:rPr>
            </w:pPr>
            <w:r>
              <w:rPr>
                <w:rFonts w:ascii="Arial" w:cs="Arial" w:eastAsia="Arial" w:hAnsi="Arial"/>
                <w:sz w:val="19"/>
                <w:szCs w:val="19"/>
                <w:b w:val="1"/>
                <w:bCs w:val="1"/>
                <w:color w:val="auto"/>
              </w:rPr>
              <w:t>BENEFICIALLY</w:t>
            </w:r>
          </w:p>
        </w:tc>
        <w:tc>
          <w:tcPr>
            <w:tcW w:w="4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160" w:type="dxa"/>
            <w:vAlign w:val="bottom"/>
            <w:vMerge w:val="restart"/>
          </w:tcPr>
          <w:p>
            <w:pPr>
              <w:ind w:left="20"/>
              <w:spacing w:after="0"/>
              <w:rPr>
                <w:sz w:val="20"/>
                <w:szCs w:val="20"/>
                <w:color w:val="auto"/>
              </w:rPr>
            </w:pPr>
            <w:r>
              <w:rPr>
                <w:rFonts w:ascii="Arial" w:cs="Arial" w:eastAsia="Arial" w:hAnsi="Arial"/>
                <w:sz w:val="19"/>
                <w:szCs w:val="19"/>
                <w:color w:val="auto"/>
              </w:rPr>
              <w:t>0</w:t>
            </w:r>
          </w:p>
        </w:tc>
        <w:tc>
          <w:tcPr>
            <w:tcW w:w="2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520" w:type="dxa"/>
            <w:vAlign w:val="bottom"/>
            <w:tcBorders>
              <w:left w:val="single" w:sz="8" w:color="auto"/>
            </w:tcBorders>
            <w:gridSpan w:val="3"/>
          </w:tcPr>
          <w:p>
            <w:pPr>
              <w:jc w:val="center"/>
              <w:ind w:left="225"/>
              <w:spacing w:after="0"/>
              <w:rPr>
                <w:sz w:val="20"/>
                <w:szCs w:val="20"/>
                <w:color w:val="auto"/>
              </w:rPr>
            </w:pPr>
            <w:r>
              <w:rPr>
                <w:rFonts w:ascii="Arial" w:cs="Arial" w:eastAsia="Arial" w:hAnsi="Arial"/>
                <w:sz w:val="19"/>
                <w:szCs w:val="19"/>
                <w:b w:val="1"/>
                <w:bCs w:val="1"/>
                <w:color w:val="auto"/>
                <w:w w:val="99"/>
              </w:rPr>
              <w:t>OWNED BY</w:t>
            </w:r>
          </w:p>
        </w:tc>
        <w:tc>
          <w:tcPr>
            <w:tcW w:w="160" w:type="dxa"/>
            <w:vAlign w:val="bottom"/>
            <w:tcBorders>
              <w:right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160" w:type="dxa"/>
            <w:vAlign w:val="bottom"/>
            <w:tcBorders>
              <w:bottom w:val="single" w:sz="8" w:color="auto"/>
            </w:tcBorders>
            <w:vMerge w:val="continue"/>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205"/>
              <w:spacing w:after="0" w:line="189" w:lineRule="exact"/>
              <w:rPr>
                <w:sz w:val="20"/>
                <w:szCs w:val="20"/>
                <w:color w:val="auto"/>
              </w:rPr>
            </w:pPr>
            <w:r>
              <w:rPr>
                <w:rFonts w:ascii="Arial" w:cs="Arial" w:eastAsia="Arial" w:hAnsi="Arial"/>
                <w:sz w:val="19"/>
                <w:szCs w:val="19"/>
                <w:b w:val="1"/>
                <w:bCs w:val="1"/>
                <w:color w:val="auto"/>
              </w:rPr>
              <w:t>EACH</w:t>
            </w:r>
          </w:p>
        </w:tc>
        <w:tc>
          <w:tcPr>
            <w:tcW w:w="1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jc w:val="right"/>
              <w:ind w:right="125"/>
              <w:spacing w:after="0" w:line="189" w:lineRule="exact"/>
              <w:rPr>
                <w:sz w:val="20"/>
                <w:szCs w:val="20"/>
                <w:color w:val="auto"/>
              </w:rPr>
            </w:pPr>
            <w:r>
              <w:rPr>
                <w:rFonts w:ascii="Arial" w:cs="Arial" w:eastAsia="Arial" w:hAnsi="Arial"/>
                <w:sz w:val="19"/>
                <w:szCs w:val="19"/>
                <w:color w:val="auto"/>
              </w:rPr>
              <w:t>7.</w:t>
            </w:r>
          </w:p>
        </w:tc>
        <w:tc>
          <w:tcPr>
            <w:tcW w:w="80" w:type="dxa"/>
            <w:vAlign w:val="bottom"/>
          </w:tcPr>
          <w:p>
            <w:pPr>
              <w:spacing w:after="0"/>
              <w:rPr>
                <w:sz w:val="16"/>
                <w:szCs w:val="16"/>
                <w:color w:val="auto"/>
              </w:rPr>
            </w:pPr>
          </w:p>
        </w:tc>
        <w:tc>
          <w:tcPr>
            <w:tcW w:w="7160" w:type="dxa"/>
            <w:vAlign w:val="bottom"/>
          </w:tcPr>
          <w:p>
            <w:pPr>
              <w:ind w:left="20"/>
              <w:spacing w:after="0" w:line="189" w:lineRule="exact"/>
              <w:rPr>
                <w:sz w:val="20"/>
                <w:szCs w:val="20"/>
                <w:color w:val="auto"/>
              </w:rPr>
            </w:pPr>
            <w:r>
              <w:rPr>
                <w:rFonts w:ascii="Arial" w:cs="Arial" w:eastAsia="Arial" w:hAnsi="Arial"/>
                <w:sz w:val="19"/>
                <w:szCs w:val="19"/>
                <w:color w:val="auto"/>
              </w:rPr>
              <w:t>SOLE DISPOSITIVE POWER</w:t>
            </w:r>
          </w:p>
        </w:tc>
        <w:tc>
          <w:tcPr>
            <w:tcW w:w="2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520" w:type="dxa"/>
            <w:vAlign w:val="bottom"/>
            <w:tcBorders>
              <w:left w:val="single" w:sz="8" w:color="auto"/>
            </w:tcBorders>
            <w:gridSpan w:val="3"/>
          </w:tcPr>
          <w:p>
            <w:pPr>
              <w:jc w:val="center"/>
              <w:ind w:left="205"/>
              <w:spacing w:after="0"/>
              <w:rPr>
                <w:sz w:val="20"/>
                <w:szCs w:val="20"/>
                <w:color w:val="auto"/>
              </w:rPr>
            </w:pPr>
            <w:r>
              <w:rPr>
                <w:rFonts w:ascii="Arial" w:cs="Arial" w:eastAsia="Arial" w:hAnsi="Arial"/>
                <w:sz w:val="19"/>
                <w:szCs w:val="19"/>
                <w:b w:val="1"/>
                <w:bCs w:val="1"/>
                <w:color w:val="auto"/>
              </w:rPr>
              <w:t>REPORTING</w:t>
            </w:r>
          </w:p>
        </w:tc>
        <w:tc>
          <w:tcPr>
            <w:tcW w:w="16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060" w:type="dxa"/>
            <w:vAlign w:val="bottom"/>
            <w:gridSpan w:val="2"/>
          </w:tcPr>
          <w:p>
            <w:pPr>
              <w:jc w:val="center"/>
              <w:ind w:right="45"/>
              <w:spacing w:after="0"/>
              <w:rPr>
                <w:sz w:val="20"/>
                <w:szCs w:val="20"/>
                <w:color w:val="auto"/>
              </w:rPr>
            </w:pPr>
            <w:r>
              <w:rPr>
                <w:rFonts w:ascii="Arial" w:cs="Arial" w:eastAsia="Arial" w:hAnsi="Arial"/>
                <w:sz w:val="19"/>
                <w:szCs w:val="19"/>
                <w:b w:val="1"/>
                <w:bCs w:val="1"/>
                <w:color w:val="auto"/>
                <w:w w:val="94"/>
              </w:rPr>
              <w:t>PERSON</w:t>
            </w:r>
          </w:p>
        </w:tc>
        <w:tc>
          <w:tcPr>
            <w:tcW w:w="16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Arial" w:cs="Arial" w:eastAsia="Arial" w:hAnsi="Arial"/>
                <w:sz w:val="19"/>
                <w:szCs w:val="19"/>
                <w:color w:val="auto"/>
              </w:rPr>
              <w:t>2,777,777</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460" w:type="dxa"/>
            <w:vAlign w:val="bottom"/>
            <w:tcBorders>
              <w:lef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restart"/>
          </w:tcPr>
          <w:p>
            <w:pPr>
              <w:jc w:val="center"/>
              <w:ind w:right="205"/>
              <w:spacing w:after="0"/>
              <w:rPr>
                <w:sz w:val="20"/>
                <w:szCs w:val="20"/>
                <w:color w:val="auto"/>
              </w:rPr>
            </w:pPr>
            <w:r>
              <w:rPr>
                <w:rFonts w:ascii="Arial" w:cs="Arial" w:eastAsia="Arial" w:hAnsi="Arial"/>
                <w:sz w:val="19"/>
                <w:szCs w:val="19"/>
                <w:b w:val="1"/>
                <w:bCs w:val="1"/>
                <w:color w:val="auto"/>
              </w:rPr>
              <w:t>WITH:</w:t>
            </w:r>
          </w:p>
        </w:tc>
        <w:tc>
          <w:tcPr>
            <w:tcW w:w="160" w:type="dxa"/>
            <w:vAlign w:val="bottom"/>
            <w:tcBorders>
              <w:right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160" w:type="dxa"/>
            <w:vAlign w:val="bottom"/>
            <w:tcBorders>
              <w:bottom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46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60" w:type="dxa"/>
            <w:vAlign w:val="bottom"/>
            <w:tcBorders>
              <w:right w:val="single" w:sz="8" w:color="auto"/>
            </w:tcBorders>
            <w:vMerge w:val="restart"/>
          </w:tcPr>
          <w:p>
            <w:pPr>
              <w:jc w:val="right"/>
              <w:ind w:right="125"/>
              <w:spacing w:after="0"/>
              <w:rPr>
                <w:sz w:val="20"/>
                <w:szCs w:val="20"/>
                <w:color w:val="auto"/>
              </w:rPr>
            </w:pPr>
            <w:r>
              <w:rPr>
                <w:rFonts w:ascii="Arial" w:cs="Arial" w:eastAsia="Arial" w:hAnsi="Arial"/>
                <w:sz w:val="19"/>
                <w:szCs w:val="19"/>
                <w:color w:val="auto"/>
              </w:rPr>
              <w:t>8.</w:t>
            </w:r>
          </w:p>
        </w:tc>
        <w:tc>
          <w:tcPr>
            <w:tcW w:w="80" w:type="dxa"/>
            <w:vAlign w:val="bottom"/>
          </w:tcPr>
          <w:p>
            <w:pPr>
              <w:spacing w:after="0"/>
              <w:rPr>
                <w:sz w:val="13"/>
                <w:szCs w:val="13"/>
                <w:color w:val="auto"/>
              </w:rPr>
            </w:pPr>
          </w:p>
        </w:tc>
        <w:tc>
          <w:tcPr>
            <w:tcW w:w="7160" w:type="dxa"/>
            <w:vAlign w:val="bottom"/>
            <w:vMerge w:val="restart"/>
          </w:tcPr>
          <w:p>
            <w:pPr>
              <w:ind w:left="20"/>
              <w:spacing w:after="0"/>
              <w:rPr>
                <w:sz w:val="20"/>
                <w:szCs w:val="20"/>
                <w:color w:val="auto"/>
              </w:rPr>
            </w:pPr>
            <w:r>
              <w:rPr>
                <w:rFonts w:ascii="Arial" w:cs="Arial" w:eastAsia="Arial" w:hAnsi="Arial"/>
                <w:sz w:val="19"/>
                <w:szCs w:val="19"/>
                <w:color w:val="auto"/>
              </w:rPr>
              <w:t>SHARED DISPOSITIVE POWER</w:t>
            </w:r>
          </w:p>
        </w:tc>
        <w:tc>
          <w:tcPr>
            <w:tcW w:w="2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460" w:type="dxa"/>
            <w:vAlign w:val="bottom"/>
            <w:tcBorders>
              <w:lef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46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7160" w:type="dxa"/>
            <w:vAlign w:val="bottom"/>
            <w:vMerge w:val="continue"/>
          </w:tcPr>
          <w:p>
            <w:pPr>
              <w:spacing w:after="0"/>
              <w:rPr>
                <w:sz w:val="6"/>
                <w:szCs w:val="6"/>
                <w:color w:val="auto"/>
              </w:rPr>
            </w:pPr>
          </w:p>
        </w:tc>
        <w:tc>
          <w:tcPr>
            <w:tcW w:w="2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0"/>
        </w:trPr>
        <w:tc>
          <w:tcPr>
            <w:tcW w:w="4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0</w:t>
            </w: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160" w:type="dxa"/>
            <w:vAlign w:val="bottom"/>
            <w:tcBorders>
              <w:right w:val="single" w:sz="8" w:color="auto"/>
            </w:tcBorders>
          </w:tcPr>
          <w:p>
            <w:pPr>
              <w:spacing w:after="0"/>
              <w:rPr>
                <w:sz w:val="20"/>
                <w:szCs w:val="20"/>
                <w:color w:val="auto"/>
              </w:rPr>
            </w:pPr>
          </w:p>
        </w:tc>
        <w:tc>
          <w:tcPr>
            <w:tcW w:w="8760" w:type="dxa"/>
            <w:vAlign w:val="bottom"/>
            <w:gridSpan w:val="5"/>
          </w:tcPr>
          <w:p>
            <w:pPr>
              <w:ind w:left="80"/>
              <w:spacing w:after="0"/>
              <w:rPr>
                <w:sz w:val="20"/>
                <w:szCs w:val="20"/>
                <w:color w:val="auto"/>
              </w:rPr>
            </w:pPr>
            <w:r>
              <w:rPr>
                <w:rFonts w:ascii="Arial" w:cs="Arial" w:eastAsia="Arial" w:hAnsi="Arial"/>
                <w:sz w:val="19"/>
                <w:szCs w:val="19"/>
                <w:color w:val="auto"/>
              </w:rPr>
              <w:t>AGGREGATE AMOUNT BENEFICIALLY OWNED BY EACH REPORTING PERSON</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4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9"/>
                <w:szCs w:val="19"/>
                <w:color w:val="auto"/>
                <w:w w:val="94"/>
              </w:rPr>
              <w:t>2,777,777</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160" w:type="dxa"/>
            <w:vAlign w:val="bottom"/>
            <w:tcBorders>
              <w:right w:val="single" w:sz="8" w:color="auto"/>
            </w:tcBorders>
          </w:tcPr>
          <w:p>
            <w:pPr>
              <w:spacing w:after="0"/>
              <w:rPr>
                <w:sz w:val="24"/>
                <w:szCs w:val="24"/>
                <w:color w:val="auto"/>
              </w:rPr>
            </w:pPr>
          </w:p>
        </w:tc>
        <w:tc>
          <w:tcPr>
            <w:tcW w:w="8760" w:type="dxa"/>
            <w:vAlign w:val="bottom"/>
            <w:gridSpan w:val="5"/>
          </w:tcPr>
          <w:p>
            <w:pPr>
              <w:ind w:left="80"/>
              <w:spacing w:after="0" w:line="219" w:lineRule="exact"/>
              <w:rPr>
                <w:sz w:val="20"/>
                <w:szCs w:val="20"/>
                <w:color w:val="auto"/>
              </w:rPr>
            </w:pPr>
            <w:r>
              <w:rPr>
                <w:rFonts w:ascii="Arial" w:cs="Arial" w:eastAsia="Arial" w:hAnsi="Arial"/>
                <w:sz w:val="19"/>
                <w:szCs w:val="19"/>
                <w:color w:val="auto"/>
              </w:rPr>
              <w:t xml:space="preserve">CHECK IF THE AGGREGATE AMOUNT IN ROW (9) EXCLUDES CERTAIN SHARES </w:t>
            </w:r>
            <w:r>
              <w:rPr>
                <w:rFonts w:ascii="MS PGothic" w:cs="MS PGothic" w:eastAsia="MS PGothic" w:hAnsi="MS PGothic"/>
                <w:sz w:val="19"/>
                <w:szCs w:val="19"/>
                <w:color w:val="auto"/>
              </w:rPr>
              <w:t>☐</w:t>
            </w: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60" w:type="dxa"/>
            <w:vAlign w:val="bottom"/>
            <w:tcBorders>
              <w:left w:val="single" w:sz="8" w:color="auto"/>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8760" w:type="dxa"/>
            <w:vAlign w:val="bottom"/>
            <w:tcBorders>
              <w:bottom w:val="single" w:sz="8" w:color="auto"/>
            </w:tcBorders>
            <w:gridSpan w:val="5"/>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160" w:type="dxa"/>
            <w:vAlign w:val="bottom"/>
            <w:tcBorders>
              <w:right w:val="single" w:sz="8" w:color="auto"/>
            </w:tcBorders>
          </w:tcPr>
          <w:p>
            <w:pPr>
              <w:spacing w:after="0"/>
              <w:rPr>
                <w:sz w:val="20"/>
                <w:szCs w:val="20"/>
                <w:color w:val="auto"/>
              </w:rPr>
            </w:pPr>
          </w:p>
        </w:tc>
        <w:tc>
          <w:tcPr>
            <w:tcW w:w="8760" w:type="dxa"/>
            <w:vAlign w:val="bottom"/>
            <w:gridSpan w:val="5"/>
          </w:tcPr>
          <w:p>
            <w:pPr>
              <w:ind w:left="80"/>
              <w:spacing w:after="0"/>
              <w:rPr>
                <w:sz w:val="20"/>
                <w:szCs w:val="20"/>
                <w:color w:val="auto"/>
              </w:rPr>
            </w:pPr>
            <w:r>
              <w:rPr>
                <w:rFonts w:ascii="Arial" w:cs="Arial" w:eastAsia="Arial" w:hAnsi="Arial"/>
                <w:sz w:val="19"/>
                <w:szCs w:val="19"/>
                <w:color w:val="auto"/>
              </w:rPr>
              <w:t>PERCENT OF CLASS REPRESENTED BY AMOUNT IN ROW 9</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4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9"/>
                <w:szCs w:val="19"/>
                <w:color w:val="auto"/>
              </w:rPr>
              <w:t>10.2%</w:t>
            </w:r>
            <w:r>
              <w:rPr>
                <w:rFonts w:ascii="Arial" w:cs="Arial" w:eastAsia="Arial" w:hAnsi="Arial"/>
                <w:sz w:val="16"/>
                <w:szCs w:val="16"/>
                <w:color w:val="auto"/>
              </w:rPr>
              <w:t>1</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160" w:type="dxa"/>
            <w:vAlign w:val="bottom"/>
            <w:tcBorders>
              <w:right w:val="single" w:sz="8" w:color="auto"/>
            </w:tcBorders>
          </w:tcPr>
          <w:p>
            <w:pPr>
              <w:spacing w:after="0"/>
              <w:rPr>
                <w:sz w:val="20"/>
                <w:szCs w:val="20"/>
                <w:color w:val="auto"/>
              </w:rPr>
            </w:pPr>
          </w:p>
        </w:tc>
        <w:tc>
          <w:tcPr>
            <w:tcW w:w="8760" w:type="dxa"/>
            <w:vAlign w:val="bottom"/>
            <w:gridSpan w:val="5"/>
          </w:tcPr>
          <w:p>
            <w:pPr>
              <w:ind w:left="80"/>
              <w:spacing w:after="0"/>
              <w:rPr>
                <w:sz w:val="20"/>
                <w:szCs w:val="20"/>
                <w:color w:val="auto"/>
              </w:rPr>
            </w:pPr>
            <w:r>
              <w:rPr>
                <w:rFonts w:ascii="Arial" w:cs="Arial" w:eastAsia="Arial" w:hAnsi="Arial"/>
                <w:sz w:val="19"/>
                <w:szCs w:val="19"/>
                <w:color w:val="auto"/>
              </w:rPr>
              <w:t>TYPE OF REPORTING PERSON</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46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9"/>
                <w:szCs w:val="19"/>
                <w:color w:val="auto"/>
              </w:rPr>
              <w:t>HC, CO</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68260" cy="400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90805</wp:posOffset>
            </wp:positionV>
            <wp:extent cx="7423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65" w:lineRule="exact"/>
        <w:rPr>
          <w:sz w:val="20"/>
          <w:szCs w:val="20"/>
          <w:color w:val="auto"/>
        </w:rPr>
      </w:pPr>
    </w:p>
    <w:p>
      <w:pPr>
        <w:ind w:left="461" w:right="200" w:hanging="461"/>
        <w:spacing w:after="0" w:line="275" w:lineRule="auto"/>
        <w:tabs>
          <w:tab w:leader="none" w:pos="461" w:val="left"/>
        </w:tabs>
        <w:numPr>
          <w:ilvl w:val="0"/>
          <w:numId w:val="5"/>
        </w:numPr>
        <w:rPr>
          <w:rFonts w:ascii="Arial" w:cs="Arial" w:eastAsia="Arial" w:hAnsi="Arial"/>
          <w:sz w:val="16"/>
          <w:szCs w:val="16"/>
          <w:color w:val="auto"/>
        </w:rPr>
      </w:pPr>
      <w:r>
        <w:rPr>
          <w:rFonts w:ascii="Arial" w:cs="Arial" w:eastAsia="Arial" w:hAnsi="Arial"/>
          <w:sz w:val="19"/>
          <w:szCs w:val="19"/>
          <w:color w:val="auto"/>
        </w:rPr>
        <w:t>The percentage is calculated based upon 27,202,885 shares of outstanding Class A common stock as of April 23, 2019, as provided by the Issuer to the Reporting Person.</w:t>
      </w:r>
    </w:p>
    <w:p>
      <w:pPr>
        <w:sectPr>
          <w:pgSz w:w="12240" w:h="15840" w:orient="portrait"/>
          <w:cols w:equalWidth="0" w:num="1">
            <w:col w:w="11661"/>
          </w:cols>
          <w:pgMar w:left="299" w:top="142" w:right="280" w:bottom="1440" w:gutter="0" w:footer="0" w:header="0"/>
        </w:sectPr>
      </w:pPr>
    </w:p>
    <w:bookmarkStart w:id="2" w:name="page3"/>
    <w:bookmarkEnd w:id="2"/>
    <w:p>
      <w:pPr>
        <w:spacing w:after="0"/>
        <w:tabs>
          <w:tab w:leader="none" w:pos="5880" w:val="left"/>
          <w:tab w:leader="none" w:pos="10760"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t>CUSIP No. 98980L101</w:t>
      </w:r>
      <w:r>
        <w:rPr>
          <w:sz w:val="20"/>
          <w:szCs w:val="20"/>
          <w:color w:val="auto"/>
        </w:rPr>
        <w:tab/>
      </w:r>
      <w:r>
        <w:rPr>
          <w:rFonts w:ascii="Arial" w:cs="Arial" w:eastAsia="Arial" w:hAnsi="Arial"/>
          <w:sz w:val="19"/>
          <w:szCs w:val="19"/>
          <w:color w:val="auto"/>
        </w:rPr>
        <w:t>13G</w:t>
      </w:r>
      <w:r>
        <w:rPr>
          <w:sz w:val="20"/>
          <w:szCs w:val="20"/>
          <w:color w:val="auto"/>
        </w:rPr>
        <w:tab/>
      </w:r>
      <w:r>
        <w:rPr>
          <w:rFonts w:ascii="Arial" w:cs="Arial" w:eastAsia="Arial" w:hAnsi="Arial"/>
          <w:sz w:val="16"/>
          <w:szCs w:val="16"/>
          <w:color w:val="auto"/>
        </w:rPr>
        <w:t>Page 2 of 4</w:t>
      </w:r>
    </w:p>
    <w:p>
      <w:pPr>
        <w:spacing w:after="0" w:line="161"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Zoom Video Communications, Inc., a Delaware corporation (“Issuer”)</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9"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55 Almaden Boulevard, 6</w:t>
      </w:r>
      <w:r>
        <w:rPr>
          <w:rFonts w:ascii="Arial" w:cs="Arial" w:eastAsia="Arial" w:hAnsi="Arial"/>
          <w:sz w:val="16"/>
          <w:szCs w:val="16"/>
          <w:color w:val="auto"/>
        </w:rPr>
        <w:t>th</w:t>
      </w:r>
      <w:r>
        <w:rPr>
          <w:rFonts w:ascii="Arial" w:cs="Arial" w:eastAsia="Arial" w:hAnsi="Arial"/>
          <w:sz w:val="19"/>
          <w:szCs w:val="19"/>
          <w:color w:val="auto"/>
        </w:rPr>
        <w:t xml:space="preserve"> Floor</w:t>
      </w:r>
    </w:p>
    <w:p>
      <w:pPr>
        <w:spacing w:after="0" w:line="24"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San Jose, CA 95113</w:t>
      </w:r>
    </w:p>
    <w:p>
      <w:pPr>
        <w:spacing w:after="0" w:line="376"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2(a).</w:t>
      </w:r>
      <w:r>
        <w:rPr>
          <w:sz w:val="20"/>
          <w:szCs w:val="20"/>
          <w:color w:val="auto"/>
        </w:rPr>
        <w:tab/>
      </w:r>
      <w:r>
        <w:rPr>
          <w:rFonts w:ascii="Arial" w:cs="Arial" w:eastAsia="Arial" w:hAnsi="Arial"/>
          <w:sz w:val="17"/>
          <w:szCs w:val="17"/>
          <w:b w:val="1"/>
          <w:bCs w:val="1"/>
          <w:color w:val="auto"/>
        </w:rPr>
        <w:t>Name of Person Filing:</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This Schedule 13G is filed by salesforce.com, inc. (“Salesforce”).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2(b).</w:t>
      </w:r>
      <w:r>
        <w:rPr>
          <w:sz w:val="20"/>
          <w:szCs w:val="20"/>
          <w:color w:val="auto"/>
        </w:rPr>
        <w:tab/>
      </w:r>
      <w:r>
        <w:rPr>
          <w:rFonts w:ascii="Arial" w:cs="Arial" w:eastAsia="Arial" w:hAnsi="Arial"/>
          <w:sz w:val="16"/>
          <w:szCs w:val="16"/>
          <w:b w:val="1"/>
          <w:bCs w:val="1"/>
          <w:color w:val="auto"/>
        </w:rPr>
        <w:t>Address of Principal Business Office or, if None, Residence:</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The principal business address of Salesforce is 415 Mission Street, 3rd Floor, San Francisco, CA 94105.</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2(c).</w:t>
      </w:r>
      <w:r>
        <w:rPr>
          <w:sz w:val="20"/>
          <w:szCs w:val="20"/>
          <w:color w:val="auto"/>
        </w:rPr>
        <w:tab/>
      </w:r>
      <w:r>
        <w:rPr>
          <w:rFonts w:ascii="Arial" w:cs="Arial" w:eastAsia="Arial" w:hAnsi="Arial"/>
          <w:sz w:val="17"/>
          <w:szCs w:val="17"/>
          <w:b w:val="1"/>
          <w:bCs w:val="1"/>
          <w:color w:val="auto"/>
        </w:rPr>
        <w:t>Citizenship:</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Salesforce is a Delaware corporation.</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Class A common stock, par value $0.001</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2(e).</w:t>
      </w:r>
      <w:r>
        <w:rPr>
          <w:sz w:val="20"/>
          <w:szCs w:val="20"/>
          <w:color w:val="auto"/>
        </w:rPr>
        <w:tab/>
      </w:r>
      <w:r>
        <w:rPr>
          <w:rFonts w:ascii="Arial" w:cs="Arial" w:eastAsia="Arial" w:hAnsi="Arial"/>
          <w:sz w:val="18"/>
          <w:szCs w:val="18"/>
          <w:b w:val="1"/>
          <w:bCs w:val="1"/>
          <w:color w:val="auto"/>
        </w:rPr>
        <w:t>CUSIP Number:</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98980L101</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7"/>
          <w:szCs w:val="17"/>
          <w:b w:val="1"/>
          <w:bCs w:val="1"/>
          <w:color w:val="auto"/>
        </w:rPr>
        <w:t>If this statement is filed pursuant to §§240.13d-1(b) or 240.13d-2(b) or (c), check whether the person filing is a:</w:t>
      </w:r>
    </w:p>
    <w:p>
      <w:pPr>
        <w:spacing w:after="0" w:line="144" w:lineRule="exact"/>
        <w:rPr>
          <w:sz w:val="20"/>
          <w:szCs w:val="20"/>
          <w:color w:val="auto"/>
        </w:rPr>
      </w:pPr>
    </w:p>
    <w:p>
      <w:pPr>
        <w:ind w:left="1620" w:hanging="579"/>
        <w:spacing w:after="0"/>
        <w:tabs>
          <w:tab w:leader="none" w:pos="1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Broker or dealer registered under section 15 of the Act (15 U.S.C. 78o).</w:t>
      </w:r>
    </w:p>
    <w:p>
      <w:pPr>
        <w:spacing w:after="0" w:line="138" w:lineRule="exact"/>
        <w:rPr>
          <w:rFonts w:ascii="Arial" w:cs="Arial" w:eastAsia="Arial" w:hAnsi="Arial"/>
          <w:sz w:val="19"/>
          <w:szCs w:val="19"/>
          <w:color w:val="auto"/>
        </w:rPr>
      </w:pPr>
    </w:p>
    <w:p>
      <w:pPr>
        <w:ind w:left="1620" w:hanging="579"/>
        <w:spacing w:after="0"/>
        <w:tabs>
          <w:tab w:leader="none" w:pos="1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Bank as defined in section 3(a)(6) of the Act (15 U.S.C. 78c).</w:t>
      </w:r>
    </w:p>
    <w:p>
      <w:pPr>
        <w:spacing w:after="0" w:line="138" w:lineRule="exact"/>
        <w:rPr>
          <w:rFonts w:ascii="Arial" w:cs="Arial" w:eastAsia="Arial" w:hAnsi="Arial"/>
          <w:sz w:val="19"/>
          <w:szCs w:val="19"/>
          <w:color w:val="auto"/>
        </w:rPr>
      </w:pPr>
    </w:p>
    <w:p>
      <w:pPr>
        <w:ind w:left="1620" w:hanging="579"/>
        <w:spacing w:after="0"/>
        <w:tabs>
          <w:tab w:leader="none" w:pos="1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Insurance company as defined in section 3(a)(19) of the Act (15 U.S.C. 78c).</w:t>
      </w:r>
    </w:p>
    <w:p>
      <w:pPr>
        <w:spacing w:after="0" w:line="138" w:lineRule="exact"/>
        <w:rPr>
          <w:rFonts w:ascii="Arial" w:cs="Arial" w:eastAsia="Arial" w:hAnsi="Arial"/>
          <w:sz w:val="19"/>
          <w:szCs w:val="19"/>
          <w:color w:val="auto"/>
        </w:rPr>
      </w:pPr>
    </w:p>
    <w:p>
      <w:pPr>
        <w:ind w:left="1620" w:hanging="579"/>
        <w:spacing w:after="0"/>
        <w:tabs>
          <w:tab w:leader="none" w:pos="1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Investment company registered under section 8 of the Investment Company Act of 1940 (15 U.S.C. 80a-8).</w:t>
      </w:r>
    </w:p>
    <w:p>
      <w:pPr>
        <w:spacing w:after="0" w:line="138" w:lineRule="exact"/>
        <w:rPr>
          <w:rFonts w:ascii="Arial" w:cs="Arial" w:eastAsia="Arial" w:hAnsi="Arial"/>
          <w:sz w:val="19"/>
          <w:szCs w:val="19"/>
          <w:color w:val="auto"/>
        </w:rPr>
      </w:pPr>
    </w:p>
    <w:p>
      <w:pPr>
        <w:ind w:left="1620" w:hanging="579"/>
        <w:spacing w:after="0"/>
        <w:tabs>
          <w:tab w:leader="none" w:pos="1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An investment adviser in accordance with §240.13d-1(b)(1)(ii)(E).</w:t>
      </w:r>
    </w:p>
    <w:p>
      <w:pPr>
        <w:spacing w:after="0" w:line="138" w:lineRule="exact"/>
        <w:rPr>
          <w:rFonts w:ascii="Arial" w:cs="Arial" w:eastAsia="Arial" w:hAnsi="Arial"/>
          <w:sz w:val="19"/>
          <w:szCs w:val="19"/>
          <w:color w:val="auto"/>
        </w:rPr>
      </w:pPr>
    </w:p>
    <w:p>
      <w:pPr>
        <w:ind w:left="1620" w:hanging="579"/>
        <w:spacing w:after="0"/>
        <w:tabs>
          <w:tab w:leader="none" w:pos="1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An employee benefit plan or endowment fund in accordance with §240.13d-1(b)(1)(ii)(F).</w:t>
      </w:r>
    </w:p>
    <w:p>
      <w:pPr>
        <w:spacing w:after="0" w:line="138" w:lineRule="exact"/>
        <w:rPr>
          <w:rFonts w:ascii="Arial" w:cs="Arial" w:eastAsia="Arial" w:hAnsi="Arial"/>
          <w:sz w:val="19"/>
          <w:szCs w:val="19"/>
          <w:color w:val="auto"/>
        </w:rPr>
      </w:pPr>
    </w:p>
    <w:p>
      <w:pPr>
        <w:ind w:left="1620" w:hanging="579"/>
        <w:spacing w:after="0"/>
        <w:tabs>
          <w:tab w:leader="none" w:pos="1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A parent holding company or control person in accordance with § 240.13d-1(b)(1)(ii)(G).</w:t>
      </w:r>
    </w:p>
    <w:p>
      <w:pPr>
        <w:spacing w:after="0" w:line="138" w:lineRule="exact"/>
        <w:rPr>
          <w:rFonts w:ascii="Arial" w:cs="Arial" w:eastAsia="Arial" w:hAnsi="Arial"/>
          <w:sz w:val="19"/>
          <w:szCs w:val="19"/>
          <w:color w:val="auto"/>
        </w:rPr>
      </w:pPr>
    </w:p>
    <w:p>
      <w:pPr>
        <w:ind w:left="1620" w:hanging="579"/>
        <w:spacing w:after="0"/>
        <w:tabs>
          <w:tab w:leader="none" w:pos="1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A savings associations as defined in Section 3(b) of the Federal Deposit Insurance Act (12 U.S.C. 1813).</w:t>
      </w:r>
    </w:p>
    <w:p>
      <w:pPr>
        <w:spacing w:after="0" w:line="138" w:lineRule="exact"/>
        <w:rPr>
          <w:rFonts w:ascii="Arial" w:cs="Arial" w:eastAsia="Arial" w:hAnsi="Arial"/>
          <w:sz w:val="19"/>
          <w:szCs w:val="19"/>
          <w:color w:val="auto"/>
        </w:rPr>
      </w:pPr>
    </w:p>
    <w:p>
      <w:pPr>
        <w:ind w:left="1620" w:right="260" w:hanging="579"/>
        <w:spacing w:after="0" w:line="275" w:lineRule="auto"/>
        <w:tabs>
          <w:tab w:leader="none" w:pos="1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A church plan that is excluded from the definition of an investment company under section 3(c)(14) of the Investment Company Act of 1940 (15 U.S.C. 80a-3).</w:t>
      </w:r>
    </w:p>
    <w:p>
      <w:pPr>
        <w:spacing w:after="0" w:line="84" w:lineRule="exact"/>
        <w:rPr>
          <w:rFonts w:ascii="Arial" w:cs="Arial" w:eastAsia="Arial" w:hAnsi="Arial"/>
          <w:sz w:val="19"/>
          <w:szCs w:val="19"/>
          <w:color w:val="auto"/>
        </w:rPr>
      </w:pPr>
    </w:p>
    <w:p>
      <w:pPr>
        <w:ind w:left="1620" w:hanging="579"/>
        <w:spacing w:after="0"/>
        <w:tabs>
          <w:tab w:leader="none" w:pos="1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A non-U.S. institution in accordance with §240.13d-1(b)(1)(ii)(J).</w:t>
      </w:r>
    </w:p>
    <w:p>
      <w:pPr>
        <w:spacing w:after="0" w:line="138" w:lineRule="exact"/>
        <w:rPr>
          <w:rFonts w:ascii="Arial" w:cs="Arial" w:eastAsia="Arial" w:hAnsi="Arial"/>
          <w:sz w:val="19"/>
          <w:szCs w:val="19"/>
          <w:color w:val="auto"/>
        </w:rPr>
      </w:pPr>
    </w:p>
    <w:p>
      <w:pPr>
        <w:ind w:left="1620" w:hanging="579"/>
        <w:spacing w:after="0"/>
        <w:tabs>
          <w:tab w:leader="none" w:pos="1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Group, in accordance with §240.13d-1(b)(1)(ii)(K).</w:t>
      </w:r>
    </w:p>
    <w:p>
      <w:pPr>
        <w:spacing w:after="0" w:line="124"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130" w:lineRule="exact"/>
        <w:rPr>
          <w:sz w:val="20"/>
          <w:szCs w:val="20"/>
          <w:color w:val="auto"/>
        </w:rPr>
      </w:pPr>
    </w:p>
    <w:p>
      <w:pPr>
        <w:ind w:left="1040" w:right="120"/>
        <w:spacing w:after="0" w:line="275" w:lineRule="auto"/>
        <w:rPr>
          <w:sz w:val="20"/>
          <w:szCs w:val="20"/>
          <w:color w:val="auto"/>
        </w:rPr>
      </w:pPr>
      <w:r>
        <w:rPr>
          <w:rFonts w:ascii="Arial" w:cs="Arial" w:eastAsia="Arial" w:hAnsi="Arial"/>
          <w:sz w:val="19"/>
          <w:szCs w:val="19"/>
          <w:color w:val="auto"/>
        </w:rPr>
        <w:t>Provide the following information regarding the aggregate number and percentage of the class of securities of the issuer identified in Item 1.</w:t>
      </w:r>
    </w:p>
    <w:p>
      <w:pPr>
        <w:spacing w:after="0" w:line="84" w:lineRule="exact"/>
        <w:rPr>
          <w:sz w:val="20"/>
          <w:szCs w:val="20"/>
          <w:color w:val="auto"/>
        </w:rPr>
      </w:pPr>
    </w:p>
    <w:p>
      <w:pPr>
        <w:ind w:left="1040" w:right="7860" w:firstLine="1"/>
        <w:spacing w:after="0" w:line="401" w:lineRule="auto"/>
        <w:tabs>
          <w:tab w:leader="none" w:pos="1604" w:val="left"/>
        </w:tabs>
        <w:numPr>
          <w:ilvl w:val="0"/>
          <w:numId w:val="7"/>
        </w:numPr>
        <w:rPr>
          <w:rFonts w:ascii="Arial" w:cs="Arial" w:eastAsia="Arial" w:hAnsi="Arial"/>
          <w:sz w:val="19"/>
          <w:szCs w:val="19"/>
          <w:color w:val="auto"/>
        </w:rPr>
      </w:pPr>
      <w:r>
        <w:rPr>
          <w:rFonts w:ascii="Arial" w:cs="Arial" w:eastAsia="Arial" w:hAnsi="Arial"/>
          <w:sz w:val="19"/>
          <w:szCs w:val="19"/>
          <w:color w:val="auto"/>
        </w:rPr>
        <w:t>Amount beneficially owned: See Cover Page Item 9.</w:t>
      </w:r>
    </w:p>
    <w:p>
      <w:pPr>
        <w:sectPr>
          <w:pgSz w:w="12240" w:h="15840" w:orient="portrait"/>
          <w:cols w:equalWidth="0" w:num="1">
            <w:col w:w="11640"/>
          </w:cols>
          <w:pgMar w:left="300" w:top="142" w:right="300" w:bottom="1069" w:gutter="0" w:footer="0" w:header="0"/>
        </w:sectPr>
      </w:pPr>
    </w:p>
    <w:bookmarkStart w:id="3" w:name="page4"/>
    <w:bookmarkEnd w:id="3"/>
    <w:p>
      <w:pPr>
        <w:spacing w:after="0"/>
        <w:tabs>
          <w:tab w:leader="none" w:pos="5880" w:val="left"/>
          <w:tab w:leader="none" w:pos="10760"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t>CUSIP No. 98980L101</w:t>
      </w:r>
      <w:r>
        <w:rPr>
          <w:sz w:val="20"/>
          <w:szCs w:val="20"/>
          <w:color w:val="auto"/>
        </w:rPr>
        <w:tab/>
      </w:r>
      <w:r>
        <w:rPr>
          <w:rFonts w:ascii="Arial" w:cs="Arial" w:eastAsia="Arial" w:hAnsi="Arial"/>
          <w:sz w:val="19"/>
          <w:szCs w:val="19"/>
          <w:color w:val="auto"/>
        </w:rPr>
        <w:t>13G</w:t>
      </w:r>
      <w:r>
        <w:rPr>
          <w:sz w:val="20"/>
          <w:szCs w:val="20"/>
          <w:color w:val="auto"/>
        </w:rPr>
        <w:tab/>
      </w:r>
      <w:r>
        <w:rPr>
          <w:rFonts w:ascii="Arial" w:cs="Arial" w:eastAsia="Arial" w:hAnsi="Arial"/>
          <w:sz w:val="16"/>
          <w:szCs w:val="16"/>
          <w:color w:val="auto"/>
        </w:rPr>
        <w:t>Page 3 of 4</w:t>
      </w:r>
    </w:p>
    <w:p>
      <w:pPr>
        <w:spacing w:after="0" w:line="167" w:lineRule="exact"/>
        <w:rPr>
          <w:sz w:val="20"/>
          <w:szCs w:val="20"/>
          <w:color w:val="auto"/>
        </w:rPr>
      </w:pPr>
    </w:p>
    <w:p>
      <w:pPr>
        <w:ind w:left="1620" w:hanging="579"/>
        <w:spacing w:after="0"/>
        <w:tabs>
          <w:tab w:leader="none" w:pos="1620" w:val="left"/>
        </w:tabs>
        <w:numPr>
          <w:ilvl w:val="0"/>
          <w:numId w:val="8"/>
        </w:numPr>
        <w:rPr>
          <w:rFonts w:ascii="Arial" w:cs="Arial" w:eastAsia="Arial" w:hAnsi="Arial"/>
          <w:sz w:val="19"/>
          <w:szCs w:val="19"/>
          <w:color w:val="auto"/>
        </w:rPr>
      </w:pPr>
      <w:r>
        <w:rPr>
          <w:rFonts w:ascii="Arial" w:cs="Arial" w:eastAsia="Arial" w:hAnsi="Arial"/>
          <w:sz w:val="19"/>
          <w:szCs w:val="19"/>
          <w:color w:val="auto"/>
        </w:rPr>
        <w:t>Percent of class: See Cover Page Item 11.</w:t>
      </w:r>
    </w:p>
    <w:p>
      <w:pPr>
        <w:spacing w:after="0" w:line="138" w:lineRule="exact"/>
        <w:rPr>
          <w:rFonts w:ascii="Arial" w:cs="Arial" w:eastAsia="Arial" w:hAnsi="Arial"/>
          <w:sz w:val="19"/>
          <w:szCs w:val="19"/>
          <w:color w:val="auto"/>
        </w:rPr>
      </w:pPr>
    </w:p>
    <w:p>
      <w:pPr>
        <w:ind w:left="1620" w:hanging="579"/>
        <w:spacing w:after="0"/>
        <w:tabs>
          <w:tab w:leader="none" w:pos="1620" w:val="left"/>
        </w:tabs>
        <w:numPr>
          <w:ilvl w:val="0"/>
          <w:numId w:val="8"/>
        </w:numPr>
        <w:rPr>
          <w:rFonts w:ascii="Arial" w:cs="Arial" w:eastAsia="Arial" w:hAnsi="Arial"/>
          <w:sz w:val="19"/>
          <w:szCs w:val="19"/>
          <w:color w:val="auto"/>
        </w:rPr>
      </w:pPr>
      <w:r>
        <w:rPr>
          <w:rFonts w:ascii="Arial" w:cs="Arial" w:eastAsia="Arial" w:hAnsi="Arial"/>
          <w:sz w:val="19"/>
          <w:szCs w:val="19"/>
          <w:color w:val="auto"/>
        </w:rPr>
        <w:t>Number of shares as to which the person has:</w:t>
      </w:r>
    </w:p>
    <w:p>
      <w:pPr>
        <w:spacing w:after="0" w:line="138" w:lineRule="exact"/>
        <w:rPr>
          <w:rFonts w:ascii="Arial" w:cs="Arial" w:eastAsia="Arial" w:hAnsi="Arial"/>
          <w:sz w:val="19"/>
          <w:szCs w:val="19"/>
          <w:color w:val="auto"/>
        </w:rPr>
      </w:pPr>
    </w:p>
    <w:p>
      <w:pPr>
        <w:ind w:left="2080" w:hanging="455"/>
        <w:spacing w:after="0"/>
        <w:tabs>
          <w:tab w:leader="none" w:pos="2080" w:val="left"/>
        </w:tabs>
        <w:numPr>
          <w:ilvl w:val="1"/>
          <w:numId w:val="8"/>
        </w:numPr>
        <w:rPr>
          <w:rFonts w:ascii="Arial" w:cs="Arial" w:eastAsia="Arial" w:hAnsi="Arial"/>
          <w:sz w:val="19"/>
          <w:szCs w:val="19"/>
          <w:color w:val="auto"/>
        </w:rPr>
      </w:pPr>
      <w:r>
        <w:rPr>
          <w:rFonts w:ascii="Arial" w:cs="Arial" w:eastAsia="Arial" w:hAnsi="Arial"/>
          <w:sz w:val="19"/>
          <w:szCs w:val="19"/>
          <w:color w:val="auto"/>
        </w:rPr>
        <w:t>Sole power to vote or to direct the vote: See Cover Page Item 5.</w:t>
      </w:r>
    </w:p>
    <w:p>
      <w:pPr>
        <w:spacing w:after="0" w:line="138" w:lineRule="exact"/>
        <w:rPr>
          <w:rFonts w:ascii="Arial" w:cs="Arial" w:eastAsia="Arial" w:hAnsi="Arial"/>
          <w:sz w:val="19"/>
          <w:szCs w:val="19"/>
          <w:color w:val="auto"/>
        </w:rPr>
      </w:pPr>
    </w:p>
    <w:p>
      <w:pPr>
        <w:ind w:left="2080" w:hanging="455"/>
        <w:spacing w:after="0"/>
        <w:tabs>
          <w:tab w:leader="none" w:pos="2080" w:val="left"/>
        </w:tabs>
        <w:numPr>
          <w:ilvl w:val="1"/>
          <w:numId w:val="8"/>
        </w:numPr>
        <w:rPr>
          <w:rFonts w:ascii="Arial" w:cs="Arial" w:eastAsia="Arial" w:hAnsi="Arial"/>
          <w:sz w:val="19"/>
          <w:szCs w:val="19"/>
          <w:color w:val="auto"/>
        </w:rPr>
      </w:pPr>
      <w:r>
        <w:rPr>
          <w:rFonts w:ascii="Arial" w:cs="Arial" w:eastAsia="Arial" w:hAnsi="Arial"/>
          <w:sz w:val="19"/>
          <w:szCs w:val="19"/>
          <w:color w:val="auto"/>
        </w:rPr>
        <w:t>Shared power to vote or to direct the vote: See Cover Page Item 6.</w:t>
      </w:r>
    </w:p>
    <w:p>
      <w:pPr>
        <w:spacing w:after="0" w:line="138" w:lineRule="exact"/>
        <w:rPr>
          <w:rFonts w:ascii="Arial" w:cs="Arial" w:eastAsia="Arial" w:hAnsi="Arial"/>
          <w:sz w:val="19"/>
          <w:szCs w:val="19"/>
          <w:color w:val="auto"/>
        </w:rPr>
      </w:pPr>
    </w:p>
    <w:p>
      <w:pPr>
        <w:ind w:left="2080" w:hanging="455"/>
        <w:spacing w:after="0"/>
        <w:tabs>
          <w:tab w:leader="none" w:pos="2080" w:val="left"/>
        </w:tabs>
        <w:numPr>
          <w:ilvl w:val="1"/>
          <w:numId w:val="8"/>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See Cover Page Item 7.</w:t>
      </w:r>
    </w:p>
    <w:p>
      <w:pPr>
        <w:spacing w:after="0" w:line="138" w:lineRule="exact"/>
        <w:rPr>
          <w:rFonts w:ascii="Arial" w:cs="Arial" w:eastAsia="Arial" w:hAnsi="Arial"/>
          <w:sz w:val="19"/>
          <w:szCs w:val="19"/>
          <w:color w:val="auto"/>
        </w:rPr>
      </w:pPr>
    </w:p>
    <w:p>
      <w:pPr>
        <w:ind w:left="2080" w:hanging="455"/>
        <w:spacing w:after="0"/>
        <w:tabs>
          <w:tab w:leader="none" w:pos="2080" w:val="left"/>
        </w:tabs>
        <w:numPr>
          <w:ilvl w:val="1"/>
          <w:numId w:val="8"/>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See Cover Page Item 8.</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7"/>
          <w:szCs w:val="17"/>
          <w:b w:val="1"/>
          <w:bCs w:val="1"/>
          <w:color w:val="auto"/>
        </w:rPr>
        <w:t>Ownership of More Than Five Percent on Behalf of Another Person.</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ind w:left="1040" w:right="740" w:hanging="1040"/>
        <w:spacing w:after="0" w:line="282" w:lineRule="auto"/>
        <w:tabs>
          <w:tab w:leader="none" w:pos="1020"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63" w:lineRule="exact"/>
        <w:rPr>
          <w:sz w:val="20"/>
          <w:szCs w:val="20"/>
          <w:color w:val="auto"/>
        </w:rPr>
      </w:pPr>
    </w:p>
    <w:p>
      <w:pPr>
        <w:ind w:left="1040" w:right="540"/>
        <w:spacing w:after="0" w:line="275" w:lineRule="auto"/>
        <w:rPr>
          <w:sz w:val="20"/>
          <w:szCs w:val="20"/>
          <w:color w:val="auto"/>
        </w:rPr>
      </w:pPr>
      <w:r>
        <w:rPr>
          <w:rFonts w:ascii="Arial" w:cs="Arial" w:eastAsia="Arial" w:hAnsi="Arial"/>
          <w:sz w:val="19"/>
          <w:szCs w:val="19"/>
          <w:color w:val="auto"/>
        </w:rPr>
        <w:t>Salesforce Ventures LLC, a Delaware limited liability company and a wholly owned subsidiary of Salesforce, is the record owner of 2,777,777 shares of Class A common stock.</w:t>
      </w:r>
    </w:p>
    <w:p>
      <w:pPr>
        <w:spacing w:after="0" w:line="335"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7"/>
          <w:szCs w:val="17"/>
          <w:b w:val="1"/>
          <w:bCs w:val="1"/>
          <w:color w:val="auto"/>
        </w:rPr>
        <w:t>Identification and Classification of Members of the Group.</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130"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Not applicable.</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7"/>
          <w:szCs w:val="17"/>
          <w:b w:val="1"/>
          <w:bCs w:val="1"/>
          <w:color w:val="auto"/>
        </w:rPr>
        <w:t>Certifications.</w:t>
      </w:r>
    </w:p>
    <w:p>
      <w:pPr>
        <w:spacing w:after="0" w:line="130" w:lineRule="exact"/>
        <w:rPr>
          <w:sz w:val="20"/>
          <w:szCs w:val="20"/>
          <w:color w:val="auto"/>
        </w:rPr>
      </w:pPr>
    </w:p>
    <w:p>
      <w:pPr>
        <w:jc w:val="both"/>
        <w:ind w:left="1040" w:right="80"/>
        <w:spacing w:after="0" w:line="25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2240" w:h="15840" w:orient="portrait"/>
          <w:cols w:equalWidth="0" w:num="1">
            <w:col w:w="11640"/>
          </w:cols>
          <w:pgMar w:left="300" w:top="142" w:right="300" w:bottom="1440" w:gutter="0" w:footer="0" w:header="0"/>
        </w:sectPr>
      </w:pPr>
    </w:p>
    <w:bookmarkStart w:id="4" w:name="page5"/>
    <w:bookmarkEnd w:id="4"/>
    <w:p>
      <w:pPr>
        <w:spacing w:after="0"/>
        <w:tabs>
          <w:tab w:leader="none" w:pos="5880" w:val="left"/>
          <w:tab w:leader="none" w:pos="10760"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68260" cy="40005"/>
                    </a:xfrm>
                    <a:prstGeom prst="rect">
                      <a:avLst/>
                    </a:prstGeom>
                    <a:noFill/>
                  </pic:spPr>
                </pic:pic>
              </a:graphicData>
            </a:graphic>
          </wp:anchor>
        </w:drawing>
        <w:t>CUSIP No. 98980L101</w:t>
      </w:r>
      <w:r>
        <w:rPr>
          <w:sz w:val="20"/>
          <w:szCs w:val="20"/>
          <w:color w:val="auto"/>
        </w:rPr>
        <w:tab/>
      </w:r>
      <w:r>
        <w:rPr>
          <w:rFonts w:ascii="Arial" w:cs="Arial" w:eastAsia="Arial" w:hAnsi="Arial"/>
          <w:sz w:val="19"/>
          <w:szCs w:val="19"/>
          <w:color w:val="auto"/>
        </w:rPr>
        <w:t>13G</w:t>
      </w:r>
      <w:r>
        <w:rPr>
          <w:sz w:val="20"/>
          <w:szCs w:val="20"/>
          <w:color w:val="auto"/>
        </w:rPr>
        <w:tab/>
      </w:r>
      <w:r>
        <w:rPr>
          <w:rFonts w:ascii="Arial" w:cs="Arial" w:eastAsia="Arial" w:hAnsi="Arial"/>
          <w:sz w:val="16"/>
          <w:szCs w:val="16"/>
          <w:color w:val="auto"/>
        </w:rPr>
        <w:t>Page 4 of 4</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ind w:right="320" w:firstLine="465"/>
        <w:spacing w:after="0" w:line="275" w:lineRule="auto"/>
        <w:rPr>
          <w:sz w:val="20"/>
          <w:szCs w:val="20"/>
          <w:color w:val="auto"/>
        </w:rPr>
      </w:pPr>
      <w:r>
        <w:rPr>
          <w:rFonts w:ascii="Arial" w:cs="Arial" w:eastAsia="Arial" w:hAnsi="Arial"/>
          <w:sz w:val="19"/>
          <w:szCs w:val="19"/>
          <w:color w:val="auto"/>
        </w:rPr>
        <w:t>After reasonable inquiry and to the best of my knowledge and belief, the undersigned certifies that the information set forth in this statement is true, complete and correct.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r>
              <w:rPr>
                <w:rFonts w:ascii="Arial" w:cs="Arial" w:eastAsia="Arial" w:hAnsi="Arial"/>
                <w:sz w:val="19"/>
                <w:szCs w:val="19"/>
                <w:color w:val="auto"/>
              </w:rPr>
              <w:t>SALESFORCE.COM, INC.</w:t>
            </w:r>
          </w:p>
        </w:tc>
        <w:tc>
          <w:tcPr>
            <w:tcW w:w="3040" w:type="dxa"/>
            <w:vAlign w:val="bottom"/>
          </w:tcPr>
          <w:p>
            <w:pPr>
              <w:spacing w:after="0"/>
              <w:rPr>
                <w:sz w:val="20"/>
                <w:szCs w:val="20"/>
                <w:color w:val="auto"/>
              </w:rPr>
            </w:pPr>
          </w:p>
        </w:tc>
      </w:tr>
      <w:tr>
        <w:trPr>
          <w:trHeight w:val="485"/>
        </w:trPr>
        <w:tc>
          <w:tcPr>
            <w:tcW w:w="4220" w:type="dxa"/>
            <w:vAlign w:val="bottom"/>
          </w:tcPr>
          <w:p>
            <w:pPr>
              <w:spacing w:after="0"/>
              <w:rPr>
                <w:sz w:val="20"/>
                <w:szCs w:val="20"/>
                <w:color w:val="auto"/>
              </w:rPr>
            </w:pPr>
            <w:r>
              <w:rPr>
                <w:rFonts w:ascii="Arial" w:cs="Arial" w:eastAsia="Arial" w:hAnsi="Arial"/>
                <w:sz w:val="19"/>
                <w:szCs w:val="19"/>
                <w:color w:val="auto"/>
              </w:rPr>
              <w:t>/s/ Amy Weaver</w:t>
            </w:r>
          </w:p>
        </w:tc>
        <w:tc>
          <w:tcPr>
            <w:tcW w:w="3040" w:type="dxa"/>
            <w:vAlign w:val="bottom"/>
          </w:tcPr>
          <w:p>
            <w:pPr>
              <w:ind w:left="2060"/>
              <w:spacing w:after="0"/>
              <w:rPr>
                <w:sz w:val="20"/>
                <w:szCs w:val="20"/>
                <w:color w:val="auto"/>
              </w:rPr>
            </w:pPr>
            <w:r>
              <w:rPr>
                <w:rFonts w:ascii="Arial" w:cs="Arial" w:eastAsia="Arial" w:hAnsi="Arial"/>
                <w:sz w:val="19"/>
                <w:szCs w:val="19"/>
                <w:color w:val="auto"/>
                <w:w w:val="91"/>
              </w:rPr>
              <w:t>May 2,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37763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76345" cy="889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Amy Weaver</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President, Legal &amp; Corporate Affairs, General Counsel and</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Secretary</w:t>
      </w:r>
    </w:p>
    <w:sectPr>
      <w:pgSz w:w="12240" w:h="15840" w:orient="portrait"/>
      <w:cols w:equalWidth="0" w:num="1">
        <w:col w:w="11640"/>
      </w:cols>
      <w:pgMar w:left="300" w:top="142" w:right="3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2019-12-15T17:55:32Z</dcterms:created>
  <dcterms:modified xsi:type="dcterms:W3CDTF">2019-12-15T17:55:32Z</dcterms:modified>
</cp:coreProperties>
</file>