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35444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31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12/16/2019</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14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0"/>
          <w:szCs w:val="20"/>
          <w:color w:val="auto"/>
        </w:rPr>
      </w:pPr>
    </w:p>
    <w:p>
      <w:pPr>
        <w:sectPr>
          <w:pgSz w:w="11900" w:h="16838" w:orient="portrait"/>
          <w:cols w:equalWidth="0" w:num="2">
            <w:col w:w="7980" w:space="68"/>
            <w:col w:w="3472"/>
          </w:cols>
          <w:pgMar w:left="240" w:top="224" w:right="139" w:bottom="0" w:gutter="0" w:footer="0" w:header="0"/>
          <w:type w:val="continuous"/>
        </w:sect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94402</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0"/>
          <w:szCs w:val="20"/>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jc w:val="center"/>
              <w:ind w:left="64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12/16/2019</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80" w:type="dxa"/>
            <w:vAlign w:val="bottom"/>
            <w:gridSpan w:val="2"/>
            <w:vMerge w:val="restart"/>
          </w:tcPr>
          <w:p>
            <w:pPr>
              <w:jc w:val="center"/>
              <w:ind w:left="150"/>
              <w:spacing w:after="0"/>
              <w:rPr>
                <w:sz w:val="20"/>
                <w:szCs w:val="20"/>
                <w:color w:val="auto"/>
              </w:rPr>
            </w:pPr>
            <w:r>
              <w:rPr>
                <w:rFonts w:ascii="Arial" w:cs="Arial" w:eastAsia="Arial" w:hAnsi="Arial"/>
                <w:sz w:val="17"/>
                <w:szCs w:val="17"/>
                <w:color w:val="0000FF"/>
                <w:w w:val="91"/>
              </w:rPr>
              <w:t>445,700</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445,700</w:t>
            </w: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12/16/2019</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center"/>
              <w:ind w:right="2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(1)(2)</w:t>
            </w:r>
          </w:p>
        </w:tc>
        <w:tc>
          <w:tcPr>
            <w:tcW w:w="780" w:type="dxa"/>
            <w:vAlign w:val="bottom"/>
            <w:gridSpan w:val="2"/>
            <w:vMerge w:val="restart"/>
          </w:tcPr>
          <w:p>
            <w:pPr>
              <w:jc w:val="center"/>
              <w:ind w:left="150"/>
              <w:spacing w:after="0"/>
              <w:rPr>
                <w:sz w:val="20"/>
                <w:szCs w:val="20"/>
                <w:color w:val="auto"/>
              </w:rPr>
            </w:pPr>
            <w:r>
              <w:rPr>
                <w:rFonts w:ascii="Arial" w:cs="Arial" w:eastAsia="Arial" w:hAnsi="Arial"/>
                <w:sz w:val="17"/>
                <w:szCs w:val="17"/>
                <w:color w:val="0000FF"/>
                <w:w w:val="91"/>
              </w:rPr>
              <w:t>445,700</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489"/>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12/16/2019</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center"/>
              <w:ind w:right="203"/>
              <w:spacing w:after="0"/>
              <w:rPr>
                <w:sz w:val="20"/>
                <w:szCs w:val="20"/>
                <w:color w:val="auto"/>
              </w:rPr>
            </w:pPr>
            <w:r>
              <w:rPr>
                <w:rFonts w:ascii="Arial" w:cs="Arial" w:eastAsia="Arial" w:hAnsi="Arial"/>
                <w:sz w:val="26"/>
                <w:szCs w:val="26"/>
                <w:color w:val="0000FF"/>
                <w:w w:val="84"/>
                <w:vertAlign w:val="subscript"/>
              </w:rPr>
              <w:t>C</w:t>
            </w:r>
            <w:r>
              <w:rPr>
                <w:rFonts w:ascii="Arial" w:cs="Arial" w:eastAsia="Arial" w:hAnsi="Arial"/>
                <w:sz w:val="11"/>
                <w:szCs w:val="11"/>
                <w:color w:val="008000"/>
                <w:w w:val="84"/>
              </w:rPr>
              <w:t>(4)</w:t>
            </w:r>
          </w:p>
        </w:tc>
        <w:tc>
          <w:tcPr>
            <w:tcW w:w="740" w:type="dxa"/>
            <w:vAlign w:val="bottom"/>
            <w:vMerge w:val="restart"/>
          </w:tcPr>
          <w:p>
            <w:pPr>
              <w:jc w:val="center"/>
              <w:ind w:left="210"/>
              <w:spacing w:after="0"/>
              <w:rPr>
                <w:sz w:val="20"/>
                <w:szCs w:val="20"/>
                <w:color w:val="auto"/>
              </w:rPr>
            </w:pPr>
            <w:r>
              <w:rPr>
                <w:rFonts w:ascii="Arial" w:cs="Arial" w:eastAsia="Arial" w:hAnsi="Arial"/>
                <w:sz w:val="17"/>
                <w:szCs w:val="17"/>
                <w:color w:val="0000FF"/>
                <w:w w:val="88"/>
              </w:rPr>
              <w:t>54,300</w:t>
            </w:r>
          </w:p>
        </w:tc>
        <w:tc>
          <w:tcPr>
            <w:tcW w:w="40" w:type="dxa"/>
            <w:vAlign w:val="bottom"/>
          </w:tcPr>
          <w:p>
            <w:pPr>
              <w:spacing w:after="0"/>
              <w:rPr>
                <w:sz w:val="22"/>
                <w:szCs w:val="22"/>
                <w:color w:val="auto"/>
              </w:rPr>
            </w:pP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54,300</w:t>
            </w: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12/16/2019</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center"/>
              <w:ind w:right="2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(4)</w:t>
            </w:r>
          </w:p>
        </w:tc>
        <w:tc>
          <w:tcPr>
            <w:tcW w:w="740" w:type="dxa"/>
            <w:vAlign w:val="bottom"/>
            <w:vMerge w:val="restart"/>
          </w:tcPr>
          <w:p>
            <w:pPr>
              <w:jc w:val="center"/>
              <w:ind w:left="210"/>
              <w:spacing w:after="0"/>
              <w:rPr>
                <w:sz w:val="20"/>
                <w:szCs w:val="20"/>
                <w:color w:val="auto"/>
              </w:rPr>
            </w:pPr>
            <w:r>
              <w:rPr>
                <w:rFonts w:ascii="Arial" w:cs="Arial" w:eastAsia="Arial" w:hAnsi="Arial"/>
                <w:sz w:val="17"/>
                <w:szCs w:val="17"/>
                <w:color w:val="0000FF"/>
                <w:w w:val="88"/>
              </w:rPr>
              <w:t>54,300</w:t>
            </w:r>
          </w:p>
        </w:tc>
        <w:tc>
          <w:tcPr>
            <w:tcW w:w="40" w:type="dxa"/>
            <w:vAlign w:val="bottom"/>
          </w:tcPr>
          <w:p>
            <w:pPr>
              <w:spacing w:after="0"/>
              <w:rPr>
                <w:sz w:val="22"/>
                <w:szCs w:val="22"/>
                <w:color w:val="auto"/>
              </w:rPr>
            </w:pP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489"/>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top w:val="single" w:sz="8" w:color="2C2C2C"/>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12/16/2019</w:t>
            </w:r>
          </w:p>
        </w:tc>
        <w:tc>
          <w:tcPr>
            <w:tcW w:w="10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740" w:type="dxa"/>
            <w:vAlign w:val="bottom"/>
            <w:tcBorders>
              <w:top w:val="single" w:sz="8" w:color="2C2C2C"/>
              <w:bottom w:val="single" w:sz="8" w:color="2C2C2C"/>
            </w:tcBorders>
          </w:tcPr>
          <w:p>
            <w:pPr>
              <w:jc w:val="center"/>
              <w:ind w:left="210"/>
              <w:spacing w:after="0"/>
              <w:rPr>
                <w:sz w:val="20"/>
                <w:szCs w:val="20"/>
                <w:color w:val="auto"/>
              </w:rPr>
            </w:pPr>
            <w:r>
              <w:rPr>
                <w:rFonts w:ascii="Arial" w:cs="Arial" w:eastAsia="Arial" w:hAnsi="Arial"/>
                <w:sz w:val="17"/>
                <w:szCs w:val="17"/>
                <w:color w:val="0000FF"/>
                <w:w w:val="89"/>
              </w:rPr>
              <w:t>2,639</w:t>
            </w:r>
          </w:p>
        </w:tc>
        <w:tc>
          <w:tcPr>
            <w:tcW w:w="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bottom w:val="single" w:sz="8" w:color="2C2C2C"/>
            </w:tcBorders>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3,215</w:t>
            </w:r>
          </w:p>
        </w:tc>
        <w:tc>
          <w:tcPr>
            <w:tcW w:w="3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70"/>
              <w:spacing w:after="0"/>
              <w:rPr>
                <w:sz w:val="20"/>
                <w:szCs w:val="20"/>
                <w:color w:val="auto"/>
              </w:rPr>
            </w:pPr>
            <w:r>
              <w:rPr>
                <w:rFonts w:ascii="Arial" w:cs="Arial" w:eastAsia="Arial" w:hAnsi="Arial"/>
                <w:sz w:val="17"/>
                <w:szCs w:val="17"/>
                <w:color w:val="0000FF"/>
                <w:w w:val="97"/>
              </w:rPr>
              <w:t>D</w:t>
            </w: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0"/>
              <w:spacing w:after="0" w:line="132" w:lineRule="exact"/>
              <w:rPr>
                <w:sz w:val="20"/>
                <w:szCs w:val="20"/>
                <w:color w:val="auto"/>
              </w:rPr>
            </w:pPr>
            <w:r>
              <w:rPr>
                <w:rFonts w:ascii="Arial" w:cs="Arial" w:eastAsia="Arial" w:hAnsi="Arial"/>
                <w:sz w:val="12"/>
                <w:szCs w:val="12"/>
                <w:b w:val="1"/>
                <w:bCs w:val="1"/>
                <w:color w:val="auto"/>
                <w:w w:val="98"/>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10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ind w:right="30"/>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5"/>
              <w:spacing w:after="0"/>
              <w:rPr>
                <w:sz w:val="20"/>
                <w:szCs w:val="20"/>
                <w:color w:val="auto"/>
              </w:rPr>
            </w:pPr>
            <w:r>
              <w:rPr>
                <w:rFonts w:ascii="Arial" w:cs="Arial" w:eastAsia="Arial" w:hAnsi="Arial"/>
                <w:sz w:val="17"/>
                <w:szCs w:val="17"/>
                <w:color w:val="0000FF"/>
                <w:w w:val="87"/>
              </w:rPr>
              <w:t>445,700</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8"/>
              <w:spacing w:after="0" w:line="128" w:lineRule="exact"/>
              <w:rPr>
                <w:sz w:val="20"/>
                <w:szCs w:val="20"/>
                <w:color w:val="auto"/>
              </w:rPr>
            </w:pPr>
            <w:r>
              <w:rPr>
                <w:rFonts w:ascii="Arial" w:cs="Arial" w:eastAsia="Arial" w:hAnsi="Arial"/>
                <w:sz w:val="13"/>
                <w:szCs w:val="13"/>
                <w:color w:val="0000FF"/>
              </w:rPr>
              <w:t>12/16/2019</w:t>
            </w:r>
          </w:p>
        </w:tc>
        <w:tc>
          <w:tcPr>
            <w:tcW w:w="1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restart"/>
          </w:tcPr>
          <w:p>
            <w:pPr>
              <w:jc w:val="right"/>
              <w:ind w:right="60"/>
              <w:spacing w:after="0" w:line="128" w:lineRule="exact"/>
              <w:rPr>
                <w:sz w:val="20"/>
                <w:szCs w:val="20"/>
                <w:color w:val="auto"/>
              </w:rPr>
            </w:pPr>
            <w:r>
              <w:rPr>
                <w:rFonts w:ascii="Arial" w:cs="Arial" w:eastAsia="Arial" w:hAnsi="Arial"/>
                <w:sz w:val="13"/>
                <w:szCs w:val="13"/>
                <w:color w:val="0000FF"/>
              </w:rPr>
              <w:t>445,700</w:t>
            </w:r>
          </w:p>
        </w:tc>
        <w:tc>
          <w:tcPr>
            <w:tcW w:w="8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gridSpan w:val="2"/>
            <w:vMerge w:val="restart"/>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81"/>
              <w:spacing w:after="0" w:line="128" w:lineRule="exact"/>
              <w:rPr>
                <w:sz w:val="20"/>
                <w:szCs w:val="20"/>
                <w:color w:val="auto"/>
              </w:rPr>
            </w:pPr>
            <w:r>
              <w:rPr>
                <w:rFonts w:ascii="Arial" w:cs="Arial" w:eastAsia="Arial" w:hAnsi="Arial"/>
                <w:sz w:val="13"/>
                <w:szCs w:val="13"/>
                <w:color w:val="0000FF"/>
              </w:rPr>
              <w:t>25,618,216</w:t>
            </w:r>
          </w:p>
        </w:tc>
        <w:tc>
          <w:tcPr>
            <w:tcW w:w="640" w:type="dxa"/>
            <w:vAlign w:val="bottom"/>
            <w:vMerge w:val="restart"/>
          </w:tcPr>
          <w:p>
            <w:pPr>
              <w:ind w:left="38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ind w:right="30"/>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45"/>
              <w:spacing w:after="0"/>
              <w:rPr>
                <w:sz w:val="20"/>
                <w:szCs w:val="20"/>
                <w:color w:val="auto"/>
              </w:rPr>
            </w:pPr>
            <w:r>
              <w:rPr>
                <w:rFonts w:ascii="Arial" w:cs="Arial" w:eastAsia="Arial" w:hAnsi="Arial"/>
                <w:sz w:val="17"/>
                <w:szCs w:val="17"/>
                <w:color w:val="0000FF"/>
                <w:w w:val="96"/>
              </w:rPr>
              <w:t>54,300</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8"/>
              <w:spacing w:after="0" w:line="128" w:lineRule="exact"/>
              <w:rPr>
                <w:sz w:val="20"/>
                <w:szCs w:val="20"/>
                <w:color w:val="auto"/>
              </w:rPr>
            </w:pPr>
            <w:r>
              <w:rPr>
                <w:rFonts w:ascii="Arial" w:cs="Arial" w:eastAsia="Arial" w:hAnsi="Arial"/>
                <w:sz w:val="13"/>
                <w:szCs w:val="13"/>
                <w:color w:val="0000FF"/>
              </w:rPr>
              <w:t>12/16/2019</w:t>
            </w:r>
          </w:p>
        </w:tc>
        <w:tc>
          <w:tcPr>
            <w:tcW w:w="1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restart"/>
          </w:tcPr>
          <w:p>
            <w:pPr>
              <w:jc w:val="right"/>
              <w:ind w:right="100"/>
              <w:spacing w:after="0" w:line="128" w:lineRule="exact"/>
              <w:rPr>
                <w:sz w:val="20"/>
                <w:szCs w:val="20"/>
                <w:color w:val="auto"/>
              </w:rPr>
            </w:pPr>
            <w:r>
              <w:rPr>
                <w:rFonts w:ascii="Arial" w:cs="Arial" w:eastAsia="Arial" w:hAnsi="Arial"/>
                <w:sz w:val="13"/>
                <w:szCs w:val="13"/>
                <w:color w:val="0000FF"/>
              </w:rPr>
              <w:t>54,300</w:t>
            </w:r>
          </w:p>
        </w:tc>
        <w:tc>
          <w:tcPr>
            <w:tcW w:w="8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gridSpan w:val="2"/>
            <w:vMerge w:val="restart"/>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121"/>
              <w:spacing w:after="0" w:line="128" w:lineRule="exact"/>
              <w:rPr>
                <w:sz w:val="20"/>
                <w:szCs w:val="20"/>
                <w:color w:val="auto"/>
              </w:rPr>
            </w:pPr>
            <w:r>
              <w:rPr>
                <w:rFonts w:ascii="Arial" w:cs="Arial" w:eastAsia="Arial" w:hAnsi="Arial"/>
                <w:sz w:val="13"/>
                <w:szCs w:val="13"/>
                <w:color w:val="0000FF"/>
              </w:rPr>
              <w:t>3,120,609</w:t>
            </w:r>
          </w:p>
        </w:tc>
        <w:tc>
          <w:tcPr>
            <w:tcW w:w="640" w:type="dxa"/>
            <w:vAlign w:val="bottom"/>
            <w:vMerge w:val="restart"/>
          </w:tcPr>
          <w:p>
            <w:pPr>
              <w:ind w:left="38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2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16, 2019, Emergence Capital Partners III, L.P. ("Emergence") converted in the aggregate 445,700 shares of the Issuer's Class B Common Stock into 445,700 shares of the Issuer's Class A Common Stock. Subsequently on the same date, Emergence distributed in-kind, without consideration, all 445,700 shares of Class A Common Stock pro-rata to its partners, including its limited partners and its general partner, Emergence Equity Partners III, L.P. ("EEP III"), in accordance with the exemption under Rule 16a-9(a) and Rule 16a-13 of the Securities Exchange Act of 1934, as amended.</w:t>
      </w:r>
    </w:p>
    <w:p>
      <w:pPr>
        <w:spacing w:after="0" w:line="11" w:lineRule="exact"/>
        <w:rPr>
          <w:rFonts w:ascii="Arial" w:cs="Arial" w:eastAsia="Arial" w:hAnsi="Arial"/>
          <w:sz w:val="12"/>
          <w:szCs w:val="12"/>
          <w:color w:val="008000"/>
        </w:rPr>
      </w:pPr>
    </w:p>
    <w:p>
      <w:pPr>
        <w:ind w:left="40" w:right="1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(43,984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1" w:lineRule="exact"/>
        <w:rPr>
          <w:rFonts w:ascii="Arial" w:cs="Arial" w:eastAsia="Arial" w:hAnsi="Arial"/>
          <w:sz w:val="13"/>
          <w:szCs w:val="13"/>
          <w:color w:val="008000"/>
        </w:rPr>
      </w:pPr>
    </w:p>
    <w:p>
      <w:pPr>
        <w:ind w:left="40" w:right="24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Capital Partners III, L.P.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11" w:lineRule="exact"/>
        <w:rPr>
          <w:rFonts w:ascii="Arial" w:cs="Arial" w:eastAsia="Arial" w:hAnsi="Arial"/>
          <w:sz w:val="12"/>
          <w:szCs w:val="12"/>
          <w:color w:val="008000"/>
        </w:rPr>
      </w:pPr>
    </w:p>
    <w:p>
      <w:pPr>
        <w:ind w:left="40" w:right="16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16, 2019, EZP Opportunity, L.P. ("EZP") converted in the aggregate 54,300 shares of the Issuer's Class B Common Stock into 54,300 shares of the Issuer's Class A Common Stock. Subsequently on the same date, EZP distributed in-kind, without consideration, all 54,300 shares of Class A Common Stock pro-rata to its limited partners, in accordance with the exemption under Rule 16a-9(a) and Rule 16a-13 of the Securities Exchange Act of 1934, as amended.</w:t>
      </w:r>
    </w:p>
    <w:p>
      <w:pPr>
        <w:spacing w:after="0" w:line="29" w:lineRule="exact"/>
        <w:rPr>
          <w:rFonts w:ascii="Arial" w:cs="Arial" w:eastAsia="Arial" w:hAnsi="Arial"/>
          <w:sz w:val="13"/>
          <w:szCs w:val="13"/>
          <w:color w:val="008000"/>
        </w:rPr>
      </w:pPr>
    </w:p>
    <w:p>
      <w:pPr>
        <w:ind w:left="40" w:right="18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EZP Opportunity, L.P.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distributions described above.</w:t>
      </w:r>
    </w:p>
    <w:p>
      <w:pPr>
        <w:spacing w:after="0" w:line="48" w:lineRule="exact"/>
        <w:rPr>
          <w:rFonts w:ascii="Arial" w:cs="Arial" w:eastAsia="Arial" w:hAnsi="Arial"/>
          <w:sz w:val="13"/>
          <w:szCs w:val="13"/>
          <w:color w:val="008000"/>
        </w:rPr>
      </w:pPr>
    </w:p>
    <w:p>
      <w:pPr>
        <w:ind w:left="40" w:right="140" w:firstLine="5"/>
        <w:spacing w:after="0" w:line="23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12/18/2019</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2019-12-18T17:46:38Z</dcterms:created>
  <dcterms:modified xsi:type="dcterms:W3CDTF">2019-12-18T17:46:38Z</dcterms:modified>
</cp:coreProperties>
</file>