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27, 2023</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Video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3" w:lineRule="exact"/>
        <w:rPr>
          <w:sz w:val="24"/>
          <w:szCs w:val="24"/>
          <w:color w:val="auto"/>
        </w:rPr>
      </w:pPr>
    </w:p>
    <w:p>
      <w:pPr>
        <w:ind w:right="460"/>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771525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222" w:lineRule="exact"/>
        <w:rPr>
          <w:sz w:val="20"/>
          <w:szCs w:val="20"/>
          <w:color w:val="auto"/>
        </w:rPr>
      </w:pPr>
    </w:p>
    <w:p>
      <w:pPr>
        <w:ind w:right="200" w:firstLine="620"/>
        <w:spacing w:after="0" w:line="288" w:lineRule="auto"/>
        <w:rPr>
          <w:sz w:val="20"/>
          <w:szCs w:val="20"/>
          <w:color w:val="auto"/>
        </w:rPr>
      </w:pPr>
      <w:r>
        <w:rPr>
          <w:rFonts w:ascii="Times New Roman" w:cs="Times New Roman" w:eastAsia="Times New Roman" w:hAnsi="Times New Roman"/>
          <w:sz w:val="17"/>
          <w:szCs w:val="17"/>
          <w:color w:val="auto"/>
        </w:rPr>
        <w:t>On February 27, 2023, Zoom Video Communications, Inc. (the “Company”) issued a press release announcing its financial results for the three months and the fiscal year ended January 31, 2023. A copy of the press release is furnished as Exhibit 99.1 to this report and is incorporated by reference.</w:t>
      </w:r>
    </w:p>
    <w:p>
      <w:pPr>
        <w:spacing w:after="0" w:line="151" w:lineRule="exact"/>
        <w:rPr>
          <w:sz w:val="20"/>
          <w:szCs w:val="20"/>
          <w:color w:val="auto"/>
        </w:rPr>
      </w:pPr>
    </w:p>
    <w:p>
      <w:pPr>
        <w:ind w:right="120" w:firstLine="620"/>
        <w:spacing w:after="0" w:line="265" w:lineRule="auto"/>
        <w:rPr>
          <w:sz w:val="20"/>
          <w:szCs w:val="20"/>
          <w:color w:val="auto"/>
        </w:rPr>
      </w:pPr>
      <w:r>
        <w:rPr>
          <w:rFonts w:ascii="Times New Roman" w:cs="Times New Roman" w:eastAsia="Times New Roman" w:hAnsi="Times New Roman"/>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Exhibit No.</w:t>
            </w:r>
          </w:p>
        </w:tc>
        <w:tc>
          <w:tcPr>
            <w:tcW w:w="20" w:type="dxa"/>
            <w:vAlign w:val="bottom"/>
          </w:tcPr>
          <w:p>
            <w:pPr>
              <w:spacing w:after="0"/>
              <w:rPr>
                <w:sz w:val="21"/>
                <w:szCs w:val="21"/>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74"/>
        </w:trPr>
        <w:tc>
          <w:tcPr>
            <w:tcW w:w="460" w:type="dxa"/>
            <w:vAlign w:val="bottom"/>
          </w:tcPr>
          <w:p>
            <w:pPr>
              <w:spacing w:after="0"/>
              <w:rPr>
                <w:sz w:val="15"/>
                <w:szCs w:val="15"/>
                <w:color w:val="auto"/>
              </w:rPr>
            </w:pPr>
          </w:p>
        </w:tc>
        <w:tc>
          <w:tcPr>
            <w:tcW w:w="1320" w:type="dxa"/>
            <w:vAlign w:val="bottom"/>
            <w:tcBorders>
              <w:top w:val="single" w:sz="8" w:color="auto"/>
            </w:tcBorders>
          </w:tcPr>
          <w:p>
            <w:pPr>
              <w:jc w:val="right"/>
              <w:ind w:right="414"/>
              <w:spacing w:after="0" w:line="174" w:lineRule="exact"/>
              <w:rPr>
                <w:sz w:val="20"/>
                <w:szCs w:val="20"/>
                <w:color w:val="auto"/>
              </w:rPr>
            </w:pPr>
            <w:r>
              <w:rPr>
                <w:rFonts w:ascii="Times New Roman" w:cs="Times New Roman" w:eastAsia="Times New Roman" w:hAnsi="Times New Roman"/>
                <w:sz w:val="17"/>
                <w:szCs w:val="17"/>
                <w:color w:val="auto"/>
              </w:rPr>
              <w:t>99.1</w:t>
            </w:r>
          </w:p>
        </w:tc>
        <w:tc>
          <w:tcPr>
            <w:tcW w:w="4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980" w:type="dxa"/>
            <w:vAlign w:val="bottom"/>
            <w:tcBorders>
              <w:top w:val="single" w:sz="8" w:color="auto"/>
            </w:tcBorders>
            <w:gridSpan w:val="2"/>
          </w:tcPr>
          <w:p>
            <w:pPr>
              <w:spacing w:after="0" w:line="174" w:lineRule="exact"/>
              <w:rPr>
                <w:sz w:val="20"/>
                <w:szCs w:val="20"/>
                <w:color w:val="auto"/>
              </w:rPr>
            </w:pPr>
            <w:r>
              <w:rPr>
                <w:rFonts w:ascii="Times New Roman" w:cs="Times New Roman" w:eastAsia="Times New Roman" w:hAnsi="Times New Roman"/>
                <w:sz w:val="17"/>
                <w:szCs w:val="17"/>
                <w:color w:val="0000FF"/>
              </w:rPr>
              <w:t>Press release dated February 27, 2023 of Zoom Video Communications, Inc.</w:t>
            </w:r>
          </w:p>
        </w:tc>
        <w:tc>
          <w:tcPr>
            <w:tcW w:w="20" w:type="dxa"/>
            <w:vAlign w:val="bottom"/>
          </w:tcPr>
          <w:p>
            <w:pPr>
              <w:spacing w:after="0"/>
              <w:rPr>
                <w:sz w:val="15"/>
                <w:szCs w:val="15"/>
                <w:color w:val="auto"/>
              </w:rPr>
            </w:pPr>
          </w:p>
        </w:tc>
      </w:tr>
      <w:tr>
        <w:trPr>
          <w:trHeight w:val="20"/>
        </w:trPr>
        <w:tc>
          <w:tcPr>
            <w:tcW w:w="1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r>
      <w:tr>
        <w:trPr>
          <w:trHeight w:val="239"/>
        </w:trPr>
        <w:tc>
          <w:tcPr>
            <w:tcW w:w="1780" w:type="dxa"/>
            <w:vAlign w:val="bottom"/>
            <w:gridSpan w:val="2"/>
          </w:tcPr>
          <w:p>
            <w:pPr>
              <w:jc w:val="right"/>
              <w:ind w:right="434"/>
              <w:spacing w:after="0"/>
              <w:rPr>
                <w:sz w:val="20"/>
                <w:szCs w:val="20"/>
                <w:color w:val="auto"/>
              </w:rPr>
            </w:pPr>
            <w:r>
              <w:rPr>
                <w:rFonts w:ascii="Times New Roman" w:cs="Times New Roman" w:eastAsia="Times New Roman" w:hAnsi="Times New Roman"/>
                <w:sz w:val="17"/>
                <w:szCs w:val="17"/>
                <w:color w:val="auto"/>
              </w:rPr>
              <w:t>104</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1168"/>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18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500" w:type="dxa"/>
            <w:vAlign w:val="bottom"/>
          </w:tcPr>
          <w:p>
            <w:pPr>
              <w:spacing w:after="0"/>
              <w:rPr>
                <w:sz w:val="19"/>
                <w:szCs w:val="19"/>
                <w:color w:val="auto"/>
              </w:rPr>
            </w:pPr>
          </w:p>
        </w:tc>
        <w:tc>
          <w:tcPr>
            <w:tcW w:w="7200" w:type="dxa"/>
            <w:vAlign w:val="bottom"/>
            <w:gridSpan w:val="2"/>
          </w:tcPr>
          <w:p>
            <w:pPr>
              <w:ind w:left="174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tc>
      </w:tr>
      <w:tr>
        <w:trPr>
          <w:trHeight w:val="465"/>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Dated: February 27, 2023</w:t>
            </w:r>
          </w:p>
        </w:tc>
        <w:tc>
          <w:tcPr>
            <w:tcW w:w="244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Kelly Steckelberg</w:t>
            </w:r>
          </w:p>
        </w:tc>
      </w:tr>
      <w:tr>
        <w:trPr>
          <w:trHeight w:val="205"/>
        </w:trPr>
        <w:tc>
          <w:tcPr>
            <w:tcW w:w="35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Kelly Steckelberg</w:t>
            </w:r>
          </w:p>
        </w:tc>
      </w:tr>
      <w:tr>
        <w:trPr>
          <w:trHeight w:val="227"/>
        </w:trPr>
        <w:tc>
          <w:tcPr>
            <w:tcW w:w="35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ectPr>
          <w:pgSz w:w="11900" w:h="16838" w:orient="portrait"/>
          <w:cols w:equalWidth="0" w:num="1">
            <w:col w:w="11340"/>
          </w:cols>
          <w:pgMar w:left="320" w:top="85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color w:val="auto"/>
        </w:rPr>
        <w:t>Exhibit 99.1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Zoom Video Communications Reports Fourth Quarter and Fiscal Year 2023 Financial Results</w:t>
      </w:r>
    </w:p>
    <w:p>
      <w:pPr>
        <w:spacing w:after="0" w:line="216" w:lineRule="exact"/>
        <w:rPr>
          <w:sz w:val="20"/>
          <w:szCs w:val="20"/>
          <w:color w:val="auto"/>
        </w:rPr>
      </w:pPr>
    </w:p>
    <w:p>
      <w:pPr>
        <w:ind w:left="940" w:right="100" w:hanging="316"/>
        <w:spacing w:after="0" w:line="295" w:lineRule="auto"/>
        <w:tabs>
          <w:tab w:leader="none" w:pos="936"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Fourth quarter total revenue of $1,117.8 million, up 4% year over year as reported and 6% in constant currency; full fiscal year total revenue of $4,393.0 million, up 7% year over year as reported and 9% in constant currency</w:t>
      </w:r>
    </w:p>
    <w:p>
      <w:pPr>
        <w:spacing w:after="0" w:line="139" w:lineRule="exact"/>
        <w:rPr>
          <w:rFonts w:ascii="Times New Roman" w:cs="Times New Roman" w:eastAsia="Times New Roman" w:hAnsi="Times New Roman"/>
          <w:sz w:val="17"/>
          <w:szCs w:val="17"/>
          <w:b w:val="1"/>
          <w:bCs w:val="1"/>
          <w:i w:val="1"/>
          <w:iCs w:val="1"/>
          <w:color w:val="auto"/>
        </w:rPr>
      </w:pPr>
    </w:p>
    <w:p>
      <w:pPr>
        <w:ind w:left="940" w:right="40" w:hanging="316"/>
        <w:spacing w:after="0" w:line="295" w:lineRule="auto"/>
        <w:tabs>
          <w:tab w:leader="none" w:pos="936"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Fourth quarter Enterprise revenue of $636.1 million, up 18% year over year; full fiscal year Enterprise revenue of $2,409.3 million, up 24% year over year</w:t>
      </w:r>
    </w:p>
    <w:p>
      <w:pPr>
        <w:spacing w:after="0" w:line="139"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Year-end number of customers contributing more than $100,000 in trailing 12 months revenue up approximately 27% year over year</w:t>
      </w:r>
    </w:p>
    <w:p>
      <w:pPr>
        <w:spacing w:after="0" w:line="22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San Jose, California – </w:t>
      </w:r>
      <w:r>
        <w:rPr>
          <w:rFonts w:ascii="Times New Roman" w:cs="Times New Roman" w:eastAsia="Times New Roman" w:hAnsi="Times New Roman"/>
          <w:sz w:val="17"/>
          <w:szCs w:val="17"/>
          <w:color w:val="auto"/>
        </w:rPr>
        <w:t>February 27, 2023 – Zoom Video Communications, Inc. (NASDAQ: ZM), a leading provider of video-first unified communications, today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announced financial results for the fourth quarter and fiscal year ended January 31, 2023.</w:t>
      </w:r>
    </w:p>
    <w:p>
      <w:pPr>
        <w:spacing w:after="0" w:line="17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“In fiscal year 2023, our growing base of Enterprise customers increasingly looked to Zoom to provide a seamless communication and collaboration platform, and drive productivity and efficiency during turbulent times,” said Zoom founder and CEO, Eric S. Yuan. “This was evident in the 27% growth in customers contributing more than $100,000 in trailing 12 months revenue, as well as the 115% trailing 12-month net dollar expansion rate for Enterprise customers. Zoom One adoption continued to accelerate and helped drive Zoom Phone to grow more than 100% year over year, surpassing 5.5 million seats in Q4. Our emerging technologies such as Zoom Contact Center picked up pace as customer experience teams recognized the value of a modern, integrated collaboration solution. While the macroeconomic situation continues to negatively impact our overall growth, we have maintained a healthy balance sheet and operating cash flow generation of approximately $1.29 billion.”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Fourth Quarter Fiscal Year 2023 Financial Highlights:</w:t>
      </w:r>
    </w:p>
    <w:p>
      <w:pPr>
        <w:spacing w:after="0" w:line="218" w:lineRule="exact"/>
        <w:rPr>
          <w:sz w:val="20"/>
          <w:szCs w:val="20"/>
          <w:color w:val="auto"/>
        </w:rPr>
      </w:pPr>
    </w:p>
    <w:p>
      <w:pPr>
        <w:jc w:val="both"/>
        <w:ind w:left="940" w:right="220" w:hanging="316"/>
        <w:spacing w:after="0" w:line="273" w:lineRule="auto"/>
        <w:tabs>
          <w:tab w:leader="none" w:pos="936" w:val="left"/>
        </w:tabs>
        <w:numPr>
          <w:ilvl w:val="0"/>
          <w:numId w:val="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Total revenue for the fourth quarter was $1,117.8 million, up 4% year over year. After adjusting for foreign currency impact, revenue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constant currency was $1,140.2 million, up 6% year over year. Enterprise revenue was $636.1 million, up 18% year over year, and Online revenue was $481.7 million, down 10% year over year.</w:t>
      </w:r>
    </w:p>
    <w:p>
      <w:pPr>
        <w:spacing w:after="0" w:line="56" w:lineRule="exact"/>
        <w:rPr>
          <w:rFonts w:ascii="Times New Roman" w:cs="Times New Roman" w:eastAsia="Times New Roman" w:hAnsi="Times New Roman"/>
          <w:sz w:val="17"/>
          <w:szCs w:val="17"/>
          <w:b w:val="1"/>
          <w:bCs w:val="1"/>
          <w:i w:val="1"/>
          <w:iCs w:val="1"/>
          <w:color w:val="auto"/>
        </w:rPr>
      </w:pPr>
    </w:p>
    <w:p>
      <w:pPr>
        <w:ind w:left="940" w:right="40" w:hanging="316"/>
        <w:spacing w:after="0" w:line="261"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(Loss) Income from Operations and Operating Margin: </w:t>
      </w:r>
      <w:r>
        <w:rPr>
          <w:rFonts w:ascii="Times New Roman" w:cs="Times New Roman" w:eastAsia="Times New Roman" w:hAnsi="Times New Roman"/>
          <w:sz w:val="17"/>
          <w:szCs w:val="17"/>
          <w:color w:val="auto"/>
        </w:rPr>
        <w:t>GAAP (loss) from operations for the fourth quarter was $(129.9) million,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GAAP income from operations of $251.8 million in the fourth quarter of fiscal year 2022. The GAAP loss from operations for the fourth quarter was due to additional stock-based compensation expense related to a change to our supplemental equity grant program. After adjusting for stock-based compensation expense and related payroll taxes, and acquisition-related expenses, non-GAAP income from operations for the fourth quarter was $404.8 million, down from $420.3 million in the fourth quarter of fiscal year 2022. For the fourth quarter, GAAP operating margin was (11.6)% and non-GAAP operating margin was 36.2%.</w:t>
      </w:r>
    </w:p>
    <w:p>
      <w:pPr>
        <w:spacing w:after="0" w:line="68" w:lineRule="exact"/>
        <w:rPr>
          <w:rFonts w:ascii="Times New Roman" w:cs="Times New Roman" w:eastAsia="Times New Roman" w:hAnsi="Times New Roman"/>
          <w:sz w:val="17"/>
          <w:szCs w:val="17"/>
          <w:b w:val="1"/>
          <w:bCs w:val="1"/>
          <w:color w:val="auto"/>
        </w:rPr>
      </w:pPr>
    </w:p>
    <w:p>
      <w:pPr>
        <w:ind w:left="940" w:right="160" w:hanging="316"/>
        <w:spacing w:after="0" w:line="27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Net (Loss) Income and Diluted Net (Loss) Income Per Share: </w:t>
      </w:r>
      <w:r>
        <w:rPr>
          <w:rFonts w:ascii="Times New Roman" w:cs="Times New Roman" w:eastAsia="Times New Roman" w:hAnsi="Times New Roman"/>
          <w:sz w:val="17"/>
          <w:szCs w:val="17"/>
          <w:color w:val="auto"/>
        </w:rPr>
        <w:t>GAAP net (loss) attributable to common stockholders for the fourth quarter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$(104.1) million, or $(0.36) per share, compared to GAAP net income attributable to common stockholders of $490.5 million, or $1.60 per share in the fourth quarter of fiscal year 2022.</w:t>
      </w:r>
    </w:p>
    <w:p>
      <w:pPr>
        <w:spacing w:after="0" w:line="60" w:lineRule="exact"/>
        <w:rPr>
          <w:rFonts w:ascii="Times New Roman" w:cs="Times New Roman" w:eastAsia="Times New Roman" w:hAnsi="Times New Roman"/>
          <w:sz w:val="17"/>
          <w:szCs w:val="17"/>
          <w:b w:val="1"/>
          <w:bCs w:val="1"/>
          <w:color w:val="auto"/>
        </w:rPr>
      </w:pPr>
    </w:p>
    <w:p>
      <w:pPr>
        <w:ind w:left="940" w:right="1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Non-GAAP net income for the fourth quarter was $366.6 million, after adjusting for stock-based compensation expense and related payroll taxes, acquisition-related expenses, gains on strategic investments, net, income tax benefits from discrete activities, and undistributed earnings attributable to participating securities. Non-GAAP net income per share was $1.22. In the fourth quarter of fiscal year 2022, non-GAAP net income was $393.6 million, or $1.29 per share.</w:t>
      </w:r>
    </w:p>
    <w:p>
      <w:pPr>
        <w:spacing w:after="0" w:line="62" w:lineRule="exact"/>
        <w:rPr>
          <w:rFonts w:ascii="Times New Roman" w:cs="Times New Roman" w:eastAsia="Times New Roman" w:hAnsi="Times New Roman"/>
          <w:sz w:val="17"/>
          <w:szCs w:val="17"/>
          <w:b w:val="1"/>
          <w:bCs w:val="1"/>
          <w:color w:val="auto"/>
        </w:rPr>
      </w:pPr>
    </w:p>
    <w:p>
      <w:pPr>
        <w:ind w:left="940" w:right="340" w:hanging="316"/>
        <w:spacing w:after="0" w:line="29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and Marketable Securities: </w:t>
      </w:r>
      <w:r>
        <w:rPr>
          <w:rFonts w:ascii="Times New Roman" w:cs="Times New Roman" w:eastAsia="Times New Roman" w:hAnsi="Times New Roman"/>
          <w:sz w:val="17"/>
          <w:szCs w:val="17"/>
          <w:color w:val="auto"/>
        </w:rPr>
        <w:t>Total cash, cash equivalents, and marketable securities, excluding restricted cash, as of January 31, 2023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$5,412.7 million.</w:t>
      </w:r>
    </w:p>
    <w:p>
      <w:pPr>
        <w:spacing w:after="0" w:line="39" w:lineRule="exact"/>
        <w:rPr>
          <w:rFonts w:ascii="Times New Roman" w:cs="Times New Roman" w:eastAsia="Times New Roman" w:hAnsi="Times New Roman"/>
          <w:sz w:val="17"/>
          <w:szCs w:val="17"/>
          <w:b w:val="1"/>
          <w:bCs w:val="1"/>
          <w:color w:val="auto"/>
        </w:rPr>
      </w:pPr>
    </w:p>
    <w:p>
      <w:pPr>
        <w:ind w:left="940" w:right="140" w:hanging="316"/>
        <w:spacing w:after="0" w:line="27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Flow: </w:t>
      </w:r>
      <w:r>
        <w:rPr>
          <w:rFonts w:ascii="Times New Roman" w:cs="Times New Roman" w:eastAsia="Times New Roman" w:hAnsi="Times New Roman"/>
          <w:sz w:val="17"/>
          <w:szCs w:val="17"/>
          <w:color w:val="auto"/>
        </w:rPr>
        <w:t>Net cash provided by operating activities was $211.6 million for the fourth quarter, compared to $209.4 million in the fourth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fiscal year 2022. Free cash flow, which is net cash provided by operating activities less purchases of property and equipment, was $183.3 million, compared to $188.6 million in the fourth quarter of fiscal year 2022.</w:t>
      </w:r>
    </w:p>
    <w:p>
      <w:pPr>
        <w:sectPr>
          <w:pgSz w:w="11900" w:h="16838" w:orient="portrait"/>
          <w:cols w:equalWidth="0" w:num="1">
            <w:col w:w="11240"/>
          </w:cols>
          <w:pgMar w:left="320" w:top="8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Full Fiscal Year 2023 Financial Highlights:</w:t>
      </w:r>
    </w:p>
    <w:p>
      <w:pPr>
        <w:spacing w:after="0" w:line="218" w:lineRule="exact"/>
        <w:rPr>
          <w:sz w:val="20"/>
          <w:szCs w:val="20"/>
          <w:color w:val="auto"/>
        </w:rPr>
      </w:pPr>
    </w:p>
    <w:p>
      <w:pPr>
        <w:ind w:left="940" w:right="60" w:hanging="316"/>
        <w:spacing w:after="0" w:line="273" w:lineRule="auto"/>
        <w:tabs>
          <w:tab w:leader="none" w:pos="936" w:val="left"/>
        </w:tabs>
        <w:numPr>
          <w:ilvl w:val="0"/>
          <w:numId w:val="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Total revenue for the fiscal year was $4,393.0 million, up 7% year over year. After adjusting for foreign currency impact, revenue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constant currency was $4,462.0 million, up 9% year over year. Enterprise revenue was $2,409.3 million, up 24% year over year, and Online revenue was $1,983.6 million, down 8% year over year.</w:t>
      </w:r>
    </w:p>
    <w:p>
      <w:pPr>
        <w:spacing w:after="0" w:line="56" w:lineRule="exact"/>
        <w:rPr>
          <w:rFonts w:ascii="Times New Roman" w:cs="Times New Roman" w:eastAsia="Times New Roman" w:hAnsi="Times New Roman"/>
          <w:sz w:val="17"/>
          <w:szCs w:val="17"/>
          <w:b w:val="1"/>
          <w:bCs w:val="1"/>
          <w:i w:val="1"/>
          <w:iCs w:val="1"/>
          <w:color w:val="auto"/>
        </w:rPr>
      </w:pPr>
    </w:p>
    <w:p>
      <w:pPr>
        <w:ind w:left="940" w:hanging="316"/>
        <w:spacing w:after="0" w:line="266" w:lineRule="auto"/>
        <w:tabs>
          <w:tab w:leader="none" w:pos="93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from Operations and Operating Margin: </w:t>
      </w:r>
      <w:r>
        <w:rPr>
          <w:rFonts w:ascii="Times New Roman" w:cs="Times New Roman" w:eastAsia="Times New Roman" w:hAnsi="Times New Roman"/>
          <w:sz w:val="17"/>
          <w:szCs w:val="17"/>
          <w:color w:val="auto"/>
        </w:rPr>
        <w:t>GAAP income from operations for the fiscal year was $245.4 million, compared to $1,063.6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million for fiscal year 2022. After adjusting for stock-based compensation expense and related payroll taxes, litigation settlements, net, and acquisition-related expenses, non-GAAP income from operations for the fiscal year was $1,579.1 million, down from $1,657.1 million for fiscal year 2022. For the fiscal year, GAAP operating margin was 5.6% and non-GAAP operating margin was 35.9%.</w:t>
      </w:r>
    </w:p>
    <w:p>
      <w:pPr>
        <w:spacing w:after="0" w:line="63" w:lineRule="exact"/>
        <w:rPr>
          <w:rFonts w:ascii="Times New Roman" w:cs="Times New Roman" w:eastAsia="Times New Roman" w:hAnsi="Times New Roman"/>
          <w:sz w:val="17"/>
          <w:szCs w:val="17"/>
          <w:b w:val="1"/>
          <w:bCs w:val="1"/>
          <w:color w:val="auto"/>
        </w:rPr>
      </w:pPr>
    </w:p>
    <w:p>
      <w:pPr>
        <w:ind w:left="940" w:right="80" w:hanging="316"/>
        <w:spacing w:after="0" w:line="293" w:lineRule="auto"/>
        <w:tabs>
          <w:tab w:leader="none" w:pos="93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Net Income and Diluted Net Income Per Share: </w:t>
      </w:r>
      <w:r>
        <w:rPr>
          <w:rFonts w:ascii="Times New Roman" w:cs="Times New Roman" w:eastAsia="Times New Roman" w:hAnsi="Times New Roman"/>
          <w:sz w:val="17"/>
          <w:szCs w:val="17"/>
          <w:color w:val="auto"/>
        </w:rPr>
        <w:t>GAAP net income attributable to common stockholders for the fiscal year was $103.7 million,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$0.34 per share, compared to GAAP net income attributable to common stockholders of $1,375.1 million, or $4.50 per share for fiscal year 2022.</w:t>
      </w:r>
    </w:p>
    <w:p>
      <w:pPr>
        <w:spacing w:after="0" w:line="43" w:lineRule="exact"/>
        <w:rPr>
          <w:rFonts w:ascii="Times New Roman" w:cs="Times New Roman" w:eastAsia="Times New Roman" w:hAnsi="Times New Roman"/>
          <w:sz w:val="17"/>
          <w:szCs w:val="17"/>
          <w:b w:val="1"/>
          <w:bCs w:val="1"/>
          <w:color w:val="auto"/>
        </w:rPr>
      </w:pPr>
    </w:p>
    <w:p>
      <w:pPr>
        <w:ind w:left="940" w:right="36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Non-GAAP net income for the fiscal year was $1,329.0 million, after adjusting for stock-based compensation expense and related payroll taxes, acquisition-related expenses, losses on strategic investments, net, litigation settlements, net, income tax benefits from discrete activities, and undistributed earnings attributable to participating securities. Non-GAAP net income per share was $4.37. In fiscal year 2022, non-GAAP net income was $1,549.1 million, or $5.07 per share.</w:t>
      </w:r>
    </w:p>
    <w:p>
      <w:pPr>
        <w:spacing w:after="0" w:line="62" w:lineRule="exact"/>
        <w:rPr>
          <w:rFonts w:ascii="Times New Roman" w:cs="Times New Roman" w:eastAsia="Times New Roman" w:hAnsi="Times New Roman"/>
          <w:sz w:val="17"/>
          <w:szCs w:val="17"/>
          <w:b w:val="1"/>
          <w:bCs w:val="1"/>
          <w:color w:val="auto"/>
        </w:rPr>
      </w:pPr>
    </w:p>
    <w:p>
      <w:pPr>
        <w:ind w:left="940" w:right="280" w:hanging="316"/>
        <w:spacing w:after="0" w:line="273" w:lineRule="auto"/>
        <w:tabs>
          <w:tab w:leader="none" w:pos="93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Flow: </w:t>
      </w:r>
      <w:r>
        <w:rPr>
          <w:rFonts w:ascii="Times New Roman" w:cs="Times New Roman" w:eastAsia="Times New Roman" w:hAnsi="Times New Roman"/>
          <w:sz w:val="17"/>
          <w:szCs w:val="17"/>
          <w:color w:val="auto"/>
        </w:rPr>
        <w:t>Net cash provided by operating activities was $1,290.3 million for the fiscal year, compared to $1,605.3 million for fiscal year 2022.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Free cash flow, which is net cash provided by operating activities less purchases of property and equipment, was $1,186.4 million, compared to $1,472.7 million for fiscal year 2022.</w:t>
      </w:r>
    </w:p>
    <w:p>
      <w:pPr>
        <w:spacing w:after="0" w:line="160"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Customer Metrics: </w:t>
      </w:r>
      <w:r>
        <w:rPr>
          <w:rFonts w:ascii="Times New Roman" w:cs="Times New Roman" w:eastAsia="Times New Roman" w:hAnsi="Times New Roman"/>
          <w:sz w:val="17"/>
          <w:szCs w:val="17"/>
          <w:color w:val="auto"/>
        </w:rPr>
        <w:t>Drivers of total revenue included acquiring new customers and expanding across existing customers. At the end of the fourth quarter of fiscal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 2023, Zoom had:</w:t>
      </w:r>
    </w:p>
    <w:p>
      <w:pPr>
        <w:spacing w:after="0" w:line="44" w:lineRule="exact"/>
        <w:rPr>
          <w:sz w:val="20"/>
          <w:szCs w:val="20"/>
          <w:color w:val="auto"/>
        </w:rPr>
      </w:pPr>
    </w:p>
    <w:p>
      <w:pPr>
        <w:ind w:left="920" w:hanging="29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213,000 Enterprise customers, up 12% year over year.</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trailing 12-month net dollar expansion rate for Enterprise customers of 115%.</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3,471 customers contributing more than $100,000 in trailing 12 months revenue, up approximately 27% from the same quarter last fiscal year.</w:t>
      </w:r>
    </w:p>
    <w:p>
      <w:pPr>
        <w:spacing w:after="0" w:line="114" w:lineRule="exact"/>
        <w:rPr>
          <w:rFonts w:ascii="Times New Roman" w:cs="Times New Roman" w:eastAsia="Times New Roman" w:hAnsi="Times New Roman"/>
          <w:sz w:val="17"/>
          <w:szCs w:val="17"/>
          <w:b w:val="1"/>
          <w:bCs w:val="1"/>
          <w:color w:val="auto"/>
        </w:rPr>
      </w:pPr>
    </w:p>
    <w:p>
      <w:pPr>
        <w:ind w:left="920" w:hanging="29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Online average monthly churn of 3.4% for Q4, down 40 bps from the same quarter last fiscal year.</w:t>
      </w:r>
    </w:p>
    <w:p>
      <w:pPr>
        <w:spacing w:after="0" w:line="114" w:lineRule="exact"/>
        <w:rPr>
          <w:rFonts w:ascii="Times New Roman" w:cs="Times New Roman" w:eastAsia="Times New Roman" w:hAnsi="Times New Roman"/>
          <w:sz w:val="17"/>
          <w:szCs w:val="17"/>
          <w:color w:val="auto"/>
        </w:rPr>
      </w:pPr>
    </w:p>
    <w:p>
      <w:pPr>
        <w:ind w:left="940" w:right="320" w:hanging="316"/>
        <w:spacing w:after="0" w:line="288"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total Online MRR from Online customers with a continual term of service of at least 16 months was 72.0%, up 1,300 bps year over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Outlook: </w:t>
      </w:r>
      <w:r>
        <w:rPr>
          <w:rFonts w:ascii="Times New Roman" w:cs="Times New Roman" w:eastAsia="Times New Roman" w:hAnsi="Times New Roman"/>
          <w:sz w:val="17"/>
          <w:szCs w:val="17"/>
          <w:color w:val="auto"/>
        </w:rPr>
        <w:t>Zoom is providing the following guidance for its first quarter of fiscal year 2024 and its full fiscal year 2024.</w:t>
      </w:r>
    </w:p>
    <w:p>
      <w:pPr>
        <w:spacing w:after="0" w:line="119" w:lineRule="exact"/>
        <w:rPr>
          <w:sz w:val="20"/>
          <w:szCs w:val="20"/>
          <w:color w:val="auto"/>
        </w:rPr>
      </w:pPr>
    </w:p>
    <w:p>
      <w:pPr>
        <w:ind w:left="940" w:right="80" w:hanging="316"/>
        <w:spacing w:after="0" w:line="265" w:lineRule="auto"/>
        <w:tabs>
          <w:tab w:leader="none" w:pos="93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First Quarter Fiscal Year 2024: Total revenue is expected to be between $1.080 billion and $1.085 billion and revenue in constant currency is expected to be between $1.097 billion and $1.102 billion. Non-GAAP income from operations is expected to be between $374.0 million and $379.0 million. First quarter non-GAAP diluted EPS is expected to be between $0.96 and $0.98 with approximately 304 million non-GAAP weighted average shares outstanding.</w:t>
      </w:r>
    </w:p>
    <w:p>
      <w:pPr>
        <w:spacing w:after="0" w:line="66" w:lineRule="exact"/>
        <w:rPr>
          <w:rFonts w:ascii="Times New Roman" w:cs="Times New Roman" w:eastAsia="Times New Roman" w:hAnsi="Times New Roman"/>
          <w:sz w:val="17"/>
          <w:szCs w:val="17"/>
          <w:b w:val="1"/>
          <w:bCs w:val="1"/>
          <w:color w:val="auto"/>
        </w:rPr>
      </w:pPr>
    </w:p>
    <w:p>
      <w:pPr>
        <w:ind w:left="940" w:right="140" w:hanging="316"/>
        <w:spacing w:after="0" w:line="265" w:lineRule="auto"/>
        <w:tabs>
          <w:tab w:leader="none" w:pos="93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Full Fiscal Year 2024: Total revenue is expected to be between $4.435 billion and $4.455 billion and revenue in constant currency is expected to be between $4.458 billion and $4.478 billion, Non-GAAP income from operations is expected to be between $1.606 billion and $1.626 billion. Full fiscal year non-GAAP diluted EPS is expected to be between $4.11 and $4.18 with approximately 309 million non-GAAP weighted average shares outstanding.</w:t>
      </w:r>
    </w:p>
    <w:p>
      <w:pPr>
        <w:spacing w:after="0" w:line="170"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supplemental financial presentation and other information can be accessed through Zoom’s investor relations website at investors.zoom.us.</w:t>
      </w:r>
    </w:p>
    <w:p>
      <w:pPr>
        <w:sectPr>
          <w:pgSz w:w="11900" w:h="16838" w:orient="portrait"/>
          <w:cols w:equalWidth="0" w:num="1">
            <w:col w:w="11220"/>
          </w:cols>
          <w:pgMar w:left="320" w:top="1062"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Zoom Video Earnings Call</w:t>
      </w:r>
    </w:p>
    <w:p>
      <w:pPr>
        <w:spacing w:after="0" w:line="119"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Zoom will host a Zoom Video Webinar for investors on February 27, 2023 at 2:00 p.m. Pacific Time / 5:00 p.m. Eastern Time to discuss the company’s financial results, business highlights and financial outlook. Investors are invited to join the Zoom Video Webinar by visiting: https://investors.zoom.us/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Zoom</w:t>
      </w:r>
    </w:p>
    <w:p>
      <w:pPr>
        <w:spacing w:after="0" w:line="3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Zoom is for you. Zoom is a space where you can connect to others, share ideas, make plans, and build toward a future limited only by your imagination. Our frictionless communications platform is the only one that started with video as its foundation, and we have set the standard for innovation ever since. That is why we are an intuitive, scalable, and secure choice for large enterprises, small businesses, and individuals alike. Founded in 2011, Zoom is publicly traded (NASDAQ:ZM) and headquartered in San Jose, California. Visit zoom.com and follow @zoom.</w:t>
      </w:r>
    </w:p>
    <w:p>
      <w:pPr>
        <w:sectPr>
          <w:pgSz w:w="11900" w:h="16838" w:orient="portrait"/>
          <w:cols w:equalWidth="0" w:num="1">
            <w:col w:w="11120"/>
          </w:cols>
          <w:pgMar w:left="320" w:top="106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This press release contains express and implied “forward-looking statements” within the meaning of the Private Securities Litigation Reform Act of 1995, including statements regarding Zoom's financial outlook for the first quarter of fiscal year 2024 and full fiscal year 2024, Zoom’s market position, opportunities, and growth strategy, product initiatives and go-to-market motions and the expected benefits resulting from the same, and market trends.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continued uncertainty regarding the extent and duration of the impact of COVID-19 and the responses of government and private industry thereto, including the potential effect on our user growth rate as the impact of the COVID-19 pandemic tapers, particularly as users return to work or school or are otherwise no longer subject to limitations on in-person meetings, as well as the impact of COVID-19 and other macroeconomic conditions, including inflation, on the overall economic environment, any or all of which will have an impact on demand for remote work solutions for businesses as well as overall distributed, face-to-face interactions and collaboration using Zoom, delays or outages in services from our co-located data centers, failures in internet infrastructure or interference with broadband access which could cause current or potential users to believe that our systems are unreliable, market volatility,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October 31, 2022.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6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Non-GAAP financial measures are not meant to be considered in isolation or as a substitute for comparable GAAP financial measures and should be read only in conjunction with Zoom’s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Non-GAAP Income From Operations and Non-GAAP Operating Margin. Zoom defines non-GAAP income from operations as income from operations excluding stock-based compensation expense and related payroll taxes, acquisition-related expenses, and litigation settlements, net. Zoom excludes stock-based compensation expenses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Zoom excludes significant litigation settlements, net of amounts covered by insurance, that we deem not to be in the ordinary course of our business.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82"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Non-GAAP Net Income and Non-GAAP Net Income Per Share, Basic and Diluted. Zoom defines non-GAAP net income and non-GAAP net income per share, basic and diluted, as GAAP net income attributable to common stockholders and GAAP net</w:t>
      </w:r>
    </w:p>
    <w:p>
      <w:pPr>
        <w:sectPr>
          <w:pgSz w:w="11900" w:h="16838" w:orient="portrait"/>
          <w:cols w:equalWidth="0" w:num="1">
            <w:col w:w="11220"/>
          </w:cols>
          <w:pgMar w:left="320" w:top="1062" w:right="359" w:bottom="1440" w:gutter="0" w:footer="0" w:header="0"/>
        </w:sectPr>
      </w:pPr>
    </w:p>
    <w:bookmarkStart w:id="7" w:name="page8"/>
    <w:bookmarkEnd w:id="7"/>
    <w:p>
      <w:pPr>
        <w:ind w:right="80"/>
        <w:spacing w:after="0" w:line="258" w:lineRule="auto"/>
        <w:rPr>
          <w:sz w:val="20"/>
          <w:szCs w:val="20"/>
          <w:color w:val="auto"/>
        </w:rPr>
      </w:pPr>
      <w:r>
        <w:rPr>
          <w:rFonts w:ascii="Times New Roman" w:cs="Times New Roman" w:eastAsia="Times New Roman" w:hAnsi="Times New Roman"/>
          <w:sz w:val="17"/>
          <w:szCs w:val="17"/>
          <w:color w:val="auto"/>
        </w:rPr>
        <w:t>income per share attributable to common stockholders, basic and diluted, respectively, adjusted to exclude stock-based compensation expense and related payroll taxes, acquisition-related expenses, gains/losses on strategic investments, net, litigation settlements, net, income tax benefits from discrete activities, and undistributed earnings attributable to participating securities, including the tax effects of all non-GAAP adjustments. Zoom excludes gains on strategic investments, net because given the size and volatility in the ongoing adjustments to the valuation of our strategic investments, we believe that excluding these gains or losses facilitates a more meaningful evaluation of our operational performance. Zoom excludes income tax benefits from discrete activities, including the income tax benefit related to the release of the US federal and state valuation allowance, because of their nonrecurring nature.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7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Free Cash Flow. Zoom defines free cash flow as GAAP net cash provided by operating activities less purchases of property and equipment. Zoom considers free cash flow to be a liquidity measure that provide useful information to management and investors regarding net cash provided by operating activities and cash used for investments in property and equipment required to maintain and grow the business.</w:t>
      </w:r>
    </w:p>
    <w:p>
      <w:pPr>
        <w:spacing w:after="0" w:line="6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 revenue in constant currency information as a framework for assessing how our underlying businesses performed period to period, excluding the effects of foreign currency fluctuations.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Metrics</w:t>
      </w:r>
    </w:p>
    <w:p>
      <w:pPr>
        <w:spacing w:after="0" w:line="11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Zoom defines a customer as a separate and distinct buying entity, which can be a single paid host or an organization of any size (including a distinct unit of an organization) that has multiple paid hosts. Zoom defines Enterprise customers as distinct business units who have been engaged by either Zoom’s direct sales team, channel partners or independent software vendor partners. All other customers that subscribe to our services directly through our website are referred to as Online customers.</w:t>
      </w:r>
    </w:p>
    <w:p>
      <w:pPr>
        <w:spacing w:after="0" w:line="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7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Zoom calculates online average monthly churn by starting with the Online customer MRR as of the beginning of the applicable quarter (“Entry MRR”). Zoom defines Entry MRR as the recurring revenue run-rate of subscription agreements from all Online customers except for subscriptions that Zoom recorded as churn in a previous quarter based on the customers' earlier indication to us of their intention to cancel that subscription. Zoom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for the applicable quarter. Zoom then divided that amount by three to calculate the online average monthly churn. One of the dynamics in the Online portion of the business is the MRR contribution from customers that have retained Zoom services for a certain portion of time as these customers tend to maintain their subscriptions and contribute meaningfully to the Online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Relations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Colleen Rodriguez</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Global Public Relations and Executive Communications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press@zoom.us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McCallum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Investor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investors@zoom.us</w:t>
      </w:r>
    </w:p>
    <w:p>
      <w:pPr>
        <w:sectPr>
          <w:pgSz w:w="11900" w:h="16838" w:orient="portrait"/>
          <w:cols w:equalWidth="0" w:num="1">
            <w:col w:w="11240"/>
          </w:cols>
          <w:pgMar w:left="320" w:top="96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900" w:type="dxa"/>
            <w:vAlign w:val="bottom"/>
          </w:tcPr>
          <w:p>
            <w:pPr>
              <w:spacing w:after="0"/>
              <w:rPr>
                <w:sz w:val="15"/>
                <w:szCs w:val="15"/>
                <w:color w:val="auto"/>
              </w:rPr>
            </w:pPr>
          </w:p>
        </w:tc>
      </w:tr>
      <w:tr>
        <w:trPr>
          <w:trHeight w:val="23"/>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8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(unaudited)</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1,086,830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1,062,820</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4,325,836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4,356,446</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557,404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419,673</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contract acquisition costs, 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223,250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199,266</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163,092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145,602</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6,356,412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6,183,807</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contract acquisition costs,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179,991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164,714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252,821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222,354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80,906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95,965</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398,992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367,814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122,641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27,607</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558,428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382,296</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177,874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106,761</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8,128,065</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7,551,318</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7,841</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457,716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430,415</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1,266,514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1,141,435</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1,738,644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1,579,691</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41,932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38,481</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73,687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85,018</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67,195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68,110</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1,921,458</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1,771,300</w:t>
            </w:r>
          </w:p>
        </w:tc>
      </w:tr>
      <w:tr>
        <w:trPr>
          <w:trHeight w:val="238"/>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Preferred stock</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4,104,880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3,749,514</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(50,385)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(17,902)</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2,151,818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2,048,107</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6,206,607</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5,780,018</w:t>
            </w: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8,128,065</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7,551,318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7"/>
          <w:szCs w:val="17"/>
          <w:color w:val="auto"/>
        </w:rPr>
        <w:t>Note: The amount of unbilled accounts receivable included within accounts receivable, net on the consolidated balance sheets was $91.6 million and $59.7 million as of January 31, 2023 and 2022, respectively.</w:t>
      </w:r>
    </w:p>
    <w:p>
      <w:pPr>
        <w:sectPr>
          <w:pgSz w:w="11900" w:h="16838" w:orient="portrait"/>
          <w:cols w:equalWidth="0" w:num="1">
            <w:col w:w="11240"/>
          </w:cols>
          <w:pgMar w:left="320" w:top="85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40" w:type="dxa"/>
            <w:vAlign w:val="bottom"/>
          </w:tcPr>
          <w:p>
            <w:pPr>
              <w:spacing w:after="0"/>
              <w:rPr>
                <w:sz w:val="15"/>
                <w:szCs w:val="15"/>
                <w:color w:val="auto"/>
              </w:rPr>
            </w:pPr>
          </w:p>
        </w:tc>
        <w:tc>
          <w:tcPr>
            <w:tcW w:w="262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r>
      <w:tr>
        <w:trPr>
          <w:trHeight w:val="23"/>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1,117,803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1,071,376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4,392,960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4,099,864</w:t>
            </w:r>
          </w:p>
        </w:tc>
      </w:tr>
      <w:tr>
        <w:trPr>
          <w:trHeight w:val="22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294,354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257,347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1,100,451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1,054,554</w:t>
            </w:r>
          </w:p>
        </w:tc>
      </w:tr>
      <w:tr>
        <w:trPr>
          <w:trHeight w:val="21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823,449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814,029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3,292,509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3,045,310</w:t>
            </w:r>
          </w:p>
        </w:tc>
      </w:tr>
      <w:tr>
        <w:trPr>
          <w:trHeight w:val="20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261,258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774,059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362,990</w:t>
            </w:r>
          </w:p>
        </w:tc>
      </w:tr>
      <w:tr>
        <w:trPr>
          <w:trHeight w:val="220"/>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325,415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1,696,590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1,135,959</w:t>
            </w: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576,431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482,770</w:t>
            </w:r>
          </w:p>
        </w:tc>
      </w:tr>
      <w:tr>
        <w:trPr>
          <w:trHeight w:val="213"/>
        </w:trPr>
        <w:tc>
          <w:tcPr>
            <w:tcW w:w="52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953,336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562,210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3,047,080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1,981,719</w:t>
            </w:r>
          </w:p>
        </w:tc>
      </w:tr>
      <w:tr>
        <w:trPr>
          <w:trHeight w:val="21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251,819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245,429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1,063,591</w:t>
            </w: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(losses) on strategic investments,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43,761</w:t>
            </w: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(5,720)</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income before provision for (benefit from)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249,276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1,101,632</w:t>
            </w: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(352,107)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145,565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(274,007)</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490,641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1,375,639</w:t>
            </w: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Undistributed earnings attributable to participating securities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 attributable to common stockholders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(104,050)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490,525</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103,704</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1,375,057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 per share attributable to common stockholders: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2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(0.36)</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1.60</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0.34</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4.50</w:t>
            </w:r>
          </w:p>
        </w:tc>
      </w:tr>
    </w:tbl>
    <w:p>
      <w:pPr>
        <w:spacing w:after="0" w:line="9" w:lineRule="exact"/>
        <w:rPr>
          <w:sz w:val="20"/>
          <w:szCs w:val="20"/>
          <w:color w:val="auto"/>
        </w:rPr>
      </w:pPr>
    </w:p>
    <w:p>
      <w:pPr>
        <w:sectPr>
          <w:pgSz w:w="11900" w:h="16838" w:orient="portrait"/>
          <w:cols w:equalWidth="0" w:num="1">
            <w:col w:w="11240"/>
          </w:cols>
          <w:pgMar w:left="320" w:top="856" w:right="339" w:bottom="1440" w:gutter="0" w:footer="0" w:header="0"/>
        </w:sectPr>
      </w:pPr>
    </w:p>
    <w:p>
      <w:pPr>
        <w:ind w:left="20" w:right="440"/>
        <w:spacing w:after="0"/>
        <w:rPr>
          <w:sz w:val="20"/>
          <w:szCs w:val="20"/>
          <w:color w:val="auto"/>
        </w:rPr>
      </w:pPr>
      <w:r>
        <w:rPr>
          <w:rFonts w:ascii="Times New Roman" w:cs="Times New Roman" w:eastAsia="Times New Roman" w:hAnsi="Times New Roman"/>
          <w:sz w:val="17"/>
          <w:szCs w:val="17"/>
          <w:color w:val="auto"/>
        </w:rPr>
        <w:t>Weighted-average shares used in computing net income per share attributable to common stockholders: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Basic</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Diluted</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Times New Roman" w:cs="Times New Roman" w:eastAsia="Times New Roman" w:hAnsi="Times New Roman"/>
          <w:sz w:val="17"/>
          <w:szCs w:val="17"/>
          <w:color w:val="auto"/>
        </w:rPr>
        <w:t>292,983,772</w:t>
      </w:r>
      <w:r>
        <w:rPr>
          <w:sz w:val="20"/>
          <w:szCs w:val="20"/>
          <w:color w:val="auto"/>
        </w:rPr>
        <w:tab/>
      </w:r>
      <w:r>
        <w:rPr>
          <w:rFonts w:ascii="Times New Roman" w:cs="Times New Roman" w:eastAsia="Times New Roman" w:hAnsi="Times New Roman"/>
          <w:sz w:val="17"/>
          <w:szCs w:val="17"/>
          <w:color w:val="auto"/>
        </w:rPr>
        <w:t>298,374,298</w:t>
      </w:r>
      <w:r>
        <w:rPr>
          <w:sz w:val="20"/>
          <w:szCs w:val="20"/>
          <w:color w:val="auto"/>
        </w:rPr>
        <w:tab/>
      </w:r>
      <w:r>
        <w:rPr>
          <w:rFonts w:ascii="Times New Roman" w:cs="Times New Roman" w:eastAsia="Times New Roman" w:hAnsi="Times New Roman"/>
          <w:sz w:val="17"/>
          <w:szCs w:val="17"/>
          <w:color w:val="auto"/>
        </w:rPr>
        <w:t>296,560,501</w:t>
      </w:r>
      <w:r>
        <w:rPr>
          <w:sz w:val="20"/>
          <w:szCs w:val="20"/>
          <w:color w:val="auto"/>
        </w:rPr>
        <w:tab/>
      </w:r>
      <w:r>
        <w:rPr>
          <w:rFonts w:ascii="Times New Roman" w:cs="Times New Roman" w:eastAsia="Times New Roman" w:hAnsi="Times New Roman"/>
          <w:sz w:val="17"/>
          <w:szCs w:val="17"/>
          <w:color w:val="auto"/>
        </w:rPr>
        <w:t>296,334,894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17780</wp:posOffset>
            </wp:positionV>
            <wp:extent cx="713803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188595"/>
                    </a:xfrm>
                    <a:prstGeom prst="rect">
                      <a:avLst/>
                    </a:prstGeom>
                    <a:noFill/>
                  </pic:spPr>
                </pic:pic>
              </a:graphicData>
            </a:graphic>
          </wp:anchor>
        </w:drawing>
        <w:drawing>
          <wp:anchor simplePos="0" relativeHeight="251657728" behindDoc="1" locked="0" layoutInCell="0" allowOverlap="1">
            <wp:simplePos x="0" y="0"/>
            <wp:positionH relativeFrom="column">
              <wp:posOffset>-3616960</wp:posOffset>
            </wp:positionH>
            <wp:positionV relativeFrom="paragraph">
              <wp:posOffset>-375920</wp:posOffset>
            </wp:positionV>
            <wp:extent cx="7138035" cy="254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254635"/>
                    </a:xfrm>
                    <a:prstGeom prst="rect">
                      <a:avLst/>
                    </a:prstGeom>
                    <a:noFill/>
                  </pic:spPr>
                </pic:pic>
              </a:graphicData>
            </a:graphic>
          </wp:anchor>
        </w:drawing>
      </w:r>
    </w:p>
    <w:p>
      <w:pPr>
        <w:spacing w:after="0" w:line="56"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Times New Roman" w:cs="Times New Roman" w:eastAsia="Times New Roman" w:hAnsi="Times New Roman"/>
          <w:sz w:val="17"/>
          <w:szCs w:val="17"/>
          <w:color w:val="auto"/>
        </w:rPr>
        <w:t>292,983,772</w:t>
      </w:r>
      <w:r>
        <w:rPr>
          <w:sz w:val="20"/>
          <w:szCs w:val="20"/>
          <w:color w:val="auto"/>
        </w:rPr>
        <w:tab/>
      </w:r>
      <w:r>
        <w:rPr>
          <w:rFonts w:ascii="Times New Roman" w:cs="Times New Roman" w:eastAsia="Times New Roman" w:hAnsi="Times New Roman"/>
          <w:sz w:val="17"/>
          <w:szCs w:val="17"/>
          <w:color w:val="auto"/>
        </w:rPr>
        <w:t>306,010,113</w:t>
      </w:r>
      <w:r>
        <w:rPr>
          <w:sz w:val="20"/>
          <w:szCs w:val="20"/>
          <w:color w:val="auto"/>
        </w:rPr>
        <w:tab/>
      </w:r>
      <w:r>
        <w:rPr>
          <w:rFonts w:ascii="Times New Roman" w:cs="Times New Roman" w:eastAsia="Times New Roman" w:hAnsi="Times New Roman"/>
          <w:sz w:val="17"/>
          <w:szCs w:val="17"/>
          <w:color w:val="auto"/>
        </w:rPr>
        <w:t>304,231,350</w:t>
      </w:r>
      <w:r>
        <w:rPr>
          <w:sz w:val="20"/>
          <w:szCs w:val="20"/>
          <w:color w:val="auto"/>
        </w:rPr>
        <w:tab/>
      </w:r>
      <w:r>
        <w:rPr>
          <w:rFonts w:ascii="Times New Roman" w:cs="Times New Roman" w:eastAsia="Times New Roman" w:hAnsi="Times New Roman"/>
          <w:sz w:val="17"/>
          <w:szCs w:val="17"/>
          <w:color w:val="auto"/>
        </w:rPr>
        <w:t>305,826,505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41910</wp:posOffset>
            </wp:positionV>
            <wp:extent cx="3839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39845" cy="8255"/>
                    </a:xfrm>
                    <a:prstGeom prst="rect">
                      <a:avLst/>
                    </a:prstGeom>
                    <a:noFill/>
                  </pic:spPr>
                </pic:pic>
              </a:graphicData>
            </a:graphic>
          </wp:anchor>
        </w:drawing>
      </w:r>
    </w:p>
    <w:p>
      <w:pPr>
        <w:sectPr>
          <w:pgSz w:w="11900" w:h="16838" w:orient="portrait"/>
          <w:cols w:equalWidth="0" w:num="2">
            <w:col w:w="4980" w:space="720"/>
            <w:col w:w="5540"/>
          </w:cols>
          <w:pgMar w:left="320" w:top="856" w:right="339" w:bottom="1440" w:gutter="0" w:footer="0" w:header="0"/>
          <w:type w:val="continuous"/>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Three Months Ended January 31,</w:t>
            </w:r>
          </w:p>
        </w:tc>
        <w:tc>
          <w:tcPr>
            <w:tcW w:w="340" w:type="dxa"/>
            <w:vAlign w:val="bottom"/>
          </w:tcPr>
          <w:p>
            <w:pPr>
              <w:spacing w:after="0"/>
              <w:rPr>
                <w:sz w:val="17"/>
                <w:szCs w:val="17"/>
                <w:color w:val="auto"/>
              </w:rPr>
            </w:pPr>
          </w:p>
        </w:tc>
        <w:tc>
          <w:tcPr>
            <w:tcW w:w="2700" w:type="dxa"/>
            <w:vAlign w:val="bottom"/>
            <w:gridSpan w:val="4"/>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Year Ended January 31,</w:t>
            </w:r>
          </w:p>
        </w:tc>
      </w:tr>
      <w:tr>
        <w:trPr>
          <w:trHeight w:val="190"/>
        </w:trPr>
        <w:tc>
          <w:tcPr>
            <w:tcW w:w="506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7"/>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7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2"/>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income</w:t>
            </w:r>
          </w:p>
        </w:tc>
        <w:tc>
          <w:tcPr>
            <w:tcW w:w="2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(104,050)</w:t>
            </w:r>
          </w:p>
        </w:tc>
        <w:tc>
          <w:tcPr>
            <w:tcW w:w="100" w:type="dxa"/>
            <w:vAlign w:val="bottom"/>
          </w:tcPr>
          <w:p>
            <w:pPr>
              <w:spacing w:after="0"/>
              <w:rPr>
                <w:sz w:val="16"/>
                <w:szCs w:val="16"/>
                <w:color w:val="auto"/>
              </w:rPr>
            </w:pP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490,641</w:t>
            </w:r>
          </w:p>
        </w:tc>
        <w:tc>
          <w:tcPr>
            <w:tcW w:w="100" w:type="dxa"/>
            <w:vAlign w:val="bottom"/>
          </w:tcPr>
          <w:p>
            <w:pPr>
              <w:spacing w:after="0"/>
              <w:rPr>
                <w:sz w:val="16"/>
                <w:szCs w:val="16"/>
                <w:color w:val="auto"/>
              </w:rPr>
            </w:pP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103,711</w:t>
            </w:r>
          </w:p>
        </w:tc>
        <w:tc>
          <w:tcPr>
            <w:tcW w:w="12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1,375,639</w:t>
            </w:r>
          </w:p>
        </w:tc>
      </w:tr>
      <w:tr>
        <w:trPr>
          <w:trHeight w:val="19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2"/>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518,059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161,375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1,285,752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477,287</w:t>
            </w:r>
          </w:p>
        </w:tc>
      </w:tr>
      <w:tr>
        <w:trPr>
          <w:trHeight w:val="19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(160,961)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(327,957)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(160,961)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(327,957)</w:t>
            </w:r>
          </w:p>
        </w:tc>
      </w:tr>
      <w:tr>
        <w:trPr>
          <w:trHeight w:val="192"/>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deferred contract acquisition costs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51,592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259,368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177,283</w:t>
            </w:r>
          </w:p>
        </w:tc>
      </w:tr>
      <w:tr>
        <w:trPr>
          <w:trHeight w:val="19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(Gains) losses on strategic investments, net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110,736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37,571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(43,761)</w:t>
            </w:r>
          </w:p>
        </w:tc>
      </w:tr>
      <w:tr>
        <w:trPr>
          <w:trHeight w:val="192"/>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82,321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48,188</w:t>
            </w:r>
          </w:p>
        </w:tc>
      </w:tr>
      <w:tr>
        <w:trPr>
          <w:trHeight w:val="19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Provision for accounts receivable allowances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50,285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36,747</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Non-cash operating lease cost</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18,387</w:t>
            </w: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Amortization of discount/premium on marketable securities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25,316</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4,591</w:t>
            </w: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2"/>
        </w:trPr>
        <w:tc>
          <w:tcPr>
            <w:tcW w:w="50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Accounts receivable</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(231,845)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(159,183)</w:t>
            </w:r>
          </w:p>
        </w:tc>
      </w:tr>
      <w:tr>
        <w:trPr>
          <w:trHeight w:val="196"/>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145,655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(83,936)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(18,066)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(155,934)</w:t>
            </w:r>
          </w:p>
        </w:tc>
      </w:tr>
      <w:tr>
        <w:trPr>
          <w:trHeight w:val="192"/>
        </w:trPr>
        <w:tc>
          <w:tcPr>
            <w:tcW w:w="50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Deferred contract acquisition costs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(80,807)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(82,066)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(298,629)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(247,371)</w:t>
            </w:r>
          </w:p>
        </w:tc>
      </w:tr>
      <w:tr>
        <w:trPr>
          <w:trHeight w:val="196"/>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11,611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(2,218)</w:t>
            </w:r>
          </w:p>
        </w:tc>
      </w:tr>
      <w:tr>
        <w:trPr>
          <w:trHeight w:val="192"/>
        </w:trPr>
        <w:tc>
          <w:tcPr>
            <w:tcW w:w="50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(95,861)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(70,545)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20,530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101,369</w:t>
            </w:r>
          </w:p>
        </w:tc>
      </w:tr>
      <w:tr>
        <w:trPr>
          <w:trHeight w:val="196"/>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Deferred revenue</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127,401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293,887</w:t>
            </w:r>
          </w:p>
        </w:tc>
      </w:tr>
      <w:tr>
        <w:trPr>
          <w:trHeight w:val="192"/>
        </w:trPr>
        <w:tc>
          <w:tcPr>
            <w:tcW w:w="5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Operating lease liabilities, net</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(6,171)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(4,564)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(23,839)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(17,004)</w:t>
            </w:r>
          </w:p>
        </w:tc>
      </w:tr>
      <w:tr>
        <w:trPr>
          <w:trHeight w:val="188"/>
        </w:trPr>
        <w:tc>
          <w:tcPr>
            <w:tcW w:w="5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211,588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209,396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1,290,262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1,605,266</w:t>
            </w:r>
          </w:p>
        </w:tc>
      </w:tr>
      <w:tr>
        <w:trPr>
          <w:trHeight w:val="19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5"/>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Purchases of marketable securities</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(922,072)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(988,436)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(2,849,121)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(4,434,749)</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Maturities of marketable securities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697,321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685,498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2,835,196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1,733,043</w:t>
            </w: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Sales of marketable securities</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296,867</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(103,826)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(132,590)</w:t>
            </w: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Purchases of strategic investments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(178,800)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(69,050)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(305,149)</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Cash paid for acquisition, net of cash acquired</w:t>
            </w:r>
          </w:p>
        </w:tc>
        <w:tc>
          <w:tcPr>
            <w:tcW w:w="2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(120,553)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(3,501)</w:t>
            </w:r>
          </w:p>
        </w:tc>
      </w:tr>
      <w:tr>
        <w:trPr>
          <w:trHeight w:val="19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 of intangible assets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(11,268)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(13,018)</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w:t>
            </w:r>
          </w:p>
        </w:tc>
        <w:tc>
          <w:tcPr>
            <w:tcW w:w="2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5060" w:type="dxa"/>
            <w:vAlign w:val="bottom"/>
            <w:tcBorders>
              <w:top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(257,709)</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(491,999)</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(318,322)</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(2,859,097)</w:t>
            </w:r>
          </w:p>
        </w:tc>
      </w:tr>
      <w:tr>
        <w:trPr>
          <w:trHeight w:val="19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5"/>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Cash paid for repurchases of common stock</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(9,225)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(1,000,003)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Proceeds from issuance of common stock for employee stock purchase plan</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59,331</w:t>
            </w:r>
          </w:p>
        </w:tc>
      </w:tr>
      <w:tr>
        <w:trPr>
          <w:trHeight w:val="19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14,404</w:t>
            </w:r>
          </w:p>
        </w:tc>
      </w:tr>
      <w:tr>
        <w:trPr>
          <w:trHeight w:val="151"/>
        </w:trPr>
        <w:tc>
          <w:tcPr>
            <w:tcW w:w="5060" w:type="dxa"/>
            <w:vAlign w:val="bottom"/>
          </w:tcPr>
          <w:p>
            <w:pPr>
              <w:ind w:left="220"/>
              <w:spacing w:after="0" w:line="151" w:lineRule="exact"/>
              <w:rPr>
                <w:sz w:val="20"/>
                <w:szCs w:val="20"/>
                <w:color w:val="auto"/>
              </w:rPr>
            </w:pPr>
            <w:r>
              <w:rPr>
                <w:rFonts w:ascii="Times New Roman" w:cs="Times New Roman" w:eastAsia="Times New Roman" w:hAnsi="Times New Roman"/>
                <w:sz w:val="15"/>
                <w:szCs w:val="15"/>
                <w:color w:val="auto"/>
              </w:rPr>
              <w:t>Proceeds from employee equity transactions to be remitted (remitted) to</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4"/>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employees and tax authorities, net</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(40,004)</w:t>
            </w:r>
          </w:p>
        </w:tc>
      </w:tr>
      <w:tr>
        <w:trPr>
          <w:trHeight w:val="198"/>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337</w:t>
            </w:r>
          </w:p>
        </w:tc>
      </w:tr>
      <w:tr>
        <w:trPr>
          <w:trHeight w:val="185"/>
        </w:trPr>
        <w:tc>
          <w:tcPr>
            <w:tcW w:w="506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11,745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13,183</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(936,942)</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34,068</w:t>
            </w:r>
          </w:p>
        </w:tc>
      </w:tr>
      <w:tr>
        <w:trPr>
          <w:trHeight w:val="19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(8,108)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185"/>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(decrease) increase in cash, cash equivalents, and restricted cash</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(5,845)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(269,420)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26,890</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(1,219,763)</w:t>
            </w:r>
          </w:p>
        </w:tc>
      </w:tr>
      <w:tr>
        <w:trPr>
          <w:trHeight w:val="19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cash—beginning of year</w:t>
            </w: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1,106,088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1,342,773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1,073,353</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2,293,116</w:t>
            </w:r>
          </w:p>
        </w:tc>
      </w:tr>
      <w:tr>
        <w:trPr>
          <w:trHeight w:val="188"/>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cash—end of year</w:t>
            </w:r>
          </w:p>
        </w:tc>
        <w:tc>
          <w:tcPr>
            <w:tcW w:w="2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1,100,243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1,073,353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1,100,243</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1,073,353</w:t>
            </w: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3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to Non-GAAP Measures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260" w:type="dxa"/>
            <w:vAlign w:val="bottom"/>
          </w:tcPr>
          <w:p>
            <w:pPr>
              <w:spacing w:after="0"/>
              <w:rPr>
                <w:sz w:val="15"/>
                <w:szCs w:val="15"/>
                <w:color w:val="auto"/>
              </w:rPr>
            </w:pPr>
          </w:p>
        </w:tc>
        <w:tc>
          <w:tcPr>
            <w:tcW w:w="284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0" w:type="dxa"/>
            <w:vAlign w:val="bottom"/>
          </w:tcPr>
          <w:p>
            <w:pPr>
              <w:spacing w:after="0"/>
              <w:rPr>
                <w:sz w:val="1"/>
                <w:szCs w:val="1"/>
                <w:color w:val="auto"/>
              </w:rPr>
            </w:pPr>
          </w:p>
        </w:tc>
      </w:tr>
      <w:tr>
        <w:trPr>
          <w:trHeight w:val="23"/>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9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income from operations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(129,887)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251,819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245,429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1,063,591</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520,951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164,511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1,301,663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504,336</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(4,226)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66,916</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13,768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3,960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36,218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22,277</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income from operations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404,832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420,290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1,579,084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1,657,120</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operating margin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25.9 %</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operating margin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40.4 %</w:t>
            </w:r>
          </w:p>
        </w:tc>
        <w:tc>
          <w:tcPr>
            <w:tcW w:w="0" w:type="dxa"/>
            <w:vAlign w:val="bottom"/>
          </w:tcPr>
          <w:p>
            <w:pPr>
              <w:spacing w:after="0"/>
              <w:rPr>
                <w:sz w:val="1"/>
                <w:szCs w:val="1"/>
                <w:color w:val="auto"/>
              </w:rPr>
            </w:pPr>
          </w:p>
        </w:tc>
      </w:tr>
      <w:tr>
        <w:trPr>
          <w:trHeight w:val="103"/>
        </w:trPr>
        <w:tc>
          <w:tcPr>
            <w:tcW w:w="49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 net income attributable to common stockholders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(104,050)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490,525</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103,704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1,375,057</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520,951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164,511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1,301,663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504,336</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(4,226)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66,916</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(Gains) losses on strategic investments, net</w:t>
            </w:r>
          </w:p>
        </w:tc>
        <w:tc>
          <w:tcPr>
            <w:tcW w:w="26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(40,443)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110,736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37,571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(43,761)</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13,768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3,960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36,218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22,277</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 benefits from discrete activities</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(376,266)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(376,266)</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Undistributed earnings attributable to participating securities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 effects on non-GAAP adjustments</w:t>
            </w:r>
          </w:p>
        </w:tc>
        <w:tc>
          <w:tcPr>
            <w:tcW w:w="26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(23,672)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(145,926)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net income</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366,554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393,582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1,329,011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1,549,141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 per share - basic and diluted: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GAAP net (loss) income per share - basic</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(0.36)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Non-GAAP net income per share - basic</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4.48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5.23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tcPr>
          <w:p>
            <w:pPr>
              <w:ind w:left="220"/>
              <w:spacing w:after="0" w:line="191" w:lineRule="exact"/>
              <w:rPr>
                <w:sz w:val="20"/>
                <w:szCs w:val="20"/>
                <w:color w:val="auto"/>
              </w:rPr>
            </w:pPr>
            <w:r>
              <w:rPr>
                <w:rFonts w:ascii="Times New Roman" w:cs="Times New Roman" w:eastAsia="Times New Roman" w:hAnsi="Times New Roman"/>
                <w:sz w:val="17"/>
                <w:szCs w:val="17"/>
                <w:color w:val="auto"/>
              </w:rPr>
              <w:t>GAAP net (loss) income per share - diluted</w:t>
            </w: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rPr>
              <w:t>(0.36)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ind w:right="135"/>
              <w:spacing w:after="0" w:line="191" w:lineRule="exact"/>
              <w:rPr>
                <w:sz w:val="20"/>
                <w:szCs w:val="20"/>
                <w:color w:val="auto"/>
              </w:rPr>
            </w:pPr>
            <w:r>
              <w:rPr>
                <w:rFonts w:ascii="Times New Roman" w:cs="Times New Roman" w:eastAsia="Times New Roman" w:hAnsi="Times New Roman"/>
                <w:sz w:val="17"/>
                <w:szCs w:val="17"/>
                <w:color w:val="auto"/>
              </w:rPr>
              <w:t>1.60</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rPr>
              <w:t>0.34</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4.50</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Non-GAAP net income per share - diluted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4.37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5.07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9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GAAP and non-GAAP weighted-average shares used to compute net</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income per share - basic</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292,983,772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298,374,298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296,560,501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296,334,894</w:t>
            </w:r>
          </w:p>
        </w:tc>
        <w:tc>
          <w:tcPr>
            <w:tcW w:w="0" w:type="dxa"/>
            <w:vAlign w:val="bottom"/>
          </w:tcPr>
          <w:p>
            <w:pPr>
              <w:spacing w:after="0"/>
              <w:rPr>
                <w:sz w:val="1"/>
                <w:szCs w:val="1"/>
                <w:color w:val="auto"/>
              </w:rPr>
            </w:pPr>
          </w:p>
        </w:tc>
      </w:tr>
      <w:tr>
        <w:trPr>
          <w:trHeight w:val="177"/>
        </w:trPr>
        <w:tc>
          <w:tcPr>
            <w:tcW w:w="492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GAAP weighted-average shares used to compute net (loss) income</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 share - diluted</w:t>
            </w:r>
          </w:p>
        </w:tc>
        <w:tc>
          <w:tcPr>
            <w:tcW w:w="2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292,983,772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306,010,113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304,231,350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305,826,505</w:t>
            </w:r>
          </w:p>
        </w:tc>
        <w:tc>
          <w:tcPr>
            <w:tcW w:w="0" w:type="dxa"/>
            <w:vAlign w:val="bottom"/>
          </w:tcPr>
          <w:p>
            <w:pPr>
              <w:spacing w:after="0"/>
              <w:rPr>
                <w:sz w:val="1"/>
                <w:szCs w:val="1"/>
                <w:color w:val="auto"/>
              </w:rPr>
            </w:pPr>
          </w:p>
        </w:tc>
      </w:tr>
      <w:tr>
        <w:trPr>
          <w:trHeight w:val="177"/>
        </w:trPr>
        <w:tc>
          <w:tcPr>
            <w:tcW w:w="49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Non-GAAP weighted-average shares used to compute net income</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 - diluted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301,143,279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306,010,113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304,231,350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305,826,505</w:t>
            </w:r>
          </w:p>
        </w:tc>
        <w:tc>
          <w:tcPr>
            <w:tcW w:w="0" w:type="dxa"/>
            <w:vAlign w:val="bottom"/>
          </w:tcPr>
          <w:p>
            <w:pPr>
              <w:spacing w:after="0"/>
              <w:rPr>
                <w:sz w:val="1"/>
                <w:szCs w:val="1"/>
                <w:color w:val="auto"/>
              </w:rPr>
            </w:pPr>
          </w:p>
        </w:tc>
      </w:tr>
      <w:tr>
        <w:trPr>
          <w:trHeight w:val="103"/>
        </w:trPr>
        <w:tc>
          <w:tcPr>
            <w:tcW w:w="4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211,588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209,396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1,290,262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1,605,266</w:t>
            </w:r>
          </w:p>
        </w:tc>
        <w:tc>
          <w:tcPr>
            <w:tcW w:w="0" w:type="dxa"/>
            <w:vAlign w:val="bottom"/>
          </w:tcPr>
          <w:p>
            <w:pPr>
              <w:spacing w:after="0"/>
              <w:rPr>
                <w:sz w:val="1"/>
                <w:szCs w:val="1"/>
                <w:color w:val="auto"/>
              </w:rPr>
            </w:pPr>
          </w:p>
        </w:tc>
      </w:tr>
      <w:tr>
        <w:trPr>
          <w:trHeight w:val="220"/>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Less: Purchases of property and equipment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(28,258)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(20,774)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(103,826)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(132,590)</w:t>
            </w:r>
          </w:p>
        </w:tc>
        <w:tc>
          <w:tcPr>
            <w:tcW w:w="0" w:type="dxa"/>
            <w:vAlign w:val="bottom"/>
          </w:tcPr>
          <w:p>
            <w:pPr>
              <w:spacing w:after="0"/>
              <w:rPr>
                <w:sz w:val="1"/>
                <w:szCs w:val="1"/>
                <w:color w:val="auto"/>
              </w:rPr>
            </w:pPr>
          </w:p>
        </w:tc>
      </w:tr>
      <w:tr>
        <w:trPr>
          <w:trHeight w:val="23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 (non-GAAP)</w:t>
            </w: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183,330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188,622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1,186,436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1,472,676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26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rPr>
              <w:t>(257,709)</w:t>
            </w:r>
          </w:p>
        </w:tc>
        <w:tc>
          <w:tcPr>
            <w:tcW w:w="10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75"/>
              <w:spacing w:after="0" w:line="191" w:lineRule="exact"/>
              <w:rPr>
                <w:sz w:val="20"/>
                <w:szCs w:val="20"/>
                <w:color w:val="auto"/>
              </w:rPr>
            </w:pPr>
            <w:r>
              <w:rPr>
                <w:rFonts w:ascii="Times New Roman" w:cs="Times New Roman" w:eastAsia="Times New Roman" w:hAnsi="Times New Roman"/>
                <w:sz w:val="17"/>
                <w:szCs w:val="17"/>
                <w:color w:val="auto"/>
              </w:rPr>
              <w:t>(491,999)</w:t>
            </w:r>
          </w:p>
        </w:tc>
        <w:tc>
          <w:tcPr>
            <w:tcW w:w="100" w:type="dxa"/>
            <w:vAlign w:val="bottom"/>
          </w:tcPr>
          <w:p>
            <w:pPr>
              <w:spacing w:after="0"/>
              <w:rPr>
                <w:sz w:val="16"/>
                <w:szCs w:val="16"/>
                <w:color w:val="auto"/>
              </w:rPr>
            </w:pPr>
          </w:p>
        </w:tc>
        <w:tc>
          <w:tcPr>
            <w:tcW w:w="26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rPr>
              <w:t>(318,322)</w:t>
            </w: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ind w:right="75"/>
              <w:spacing w:after="0" w:line="191" w:lineRule="exact"/>
              <w:rPr>
                <w:sz w:val="20"/>
                <w:szCs w:val="20"/>
                <w:color w:val="auto"/>
              </w:rPr>
            </w:pPr>
            <w:r>
              <w:rPr>
                <w:rFonts w:ascii="Times New Roman" w:cs="Times New Roman" w:eastAsia="Times New Roman" w:hAnsi="Times New Roman"/>
                <w:sz w:val="17"/>
                <w:szCs w:val="17"/>
                <w:color w:val="auto"/>
              </w:rPr>
              <w:t>(2,859,097)</w:t>
            </w:r>
          </w:p>
        </w:tc>
        <w:tc>
          <w:tcPr>
            <w:tcW w:w="0" w:type="dxa"/>
            <w:vAlign w:val="bottom"/>
          </w:tcPr>
          <w:p>
            <w:pPr>
              <w:spacing w:after="0"/>
              <w:rPr>
                <w:sz w:val="1"/>
                <w:szCs w:val="1"/>
                <w:color w:val="auto"/>
              </w:rPr>
            </w:pPr>
          </w:p>
        </w:tc>
      </w:tr>
      <w:tr>
        <w:trPr>
          <w:trHeight w:val="245"/>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11,745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13,183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(936,942)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34,068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cash flow margin (GAAP)</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18.9 %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19.5 %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29.4 %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39.2 %</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 margin (non-GAAP)</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35.9 %</w:t>
            </w:r>
          </w:p>
        </w:tc>
        <w:tc>
          <w:tcPr>
            <w:tcW w:w="0" w:type="dxa"/>
            <w:vAlign w:val="bottom"/>
          </w:tcPr>
          <w:p>
            <w:pPr>
              <w:spacing w:after="0"/>
              <w:rPr>
                <w:sz w:val="1"/>
                <w:szCs w:val="1"/>
                <w:color w:val="auto"/>
              </w:rPr>
            </w:pPr>
          </w:p>
        </w:tc>
      </w:tr>
      <w:tr>
        <w:trPr>
          <w:trHeight w:val="90"/>
        </w:trPr>
        <w:tc>
          <w:tcPr>
            <w:tcW w:w="4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20" w:type="dxa"/>
            <w:vAlign w:val="bottom"/>
            <w:gridSpan w:val="3"/>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96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260" w:type="dxa"/>
            <w:vAlign w:val="bottom"/>
            <w:shd w:val="clear" w:color="auto" w:fill="CCEEFF"/>
          </w:tcPr>
          <w:p>
            <w:pPr>
              <w:spacing w:after="0"/>
              <w:rPr>
                <w:sz w:val="16"/>
                <w:szCs w:val="16"/>
                <w:color w:val="auto"/>
              </w:rPr>
            </w:pPr>
          </w:p>
        </w:tc>
        <w:tc>
          <w:tcPr>
            <w:tcW w:w="2840" w:type="dxa"/>
            <w:vAlign w:val="bottom"/>
            <w:gridSpan w:val="4"/>
            <w:shd w:val="clear" w:color="auto" w:fill="CCEEFF"/>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0" w:type="dxa"/>
            <w:vAlign w:val="bottom"/>
          </w:tcPr>
          <w:p>
            <w:pPr>
              <w:spacing w:after="0"/>
              <w:rPr>
                <w:sz w:val="1"/>
                <w:szCs w:val="1"/>
                <w:color w:val="auto"/>
              </w:rPr>
            </w:pPr>
          </w:p>
        </w:tc>
      </w:tr>
      <w:tr>
        <w:trPr>
          <w:trHeight w:val="187"/>
        </w:trPr>
        <w:tc>
          <w:tcPr>
            <w:tcW w:w="49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jc w:val="right"/>
              <w:ind w:right="35"/>
              <w:spacing w:after="0" w:line="129" w:lineRule="exact"/>
              <w:rPr>
                <w:sz w:val="20"/>
                <w:szCs w:val="20"/>
                <w:color w:val="auto"/>
              </w:rPr>
            </w:pPr>
            <w:r>
              <w:rPr>
                <w:rFonts w:ascii="Times New Roman" w:cs="Times New Roman" w:eastAsia="Times New Roman" w:hAnsi="Times New Roman"/>
                <w:sz w:val="14"/>
                <w:szCs w:val="14"/>
                <w:b w:val="1"/>
                <w:bCs w:val="1"/>
                <w:color w:val="auto"/>
                <w:w w:val="95"/>
              </w:rPr>
              <w:t>YoY Revenue Growth</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shd w:val="clear" w:color="auto" w:fill="CCEEFF"/>
          </w:tcPr>
          <w:p>
            <w:pPr>
              <w:spacing w:after="0"/>
              <w:rPr>
                <w:sz w:val="11"/>
                <w:szCs w:val="11"/>
                <w:color w:val="auto"/>
              </w:rPr>
            </w:pPr>
          </w:p>
        </w:tc>
        <w:tc>
          <w:tcPr>
            <w:tcW w:w="1400" w:type="dxa"/>
            <w:vAlign w:val="bottom"/>
            <w:shd w:val="clear" w:color="auto" w:fill="CCEEFF"/>
          </w:tcPr>
          <w:p>
            <w:pPr>
              <w:jc w:val="right"/>
              <w:ind w:right="15"/>
              <w:spacing w:after="0" w:line="129" w:lineRule="exact"/>
              <w:rPr>
                <w:sz w:val="20"/>
                <w:szCs w:val="20"/>
                <w:color w:val="auto"/>
              </w:rPr>
            </w:pPr>
            <w:r>
              <w:rPr>
                <w:rFonts w:ascii="Times New Roman" w:cs="Times New Roman" w:eastAsia="Times New Roman" w:hAnsi="Times New Roman"/>
                <w:sz w:val="14"/>
                <w:szCs w:val="14"/>
                <w:b w:val="1"/>
                <w:bCs w:val="1"/>
                <w:color w:val="auto"/>
                <w:w w:val="96"/>
              </w:rPr>
              <w:t>YoY Revenue Growth</w:t>
            </w:r>
          </w:p>
        </w:tc>
        <w:tc>
          <w:tcPr>
            <w:tcW w:w="0" w:type="dxa"/>
            <w:vAlign w:val="bottom"/>
          </w:tcPr>
          <w:p>
            <w:pPr>
              <w:spacing w:after="0"/>
              <w:rPr>
                <w:sz w:val="1"/>
                <w:szCs w:val="1"/>
                <w:color w:val="auto"/>
              </w:rPr>
            </w:pPr>
          </w:p>
        </w:tc>
      </w:tr>
      <w:tr>
        <w:trPr>
          <w:trHeight w:val="192"/>
        </w:trPr>
        <w:tc>
          <w:tcPr>
            <w:tcW w:w="4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 revenue</w:t>
            </w:r>
          </w:p>
        </w:tc>
        <w:tc>
          <w:tcPr>
            <w:tcW w:w="260" w:type="dxa"/>
            <w:vAlign w:val="bottom"/>
          </w:tcPr>
          <w:p>
            <w:pPr>
              <w:spacing w:after="0"/>
              <w:rPr>
                <w:sz w:val="19"/>
                <w:szCs w:val="19"/>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1,117,803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4,392,960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 Constant currency impact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22,398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69,075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in constant currency (non-GAAP)</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1,140,201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4,462,035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2023-02-27T17:15:20Z</dcterms:created>
  <dcterms:modified xsi:type="dcterms:W3CDTF">2023-02-27T17:15:20Z</dcterms:modified>
</cp:coreProperties>
</file>