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912495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937895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_________________________</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_________________________</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5, 2019</w:t>
      </w:r>
    </w:p>
    <w:p>
      <w:pPr>
        <w:spacing w:after="0" w:line="3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_________________________</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Zoom Video Communications, Inc.</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_________________________</w:t>
      </w:r>
    </w:p>
    <w:p>
      <w:pPr>
        <w:spacing w:after="0" w:line="27" w:lineRule="exact"/>
        <w:rPr>
          <w:sz w:val="24"/>
          <w:szCs w:val="24"/>
          <w:color w:val="auto"/>
        </w:rPr>
      </w:pPr>
    </w:p>
    <w:tbl>
      <w:tblPr>
        <w:tblLayout w:type="fixed"/>
        <w:tblInd w:w="520" w:type="dxa"/>
        <w:tblCellMar>
          <w:top w:w="0" w:type="dxa"/>
          <w:left w:w="0" w:type="dxa"/>
          <w:bottom w:w="0" w:type="dxa"/>
          <w:right w:w="0" w:type="dxa"/>
        </w:tblCellMar>
      </w:tblPr>
      <w:tr>
        <w:trPr>
          <w:trHeight w:val="262"/>
        </w:trPr>
        <w:tc>
          <w:tcPr>
            <w:tcW w:w="3000" w:type="dxa"/>
            <w:vAlign w:val="bottom"/>
          </w:tcPr>
          <w:p>
            <w:pPr>
              <w:jc w:val="center"/>
              <w:ind w:right="115"/>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4820" w:type="dxa"/>
            <w:vAlign w:val="bottom"/>
          </w:tcPr>
          <w:p>
            <w:pPr>
              <w:jc w:val="center"/>
              <w:ind w:right="315"/>
              <w:spacing w:after="0"/>
              <w:rPr>
                <w:sz w:val="20"/>
                <w:szCs w:val="20"/>
                <w:color w:val="auto"/>
              </w:rPr>
            </w:pPr>
            <w:r>
              <w:rPr>
                <w:rFonts w:ascii="Times New Roman" w:cs="Times New Roman" w:eastAsia="Times New Roman" w:hAnsi="Times New Roman"/>
                <w:sz w:val="20"/>
                <w:szCs w:val="20"/>
                <w:b w:val="1"/>
                <w:bCs w:val="1"/>
                <w:color w:val="auto"/>
                <w:w w:val="99"/>
              </w:rPr>
              <w:t>001-38865</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61-1648780</w:t>
            </w:r>
          </w:p>
        </w:tc>
        <w:tc>
          <w:tcPr>
            <w:tcW w:w="0" w:type="dxa"/>
            <w:vAlign w:val="bottom"/>
          </w:tcPr>
          <w:p>
            <w:pPr>
              <w:spacing w:after="0"/>
              <w:rPr>
                <w:sz w:val="1"/>
                <w:szCs w:val="1"/>
                <w:color w:val="auto"/>
              </w:rPr>
            </w:pPr>
          </w:p>
        </w:tc>
      </w:tr>
      <w:tr>
        <w:trPr>
          <w:trHeight w:val="172"/>
        </w:trPr>
        <w:tc>
          <w:tcPr>
            <w:tcW w:w="30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820" w:type="dxa"/>
            <w:vAlign w:val="bottom"/>
            <w:vMerge w:val="restart"/>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740" w:type="dxa"/>
            <w:vAlign w:val="bottom"/>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0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820" w:type="dxa"/>
            <w:vAlign w:val="bottom"/>
            <w:vMerge w:val="continue"/>
          </w:tcPr>
          <w:p>
            <w:pPr>
              <w:spacing w:after="0"/>
              <w:rPr>
                <w:sz w:val="16"/>
                <w:szCs w:val="16"/>
                <w:color w:val="auto"/>
              </w:rPr>
            </w:pPr>
          </w:p>
        </w:tc>
        <w:tc>
          <w:tcPr>
            <w:tcW w:w="1740" w:type="dxa"/>
            <w:vAlign w:val="bottom"/>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02"/>
        </w:trPr>
        <w:tc>
          <w:tcPr>
            <w:tcW w:w="3000" w:type="dxa"/>
            <w:vAlign w:val="bottom"/>
          </w:tcPr>
          <w:p>
            <w:pPr>
              <w:jc w:val="center"/>
              <w:ind w:right="95"/>
              <w:spacing w:after="0"/>
              <w:rPr>
                <w:sz w:val="20"/>
                <w:szCs w:val="20"/>
                <w:color w:val="auto"/>
              </w:rPr>
            </w:pPr>
            <w:r>
              <w:rPr>
                <w:rFonts w:ascii="Times New Roman" w:cs="Times New Roman" w:eastAsia="Times New Roman" w:hAnsi="Times New Roman"/>
                <w:sz w:val="20"/>
                <w:szCs w:val="20"/>
                <w:b w:val="1"/>
                <w:bCs w:val="1"/>
                <w:color w:val="auto"/>
                <w:w w:val="98"/>
              </w:rPr>
              <w:t>55 Almaden Boulevard, 6th Floor</w:t>
            </w:r>
          </w:p>
        </w:tc>
        <w:tc>
          <w:tcPr>
            <w:tcW w:w="4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000" w:type="dxa"/>
            <w:vAlign w:val="bottom"/>
          </w:tcPr>
          <w:p>
            <w:pPr>
              <w:jc w:val="center"/>
              <w:ind w:right="95"/>
              <w:spacing w:after="0"/>
              <w:rPr>
                <w:sz w:val="20"/>
                <w:szCs w:val="20"/>
                <w:color w:val="auto"/>
              </w:rPr>
            </w:pPr>
            <w:r>
              <w:rPr>
                <w:rFonts w:ascii="Times New Roman" w:cs="Times New Roman" w:eastAsia="Times New Roman" w:hAnsi="Times New Roman"/>
                <w:sz w:val="20"/>
                <w:szCs w:val="20"/>
                <w:b w:val="1"/>
                <w:bCs w:val="1"/>
                <w:color w:val="auto"/>
                <w:w w:val="98"/>
              </w:rPr>
              <w:t>San Jose, California</w:t>
            </w:r>
          </w:p>
        </w:tc>
        <w:tc>
          <w:tcPr>
            <w:tcW w:w="4820" w:type="dxa"/>
            <w:vAlign w:val="bottom"/>
          </w:tcPr>
          <w:p>
            <w:pPr>
              <w:spacing w:after="0"/>
              <w:rPr>
                <w:sz w:val="22"/>
                <w:szCs w:val="22"/>
                <w:color w:val="auto"/>
              </w:rPr>
            </w:pPr>
          </w:p>
        </w:tc>
        <w:tc>
          <w:tcPr>
            <w:tcW w:w="1740" w:type="dxa"/>
            <w:vAlign w:val="bottom"/>
          </w:tcPr>
          <w:p>
            <w:pPr>
              <w:jc w:val="right"/>
              <w:ind w:right="237"/>
              <w:spacing w:after="0"/>
              <w:rPr>
                <w:sz w:val="20"/>
                <w:szCs w:val="20"/>
                <w:color w:val="auto"/>
              </w:rPr>
            </w:pPr>
            <w:r>
              <w:rPr>
                <w:rFonts w:ascii="Times New Roman" w:cs="Times New Roman" w:eastAsia="Times New Roman" w:hAnsi="Times New Roman"/>
                <w:sz w:val="20"/>
                <w:szCs w:val="20"/>
                <w:b w:val="1"/>
                <w:bCs w:val="1"/>
                <w:color w:val="auto"/>
              </w:rPr>
              <w:t>95113</w:t>
            </w:r>
          </w:p>
        </w:tc>
        <w:tc>
          <w:tcPr>
            <w:tcW w:w="0" w:type="dxa"/>
            <w:vAlign w:val="bottom"/>
          </w:tcPr>
          <w:p>
            <w:pPr>
              <w:spacing w:after="0"/>
              <w:rPr>
                <w:sz w:val="1"/>
                <w:szCs w:val="1"/>
                <w:color w:val="auto"/>
              </w:rPr>
            </w:pPr>
          </w:p>
        </w:tc>
      </w:tr>
      <w:tr>
        <w:trPr>
          <w:trHeight w:val="214"/>
        </w:trPr>
        <w:tc>
          <w:tcPr>
            <w:tcW w:w="30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820" w:type="dxa"/>
            <w:vAlign w:val="bottom"/>
          </w:tcPr>
          <w:p>
            <w:pPr>
              <w:spacing w:after="0"/>
              <w:rPr>
                <w:sz w:val="18"/>
                <w:szCs w:val="18"/>
                <w:color w:val="auto"/>
              </w:rPr>
            </w:pPr>
          </w:p>
        </w:tc>
        <w:tc>
          <w:tcPr>
            <w:tcW w:w="1740" w:type="dxa"/>
            <w:vAlign w:val="bottom"/>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23"/>
        </w:trPr>
        <w:tc>
          <w:tcPr>
            <w:tcW w:w="3000" w:type="dxa"/>
            <w:vAlign w:val="bottom"/>
          </w:tcPr>
          <w:p>
            <w:pPr>
              <w:spacing w:after="0"/>
              <w:rPr>
                <w:sz w:val="24"/>
                <w:szCs w:val="24"/>
                <w:color w:val="auto"/>
              </w:rPr>
            </w:pPr>
          </w:p>
        </w:tc>
        <w:tc>
          <w:tcPr>
            <w:tcW w:w="4820" w:type="dxa"/>
            <w:vAlign w:val="bottom"/>
          </w:tcPr>
          <w:p>
            <w:pPr>
              <w:jc w:val="center"/>
              <w:ind w:right="335"/>
              <w:spacing w:after="0"/>
              <w:rPr>
                <w:sz w:val="20"/>
                <w:szCs w:val="20"/>
                <w:color w:val="auto"/>
              </w:rPr>
            </w:pPr>
            <w:r>
              <w:rPr>
                <w:rFonts w:ascii="Times New Roman" w:cs="Times New Roman" w:eastAsia="Times New Roman" w:hAnsi="Times New Roman"/>
                <w:sz w:val="20"/>
                <w:szCs w:val="20"/>
                <w:b w:val="1"/>
                <w:bCs w:val="1"/>
                <w:color w:val="auto"/>
                <w:w w:val="99"/>
              </w:rPr>
              <w:t>(888) 799-9666</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4820" w:type="dxa"/>
            <w:vAlign w:val="bottom"/>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3000" w:type="dxa"/>
            <w:vAlign w:val="bottom"/>
          </w:tcPr>
          <w:p>
            <w:pPr>
              <w:spacing w:after="0"/>
              <w:rPr>
                <w:sz w:val="24"/>
                <w:szCs w:val="24"/>
                <w:color w:val="auto"/>
              </w:rPr>
            </w:pPr>
          </w:p>
        </w:tc>
        <w:tc>
          <w:tcPr>
            <w:tcW w:w="4820" w:type="dxa"/>
            <w:vAlign w:val="bottom"/>
          </w:tcPr>
          <w:p>
            <w:pPr>
              <w:jc w:val="center"/>
              <w:ind w:right="355"/>
              <w:spacing w:after="0"/>
              <w:rPr>
                <w:sz w:val="20"/>
                <w:szCs w:val="20"/>
                <w:color w:val="auto"/>
              </w:rPr>
            </w:pPr>
            <w:r>
              <w:rPr>
                <w:rFonts w:ascii="Times New Roman" w:cs="Times New Roman" w:eastAsia="Times New Roman" w:hAnsi="Times New Roman"/>
                <w:sz w:val="20"/>
                <w:szCs w:val="20"/>
                <w:b w:val="1"/>
                <w:bCs w:val="1"/>
                <w:color w:val="auto"/>
                <w:w w:val="98"/>
              </w:rPr>
              <w:t>Not Applicable</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4820" w:type="dxa"/>
            <w:vAlign w:val="bottom"/>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360"/>
        <w:spacing w:after="0"/>
        <w:rPr>
          <w:sz w:val="20"/>
          <w:szCs w:val="20"/>
          <w:color w:val="auto"/>
        </w:rPr>
      </w:pPr>
      <w:r>
        <w:rPr>
          <w:rFonts w:ascii="Times New Roman" w:cs="Times New Roman" w:eastAsia="Times New Roman" w:hAnsi="Times New Roman"/>
          <w:sz w:val="22"/>
          <w:szCs w:val="22"/>
          <w:b w:val="1"/>
          <w:bCs w:val="1"/>
          <w:color w:val="auto"/>
        </w:rPr>
        <w:t>_________________________</w:t>
      </w:r>
    </w:p>
    <w:p>
      <w:pPr>
        <w:spacing w:after="0" w:line="90" w:lineRule="exact"/>
        <w:rPr>
          <w:sz w:val="24"/>
          <w:szCs w:val="24"/>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2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8"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5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17"/>
        </w:trPr>
        <w:tc>
          <w:tcPr>
            <w:tcW w:w="4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ZM</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33"/>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On December 5, 2019, Zoom Video Communications, Inc. (the “Company”) issued a press release announcing its financial results for the three months ended October 31, 2019. A copy of the press release is furnished as Exhibit 99.1 to this report and is incorporated by reference.</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270"/>
        </w:trPr>
        <w:tc>
          <w:tcPr>
            <w:tcW w:w="1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3"/>
                <w:szCs w:val="23"/>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23"/>
        </w:trPr>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2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Press release dated December 5, 2019 of Zoom Video Communications, Inc.</w:t>
              </w:r>
            </w:hyperlink>
          </w:p>
        </w:tc>
        <w:tc>
          <w:tcPr>
            <w:tcW w:w="4200" w:type="dxa"/>
            <w:vAlign w:val="bottom"/>
          </w:tcPr>
          <w:p>
            <w:pPr>
              <w:spacing w:after="0"/>
              <w:rPr>
                <w:sz w:val="19"/>
                <w:szCs w:val="19"/>
                <w:color w:val="auto"/>
              </w:rPr>
            </w:pPr>
          </w:p>
        </w:tc>
      </w:tr>
    </w:tbl>
    <w:p>
      <w:pPr>
        <w:sectPr>
          <w:pgSz w:w="11900" w:h="16838" w:orient="portrait"/>
          <w:cols w:equalWidth="0" w:num="1">
            <w:col w:w="11400"/>
          </w:cols>
          <w:pgMar w:left="240" w:top="1103" w:right="25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5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24" w:lineRule="exact"/>
        <w:rPr>
          <w:sz w:val="20"/>
          <w:szCs w:val="20"/>
          <w:color w:val="auto"/>
        </w:rPr>
      </w:pPr>
    </w:p>
    <w:p>
      <w:pPr>
        <w:ind w:left="20"/>
        <w:spacing w:after="0"/>
        <w:tabs>
          <w:tab w:leader="none" w:pos="5360" w:val="left"/>
          <w:tab w:leader="none" w:pos="6060" w:val="left"/>
        </w:tabs>
        <w:rPr>
          <w:sz w:val="20"/>
          <w:szCs w:val="20"/>
          <w:color w:val="auto"/>
        </w:rPr>
      </w:pPr>
      <w:r>
        <w:rPr>
          <w:rFonts w:ascii="Times New Roman" w:cs="Times New Roman" w:eastAsia="Times New Roman" w:hAnsi="Times New Roman"/>
          <w:sz w:val="18"/>
          <w:szCs w:val="18"/>
          <w:color w:val="auto"/>
        </w:rPr>
        <w:t>Dated: December 5,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Aparna Bawa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34290</wp:posOffset>
            </wp:positionV>
            <wp:extent cx="3378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Aparna Bawa</w:t>
      </w:r>
    </w:p>
    <w:p>
      <w:pPr>
        <w:spacing w:after="0" w:line="6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Chief Legal Officer</w:t>
      </w:r>
    </w:p>
    <w:p>
      <w:pPr>
        <w:sectPr>
          <w:pgSz w:w="11900" w:h="16838" w:orient="portrait"/>
          <w:cols w:equalWidth="0" w:num="1">
            <w:col w:w="10940"/>
          </w:cols>
          <w:pgMar w:left="240" w:top="887" w:right="7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Zoom Video Communications Reports Third Quarter Results for Fiscal Year 2020</w:t>
      </w:r>
    </w:p>
    <w:p>
      <w:pPr>
        <w:spacing w:after="0" w:line="225"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Third quarter total revenue of $166.6 million, up 85% year-over-year</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Number of customers contributing more than $100,000 in TTM revenue up 97% year-over-year</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San Jose, California – </w:t>
      </w:r>
      <w:r>
        <w:rPr>
          <w:rFonts w:ascii="Times New Roman" w:cs="Times New Roman" w:eastAsia="Times New Roman" w:hAnsi="Times New Roman"/>
          <w:sz w:val="18"/>
          <w:szCs w:val="18"/>
          <w:color w:val="auto"/>
        </w:rPr>
        <w:t>December 5, 2019 – Zoom Video Communications, Inc. (NASDAQ: ZM), a provider of video-first unified communications,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financial results for the quarter ended October 31, 2019.</w:t>
      </w:r>
    </w:p>
    <w:p>
      <w:pPr>
        <w:spacing w:after="0" w:line="18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“Our third quarter was another strong performance for Zoom. Our execution helped drive revenue growth of 85% with increased non-GAAP profitability year-over-year and free cash flow of $54.7 million. This execution also drove 67% growth in the number of customers with more than 10 employees and 97% growth of in the number of customers contributing more than $100K of TTM revenue,” said Eric S. Yuan, founder and chief executive officer of Zoom.</w:t>
      </w:r>
    </w:p>
    <w:p>
      <w:pPr>
        <w:spacing w:after="0" w:line="20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Yuan added, “In Q3, we hosted our premier customer event, Zoomtopia, with more than 2,600 registered guests, up 80% year-over-year. During the event, our customers shared their stories of how frictionless Zoom experiences are driving productivity and delivering happiness with both internal and external stakeholders. Also, at Zoomtopia, we were proud to announce expansions to our platform including our new Zoom Rooms Appliance Program, expanded Zoom Phone service and capabilities, and the growth of our App Marketplace. Our customers tell us that Zoom ‘just works,’ and with these new innovations we empower teams to do even more with video communications.”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Fiscal 2020 Financial Highlights:</w:t>
      </w:r>
    </w:p>
    <w:p>
      <w:pPr>
        <w:spacing w:after="0" w:line="225"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Total revenue for the quarter was $166.6 million, up 85% year-over-year.</w:t>
      </w:r>
    </w:p>
    <w:p>
      <w:pPr>
        <w:spacing w:after="0" w:line="117" w:lineRule="exact"/>
        <w:rPr>
          <w:rFonts w:ascii="Times New Roman" w:cs="Times New Roman" w:eastAsia="Times New Roman" w:hAnsi="Times New Roman"/>
          <w:sz w:val="18"/>
          <w:szCs w:val="18"/>
          <w:b w:val="1"/>
          <w:bCs w:val="1"/>
          <w:color w:val="auto"/>
        </w:rPr>
      </w:pPr>
    </w:p>
    <w:p>
      <w:pPr>
        <w:ind w:left="980" w:right="80" w:hanging="324"/>
        <w:spacing w:after="0" w:line="262" w:lineRule="auto"/>
        <w:tabs>
          <w:tab w:leader="none" w:pos="97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Income/Loss from Operations and Operating Margin: </w:t>
      </w:r>
      <w:r>
        <w:rPr>
          <w:rFonts w:ascii="Times New Roman" w:cs="Times New Roman" w:eastAsia="Times New Roman" w:hAnsi="Times New Roman"/>
          <w:sz w:val="18"/>
          <w:szCs w:val="18"/>
          <w:color w:val="auto"/>
        </w:rPr>
        <w:t>GAAP loss from operations for the quarter was $1.7 million, compared to GAAP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operations of $1.1 million in the third quarter of fiscal 2019. After adjusting for stock-based compensation expense and related payroll taxes, non-GAAP income from operations for the third quarter was $21.3 million, up from $1.6 million in the third quarter of fiscal 2019. For the third quarter, GAAP operating margin was (1.0)% and non-GAAP operating margin was 12.8%.</w:t>
      </w:r>
    </w:p>
    <w:p>
      <w:pPr>
        <w:spacing w:after="0" w:line="176" w:lineRule="exact"/>
        <w:rPr>
          <w:rFonts w:ascii="Times New Roman" w:cs="Times New Roman" w:eastAsia="Times New Roman" w:hAnsi="Times New Roman"/>
          <w:sz w:val="18"/>
          <w:szCs w:val="18"/>
          <w:b w:val="1"/>
          <w:bCs w:val="1"/>
          <w:color w:val="auto"/>
        </w:rPr>
      </w:pPr>
    </w:p>
    <w:p>
      <w:pPr>
        <w:ind w:left="980" w:right="80" w:hanging="324"/>
        <w:spacing w:after="0" w:line="286" w:lineRule="auto"/>
        <w:tabs>
          <w:tab w:leader="none" w:pos="97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Income and Net Income Per Share: </w:t>
      </w:r>
      <w:r>
        <w:rPr>
          <w:rFonts w:ascii="Times New Roman" w:cs="Times New Roman" w:eastAsia="Times New Roman" w:hAnsi="Times New Roman"/>
          <w:sz w:val="18"/>
          <w:szCs w:val="18"/>
          <w:color w:val="auto"/>
        </w:rPr>
        <w:t>GAAP net income attributable to common stockholders for the quarter was $2.2 million, or $0.01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compared to GAAP net loss attributable to common stockholders of $0.6 million, or $(0.01) per share in the third quarter of fiscal 2019.</w:t>
      </w:r>
    </w:p>
    <w:p>
      <w:pPr>
        <w:spacing w:after="0" w:line="50" w:lineRule="exact"/>
        <w:rPr>
          <w:rFonts w:ascii="Times New Roman" w:cs="Times New Roman" w:eastAsia="Times New Roman" w:hAnsi="Times New Roman"/>
          <w:sz w:val="18"/>
          <w:szCs w:val="18"/>
          <w:b w:val="1"/>
          <w:bCs w:val="1"/>
          <w:color w:val="auto"/>
        </w:rPr>
      </w:pPr>
    </w:p>
    <w:p>
      <w:pPr>
        <w:ind w:left="98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Non-GAAP net income for the quarter was $25.2 million, after adjusting for stock-based compensation expense and related payroll taxes and undistributed earnings attributable to participating securities, and non-GAAP net income per share was $0.09. In the third quarter of fiscal 2019, non-GAAP net income was $2.1 million, or $0.01 per share. The non-GAAP weighted average share count has been adjusted to reflect the shares of Class A common stock issued in connection with the Initial Public Offering (IPO), including the concurrent private placement, that are outstanding as of the end of the period as if they were outstanding as of the beginning of the period for comparability.</w:t>
      </w:r>
    </w:p>
    <w:p>
      <w:pPr>
        <w:spacing w:after="0" w:line="17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w:t>
      </w:r>
      <w:r>
        <w:rPr>
          <w:rFonts w:ascii="Times New Roman" w:cs="Times New Roman" w:eastAsia="Times New Roman" w:hAnsi="Times New Roman"/>
          <w:sz w:val="18"/>
          <w:szCs w:val="18"/>
          <w:color w:val="auto"/>
        </w:rPr>
        <w:t>Total cash, cash equivalents, and marketable securities as of October 31, 2019 was $811.4 million.</w:t>
      </w:r>
    </w:p>
    <w:p>
      <w:pPr>
        <w:spacing w:after="0" w:line="117" w:lineRule="exact"/>
        <w:rPr>
          <w:rFonts w:ascii="Times New Roman" w:cs="Times New Roman" w:eastAsia="Times New Roman" w:hAnsi="Times New Roman"/>
          <w:sz w:val="18"/>
          <w:szCs w:val="18"/>
          <w:b w:val="1"/>
          <w:bCs w:val="1"/>
          <w:color w:val="auto"/>
        </w:rPr>
      </w:pPr>
    </w:p>
    <w:p>
      <w:pPr>
        <w:ind w:left="980" w:right="140" w:hanging="324"/>
        <w:spacing w:after="0" w:line="28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Flow: </w:t>
      </w:r>
      <w:r>
        <w:rPr>
          <w:rFonts w:ascii="Times New Roman" w:cs="Times New Roman" w:eastAsia="Times New Roman" w:hAnsi="Times New Roman"/>
          <w:sz w:val="18"/>
          <w:szCs w:val="18"/>
          <w:color w:val="auto"/>
        </w:rPr>
        <w:t>Net cash provided by operating activities was $61.9 million for the quarter, compared to $18.2 million in the third quarter of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Free cash flow was $54.7 million, compared to $10.1 million in the third quarter of fiscal 2019.</w:t>
      </w:r>
    </w:p>
    <w:p>
      <w:pPr>
        <w:spacing w:after="0" w:line="15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Customer Metrics: </w:t>
      </w:r>
      <w:r>
        <w:rPr>
          <w:rFonts w:ascii="Times New Roman" w:cs="Times New Roman" w:eastAsia="Times New Roman" w:hAnsi="Times New Roman"/>
          <w:sz w:val="18"/>
          <w:szCs w:val="18"/>
          <w:color w:val="auto"/>
        </w:rPr>
        <w:t>Drivers of total revenue include acquiring new customers and expanding across existing customers. At the end of the third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2020, Zoom had:</w:t>
      </w:r>
    </w:p>
    <w:p>
      <w:pPr>
        <w:spacing w:after="0" w:line="51"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Approximately 74,100 customers with more than 10 employees, up approximately 67% from the same quarter last year.</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546 customers contributing more than $100,000 in trailing 12 months revenue, up approximately 97% from the same quarter last year.</w:t>
      </w:r>
    </w:p>
    <w:p>
      <w:pPr>
        <w:sectPr>
          <w:pgSz w:w="11900" w:h="16838" w:orient="portrait"/>
          <w:cols w:equalWidth="0" w:num="1">
            <w:col w:w="11420"/>
          </w:cols>
          <w:pgMar w:left="240" w:top="891" w:right="239" w:bottom="1440" w:gutter="0" w:footer="0" w:header="0"/>
        </w:sectPr>
      </w:pPr>
    </w:p>
    <w:bookmarkStart w:id="4" w:name="page5"/>
    <w:bookmarkEnd w:id="4"/>
    <w:p>
      <w:pPr>
        <w:ind w:left="980" w:hanging="324"/>
        <w:spacing w:after="0"/>
        <w:tabs>
          <w:tab w:leader="none" w:pos="9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trailing 12-month net dollar expansion rate in customers with more than 10 employees above 130% for the 6th consecutive quarter.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Outlook: </w:t>
      </w:r>
      <w:r>
        <w:rPr>
          <w:rFonts w:ascii="Times New Roman" w:cs="Times New Roman" w:eastAsia="Times New Roman" w:hAnsi="Times New Roman"/>
          <w:sz w:val="18"/>
          <w:szCs w:val="18"/>
          <w:color w:val="auto"/>
        </w:rPr>
        <w:t>Zoom is providing the following guidance for its fourth quarter fiscal 2020 and its full year fiscal 2020.</w:t>
      </w:r>
    </w:p>
    <w:p>
      <w:pPr>
        <w:spacing w:after="0" w:line="121" w:lineRule="exact"/>
        <w:rPr>
          <w:sz w:val="20"/>
          <w:szCs w:val="20"/>
          <w:color w:val="auto"/>
        </w:rPr>
      </w:pPr>
    </w:p>
    <w:p>
      <w:pPr>
        <w:ind w:left="980" w:right="40" w:hanging="324"/>
        <w:spacing w:after="0" w:line="266" w:lineRule="auto"/>
        <w:tabs>
          <w:tab w:leader="none" w:pos="97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Fourth Quarter Fiscal 2020: Total revenue is expected to be between $175.0 million and $176.0 million and non-GAAP income from operations is expected to be between $17.0 million and $18.0 million. Q4 non-GAAP EPS is expected to be approximately $0.07 with approximately 296 million non-GAAP weighted average shares outstanding.</w:t>
      </w:r>
    </w:p>
    <w:p>
      <w:pPr>
        <w:spacing w:after="0" w:line="68" w:lineRule="exact"/>
        <w:rPr>
          <w:rFonts w:ascii="Times New Roman" w:cs="Times New Roman" w:eastAsia="Times New Roman" w:hAnsi="Times New Roman"/>
          <w:sz w:val="18"/>
          <w:szCs w:val="18"/>
          <w:b w:val="1"/>
          <w:bCs w:val="1"/>
          <w:color w:val="auto"/>
        </w:rPr>
      </w:pPr>
    </w:p>
    <w:p>
      <w:pPr>
        <w:ind w:left="980" w:right="220" w:hanging="324"/>
        <w:spacing w:after="0" w:line="266" w:lineRule="auto"/>
        <w:tabs>
          <w:tab w:leader="none" w:pos="97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Full Year Fiscal 2020: Total revenue is expected to be between $609.0 million and $610.0 million and non-GAAP income from operations is expected to be between $67.0 million and $68.0 million. Full year non-GAAP EPS is expected to be approximately $0.27 with approximately 293 million non-GAAP weighted average shares outstanding.</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Additional information on Zoom's reported results, including a reconciliation of the non-GAAP results to their most comparable GAAP measures, are included in the financial tables below. A reconciliation of non-GAAP guidance measures to corresponding GAAP measures is not available on a forward-looking basis without unreasonable effort due to the uncertainty of expenses that may be incurred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supplemental financial presentation and other information can be accessed through Zoom’s investor relations website at investors.zoom.us.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Zoom Video Earnings Call</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Zoom will host a Zoom Video Webinar for investors on December 5, 2019 at 2:30p.m. Pacific Time / 5:30 p.m. Eastern Time to discuss the company’s financial results and business highlights. Investors are invited to join the Zoom Video Webinar by visiting: https://investors.zoom.us/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Zoom</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Zoom Video Communications, Inc. (NASDAQ: ZM) brings teams together to get more done in a frictionless video environment. Our easy, reliable, and innovative video-first unified communications platform provides video meetings, voice, webinars, and chat across desktops, phones, mobile devices, and conference room systems. Zoom helps enterprises create elevated experiences with leading business app integrations and developer tools to create customized workflows. Founded in 2011, Zoom is headquartered in San Jose, California with offices around the world. Visit zoom.com.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express and implied “forward-looking statements” within the meaning of the Private Securities Litigation Reform Act of 1995.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However, not all forward-looking statements contain these identifying words. These statements may relate to our market size and growth strategy, our estimated and projected costs, margins, revenue, expenditures and growth rates, our financial outlook, our plans and objectives for future operations, growth, initiatives, or strategies. By their nature, these statements are subject to numerous uncertainties and risks, including factors beyond our control, that could cause actual results, performance or achievement to differ materially and adversely from those anticipated or implied in the statements. These assumptions, uncertainties and risks include that, among others, our business would be harmed by any decline in new customers and hosts, renewals or upgrades, our limited operating history makes it difficult to evaluate our prospects and future results of operations, we operate in competitive markets, we may not be able to sustain our revenue growth rate in the future, our business would be harmed by any significant interruptions, delays or outages in services from our co-located data centers, and failures in internet infrastructure or interference with broadband access could cause current or potential users to believe that our systems are unreliable.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quarterly report on Form 10-Q for the quarter ended October 31,</w:t>
      </w:r>
    </w:p>
    <w:p>
      <w:pPr>
        <w:spacing w:after="0" w:line="1"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2019.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ectPr>
          <w:pgSz w:w="11900" w:h="16838" w:orient="portrait"/>
          <w:cols w:equalWidth="0" w:num="1">
            <w:col w:w="11400"/>
          </w:cols>
          <w:pgMar w:left="240" w:top="1067" w:right="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Non-GAAP Income From Operations. Zoom defines non-GAAP income from operations as income from operations excluding stock-based compensation expense and related payroll taxes. Zoom excludes stock-based compensation expense because it is non-cash in nature and excluding this expense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because we believe that excluding this item provides meaningful supplemental information regarding operational performance. In particular, this expense is dependent on the price of our common stock and other factors that are beyond our control and do not correlate to the operation of the business.</w:t>
      </w:r>
    </w:p>
    <w:p>
      <w:pPr>
        <w:spacing w:after="0" w:line="8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Non-GAAP Net Income and Non-GAAP Net Income Per Share, Basic and Diluted. Zoom defines non-GAAP net income and non-GAAP net income per share, basic and diluted, as GAAP net income attributable to common stockholders and GAAP net income per share attributable to common stockholders, basic and diluted, respectively, adjusted to exclude stock-based compensation expense and related payroll taxes, and undistributed earnings attributable to participating securities. Zoom excludes undistributed earnings attributable to participating securities because they are considered by management to be outside of Zoom’s core operating results, and excluding them provides investors and management with greater visibility to the underlying performance of Zoom’s business operations, facilitates comparison of its results with other periods and may also facilitate comparison with the results of other companies in the industry.</w:t>
      </w:r>
    </w:p>
    <w:p>
      <w:pPr>
        <w:spacing w:after="0" w:line="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order to calculate non-GAAP net income per share, basic and diluted, Zoom uses a non-GAAP weighted-average share count. Zoom defines non-GAAP weighted-average shares used to compute non-GAAP net income per share, basic and diluted, as GAAP weighted average shares used to compute net income per share attributable to common stockholders, basic and diluted, adjusted to reflect the common stock issued in connection with the IPO, including the concurrent private placement, that are outstanding as of the end of the period as if they were outstanding as of the beginning of the period for comparability.</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Free Cash Flow.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Metrics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Zoom defines a customer as a separate and distinct buying entity, which can be a single paid host or an organization of any size (including a distinct unit of an organization) that has multiple paid hosts.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Zoom calculates net dollar expansion rate as of a period end by starting with the annual recurring revenue (ARR) from all customers with more than 10 employees as of 12 months prior (Prior Period ARR). Zoom defines ARR as the annualized revenue run rate of subscription agreements from all customers at a point in time. We then calculate the ARR from these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Priscilla Barolo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 Communications for Zoom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press@zoom.us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McCallum</w:t>
      </w:r>
    </w:p>
    <w:p>
      <w:pPr>
        <w:sectPr>
          <w:pgSz w:w="11900" w:h="16838" w:orient="portrait"/>
          <w:cols w:equalWidth="0" w:num="1">
            <w:col w:w="11380"/>
          </w:cols>
          <w:pgMar w:left="240" w:top="1103" w:right="2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Head of Investor Relations for Zoom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408.675.6738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investors@zoom.us</w:t>
      </w:r>
    </w:p>
    <w:p>
      <w:pPr>
        <w:sectPr>
          <w:pgSz w:w="11900" w:h="16838" w:orient="portrait"/>
          <w:cols w:equalWidth="0" w:num="1">
            <w:col w:w="10219"/>
          </w:cols>
          <w:pgMar w:left="240" w:top="891"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ind w:right="151"/>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271"/>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5"/>
        </w:trPr>
        <w:tc>
          <w:tcPr>
            <w:tcW w:w="8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5"/>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230,874</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63,624</w:t>
            </w:r>
          </w:p>
        </w:tc>
        <w:tc>
          <w:tcPr>
            <w:tcW w:w="0" w:type="dxa"/>
            <w:vAlign w:val="bottom"/>
          </w:tcPr>
          <w:p>
            <w:pPr>
              <w:spacing w:after="0"/>
              <w:rPr>
                <w:sz w:val="1"/>
                <w:szCs w:val="1"/>
                <w:color w:val="auto"/>
              </w:rPr>
            </w:pPr>
          </w:p>
        </w:tc>
      </w:tr>
      <w:tr>
        <w:trPr>
          <w:trHeight w:val="243"/>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112,777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63,613</w:t>
            </w:r>
          </w:p>
        </w:tc>
        <w:tc>
          <w:tcPr>
            <w:tcW w:w="0" w:type="dxa"/>
            <w:vAlign w:val="bottom"/>
          </w:tcPr>
          <w:p>
            <w:pPr>
              <w:spacing w:after="0"/>
              <w:rPr>
                <w:sz w:val="1"/>
                <w:szCs w:val="1"/>
                <w:color w:val="auto"/>
              </w:rPr>
            </w:pPr>
          </w:p>
        </w:tc>
      </w:tr>
      <w:tr>
        <w:trPr>
          <w:trHeight w:val="243"/>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contract acquisition costs, current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26,453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10,252</w:t>
            </w:r>
          </w:p>
        </w:tc>
        <w:tc>
          <w:tcPr>
            <w:tcW w:w="0" w:type="dxa"/>
            <w:vAlign w:val="bottom"/>
          </w:tcPr>
          <w:p>
            <w:pPr>
              <w:spacing w:after="0"/>
              <w:rPr>
                <w:sz w:val="1"/>
                <w:szCs w:val="1"/>
                <w:color w:val="auto"/>
              </w:rPr>
            </w:pPr>
          </w:p>
        </w:tc>
      </w:tr>
      <w:tr>
        <w:trPr>
          <w:trHeight w:val="237"/>
        </w:trPr>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1,019,399</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276,719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29,063</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37,275</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11,508</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1,188,057</w:t>
            </w:r>
          </w:p>
        </w:tc>
        <w:tc>
          <w:tcPr>
            <w:tcW w:w="4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354,565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 (deficit)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4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4,963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32,256</w:t>
            </w:r>
          </w:p>
        </w:tc>
        <w:tc>
          <w:tcPr>
            <w:tcW w:w="0" w:type="dxa"/>
            <w:vAlign w:val="bottom"/>
          </w:tcPr>
          <w:p>
            <w:pPr>
              <w:spacing w:after="0"/>
              <w:rPr>
                <w:sz w:val="1"/>
                <w:szCs w:val="1"/>
                <w:color w:val="auto"/>
              </w:rPr>
            </w:pPr>
          </w:p>
        </w:tc>
      </w:tr>
      <w:tr>
        <w:trPr>
          <w:trHeight w:val="243"/>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115,122</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152,341</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10,651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39,460</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415,540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202,452</w:t>
            </w:r>
          </w:p>
        </w:tc>
        <w:tc>
          <w:tcPr>
            <w:tcW w:w="0" w:type="dxa"/>
            <w:vAlign w:val="bottom"/>
          </w:tcPr>
          <w:p>
            <w:pPr>
              <w:spacing w:after="0"/>
              <w:rPr>
                <w:sz w:val="1"/>
                <w:szCs w:val="1"/>
                <w:color w:val="auto"/>
              </w:rPr>
            </w:pPr>
          </w:p>
        </w:tc>
      </w:tr>
      <w:tr>
        <w:trPr>
          <w:trHeight w:val="250"/>
        </w:trPr>
        <w:tc>
          <w:tcPr>
            <w:tcW w:w="84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159,552</w:t>
            </w: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3"/>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17,760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3"/>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(25,153)</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772,517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(7,439)</w:t>
            </w:r>
          </w:p>
        </w:tc>
        <w:tc>
          <w:tcPr>
            <w:tcW w:w="0" w:type="dxa"/>
            <w:vAlign w:val="bottom"/>
          </w:tcPr>
          <w:p>
            <w:pPr>
              <w:spacing w:after="0"/>
              <w:rPr>
                <w:sz w:val="1"/>
                <w:szCs w:val="1"/>
                <w:color w:val="auto"/>
              </w:rPr>
            </w:pPr>
          </w:p>
        </w:tc>
      </w:tr>
      <w:tr>
        <w:trPr>
          <w:trHeight w:val="264"/>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 (deficit)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1,188,057</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354,565</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Note: The amount of unbilled accounts receivable included within accounts receivable, net on the condensed consolidated balance sheets was $10.8 million and $7.2 million as of October 31, 2019 and January 31, 2019, respectively.</w:t>
      </w:r>
    </w:p>
    <w:p>
      <w:pPr>
        <w:sectPr>
          <w:pgSz w:w="11900" w:h="16838" w:orient="portrait"/>
          <w:cols w:equalWidth="0" w:num="1">
            <w:col w:w="11400"/>
          </w:cols>
          <w:pgMar w:left="240" w:top="887" w:right="2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740" w:type="dxa"/>
            <w:vAlign w:val="bottom"/>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80" w:type="dxa"/>
            <w:vAlign w:val="bottom"/>
            <w:tcBorders>
              <w:bottom w:val="single" w:sz="8" w:color="auto"/>
            </w:tcBorders>
          </w:tcPr>
          <w:p>
            <w:pPr>
              <w:spacing w:after="0"/>
              <w:rPr>
                <w:sz w:val="16"/>
                <w:szCs w:val="16"/>
                <w:color w:val="auto"/>
              </w:rPr>
            </w:pPr>
          </w:p>
        </w:tc>
      </w:tr>
      <w:tr>
        <w:trPr>
          <w:trHeight w:val="196"/>
        </w:trPr>
        <w:tc>
          <w:tcPr>
            <w:tcW w:w="53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166,593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90,121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434,407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224,717</w:t>
            </w: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30,845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16,843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82,849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41,476</w:t>
            </w:r>
          </w:p>
        </w:tc>
      </w:tr>
      <w:tr>
        <w:trPr>
          <w:trHeight w:val="27"/>
        </w:trPr>
        <w:tc>
          <w:tcPr>
            <w:tcW w:w="5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135,748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73,278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351,558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183,241</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17,573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8,893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46,410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22,206</w:t>
            </w:r>
          </w:p>
        </w:tc>
      </w:tr>
      <w:tr>
        <w:trPr>
          <w:trHeight w:val="243"/>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96,048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53,454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239,741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130,769</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23,806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11,994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63,264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29,591</w:t>
            </w:r>
          </w:p>
        </w:tc>
      </w:tr>
      <w:tr>
        <w:trPr>
          <w:trHeight w:val="237"/>
        </w:trPr>
        <w:tc>
          <w:tcPr>
            <w:tcW w:w="5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137,427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74,341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349,415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182,566</w:t>
            </w:r>
          </w:p>
        </w:tc>
      </w:tr>
      <w:tr>
        <w:trPr>
          <w:trHeight w:val="27"/>
        </w:trPr>
        <w:tc>
          <w:tcPr>
            <w:tcW w:w="5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675</w:t>
            </w: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1,376</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214</w:t>
            </w:r>
          </w:p>
        </w:tc>
      </w:tr>
      <w:tr>
        <w:trPr>
          <w:trHeight w:val="23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before provision for income taxes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2,530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11,817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2,265</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378</w:t>
            </w:r>
          </w:p>
        </w:tc>
      </w:tr>
      <w:tr>
        <w:trPr>
          <w:trHeight w:val="23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2,211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9,966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1,887</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Undistributed earnings attributable to participating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(1,887)</w:t>
            </w:r>
          </w:p>
        </w:tc>
      </w:tr>
      <w:tr>
        <w:trPr>
          <w:trHeight w:val="26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2,207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7,473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5"/>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0.00</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0.00</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2"/>
        </w:trPr>
        <w:tc>
          <w:tcPr>
            <w:tcW w:w="53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41"/>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7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273,316,850</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85,645,323</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219,295,445</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83,198,339</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89"/>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292,771,122</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99"/>
              </w:rPr>
              <w:t>111,000,300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241,512,569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109,303,996</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40" w:top="887" w:right="2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5"/>
        </w:trPr>
        <w:tc>
          <w:tcPr>
            <w:tcW w:w="5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900" w:type="dxa"/>
            <w:vAlign w:val="bottom"/>
            <w:tcBorders>
              <w:bottom w:val="single" w:sz="8" w:color="auto"/>
            </w:tcBorders>
          </w:tcPr>
          <w:p>
            <w:pPr>
              <w:spacing w:after="0"/>
              <w:rPr>
                <w:sz w:val="16"/>
                <w:szCs w:val="16"/>
                <w:color w:val="auto"/>
              </w:rPr>
            </w:pPr>
          </w:p>
        </w:tc>
      </w:tr>
      <w:tr>
        <w:trPr>
          <w:trHeight w:val="196"/>
        </w:trPr>
        <w:tc>
          <w:tcPr>
            <w:tcW w:w="5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35"/>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2,211</w:t>
            </w:r>
          </w:p>
        </w:tc>
        <w:tc>
          <w:tcPr>
            <w:tcW w:w="12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9,966</w:t>
            </w:r>
          </w:p>
        </w:tc>
        <w:tc>
          <w:tcPr>
            <w:tcW w:w="12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1,887</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1"/>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21,795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46,532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4,627</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9,913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5,715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25,939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14,362</w:t>
            </w:r>
          </w:p>
        </w:tc>
      </w:tr>
      <w:tr>
        <w:trPr>
          <w:trHeight w:val="24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4,415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11,589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4,459</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1,724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4,840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accounts receivable allowances</w:t>
            </w:r>
          </w:p>
        </w:tc>
        <w:tc>
          <w:tcPr>
            <w:tcW w:w="3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3,976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1,493</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(36,886)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(27,775)</w:t>
            </w:r>
          </w:p>
        </w:tc>
      </w:tr>
      <w:tr>
        <w:trPr>
          <w:trHeight w:val="243"/>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(22,439)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(6,450)</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(17,124)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(50,824)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(32,875)</w:t>
            </w:r>
          </w:p>
        </w:tc>
      </w:tr>
      <w:tr>
        <w:trPr>
          <w:trHeight w:val="243"/>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369</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18,562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8,083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53,485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22,644</w:t>
            </w:r>
          </w:p>
        </w:tc>
      </w:tr>
      <w:tr>
        <w:trPr>
          <w:trHeight w:val="243"/>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20,345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17,147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76,579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52,583</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lease liabilities,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(1,429)</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(4,724)</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1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61,930</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18,231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115,338</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35,341</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(150,620)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(18,883)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(629,107)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(49,159)</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113,200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19,792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164,140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43,547</w:t>
            </w:r>
          </w:p>
        </w:tc>
      </w:tr>
      <w:tr>
        <w:trPr>
          <w:trHeight w:val="24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(7,195)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(28,132)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(18,121)</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equity investment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1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(47,615)</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(7,185)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(496,099)</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(23,733)</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5"/>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initial public offering and private placement, net of</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underwriting discounts and commissions and other offering costs</w:t>
            </w:r>
          </w:p>
        </w:tc>
        <w:tc>
          <w:tcPr>
            <w:tcW w:w="3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542,492</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international employee stock sales to be remitted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1"/>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 employees and tax authorities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48,547</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48,547</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exercise of stock options, net of repurchases</w:t>
            </w:r>
          </w:p>
        </w:tc>
        <w:tc>
          <w:tcPr>
            <w:tcW w:w="3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3,393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5,584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2,714</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convertible promissory notes and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1"/>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15,000</w:t>
            </w:r>
          </w:p>
        </w:tc>
      </w:tr>
      <w:tr>
        <w:trPr>
          <w:trHeight w:val="24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36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51,485</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17,138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596,623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17,622</w:t>
            </w:r>
          </w:p>
        </w:tc>
      </w:tr>
      <w:tr>
        <w:trPr>
          <w:trHeight w:val="23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65,800</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28,184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215,862</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29,230</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216,030</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37,867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65,968</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36,821</w:t>
            </w:r>
          </w:p>
        </w:tc>
      </w:tr>
      <w:tr>
        <w:trPr>
          <w:trHeight w:val="26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281,830</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66,051</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281,830</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66,051</w:t>
            </w:r>
          </w:p>
        </w:tc>
      </w:tr>
      <w:tr>
        <w:trPr>
          <w:trHeight w:val="21"/>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40" w:top="887" w:right="2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72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(loss) income from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2,143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 and related payroll taxes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22,948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48,079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4,627</w:t>
            </w:r>
          </w:p>
        </w:tc>
        <w:tc>
          <w:tcPr>
            <w:tcW w:w="0" w:type="dxa"/>
            <w:vAlign w:val="bottom"/>
          </w:tcPr>
          <w:p>
            <w:pPr>
              <w:spacing w:after="0"/>
              <w:rPr>
                <w:sz w:val="1"/>
                <w:szCs w:val="1"/>
                <w:color w:val="auto"/>
              </w:rPr>
            </w:pPr>
          </w:p>
        </w:tc>
      </w:tr>
      <w:tr>
        <w:trPr>
          <w:trHeight w:val="26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income from operations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21,269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1,589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50,222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5,302</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income (loss) attributable to common stockholders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2,207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7,473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 and related payroll taxes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22,948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48,079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4,627</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Undistributed earnings attributable to participating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2,493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6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25,159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2,054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58,045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6,514</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income (loss) per share - basic and diluted:</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GAAP net income (loss) per share - 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GAAP net income (loss) per share - diluted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Non-GAAP net income per share - diluted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weighted-average shares used to compute net income (loss) per</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 basic</w:t>
            </w:r>
          </w:p>
        </w:tc>
        <w:tc>
          <w:tcPr>
            <w:tcW w:w="240" w:type="dxa"/>
            <w:vAlign w:val="bottom"/>
          </w:tcPr>
          <w:p>
            <w:pPr>
              <w:spacing w:after="0"/>
              <w:rPr>
                <w:sz w:val="20"/>
                <w:szCs w:val="20"/>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273,316,850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85,645,323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219,295,445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83,198,339</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Non-GAAP unweighted adjustment for common stock issued in</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connection with IPO</w:t>
            </w:r>
          </w:p>
        </w:tc>
        <w:tc>
          <w:tcPr>
            <w:tcW w:w="24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152,665,804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50,116,650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152,665,804</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3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Non-GAAP weighted-average shares used to compute net income per</w:t>
            </w:r>
          </w:p>
        </w:tc>
        <w:tc>
          <w:tcPr>
            <w:tcW w:w="2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273,316,850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238,311,127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269,412,095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235,864,143</w:t>
            </w:r>
          </w:p>
        </w:tc>
        <w:tc>
          <w:tcPr>
            <w:tcW w:w="0" w:type="dxa"/>
            <w:vAlign w:val="bottom"/>
          </w:tcPr>
          <w:p>
            <w:pPr>
              <w:spacing w:after="0"/>
              <w:rPr>
                <w:sz w:val="1"/>
                <w:szCs w:val="1"/>
                <w:color w:val="auto"/>
              </w:rPr>
            </w:pPr>
          </w:p>
        </w:tc>
      </w:tr>
      <w:tr>
        <w:trPr>
          <w:trHeight w:val="25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 basic</w:t>
            </w: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weighted-average shares used to compute net income (loss) per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 diluted</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292,771,122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111,000,300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241,512,569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109,303,996</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Non-GAAP unweighted adjustment for common stock issued in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connection with IPO</w:t>
            </w: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152,665,804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50,116,650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152,665,804</w:t>
            </w:r>
          </w:p>
        </w:tc>
        <w:tc>
          <w:tcPr>
            <w:tcW w:w="0" w:type="dxa"/>
            <w:vAlign w:val="bottom"/>
          </w:tcPr>
          <w:p>
            <w:pPr>
              <w:spacing w:after="0"/>
              <w:rPr>
                <w:sz w:val="1"/>
                <w:szCs w:val="1"/>
                <w:color w:val="auto"/>
              </w:rPr>
            </w:pPr>
          </w:p>
        </w:tc>
      </w:tr>
      <w:tr>
        <w:trPr>
          <w:trHeight w:val="205"/>
        </w:trPr>
        <w:tc>
          <w:tcPr>
            <w:tcW w:w="53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Non-GAAP weighted-average shares used to compute net income per</w:t>
            </w: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292,771,122</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263,666,104</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291,629,219</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261,969,800</w:t>
            </w:r>
          </w:p>
        </w:tc>
        <w:tc>
          <w:tcPr>
            <w:tcW w:w="0" w:type="dxa"/>
            <w:vAlign w:val="bottom"/>
          </w:tcPr>
          <w:p>
            <w:pPr>
              <w:spacing w:after="0"/>
              <w:rPr>
                <w:sz w:val="1"/>
                <w:szCs w:val="1"/>
                <w:color w:val="auto"/>
              </w:rPr>
            </w:pPr>
          </w:p>
        </w:tc>
      </w:tr>
      <w:tr>
        <w:trPr>
          <w:trHeight w:val="23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 diluted</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61,930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18,231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115,338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35,341</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(28,132)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(18,121)</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(non-GAAP)</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54,735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10,137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87,206</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17,220</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(47,615)</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(7,185)</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(496,099)</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(23,733)</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51,485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17,138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596,623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17,622</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00"/>
      </w:cols>
      <w:pgMar w:left="240" w:top="88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2019-12-28T01:13:17Z</dcterms:created>
  <dcterms:modified xsi:type="dcterms:W3CDTF">2019-12-28T01:13:17Z</dcterms:modified>
</cp:coreProperties>
</file>