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4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733785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60177707.85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266453609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10/22/2025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Founder's Class B</w:t>
            </w:r>
          </w:p>
        </w:tc>
        <w:tc>
          <w:tcPr>
            <w:tcW w:w="13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Founder's Class B</w:t>
            </w:r>
          </w:p>
        </w:tc>
        <w:tc>
          <w:tcPr>
            <w:tcW w:w="1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common stock to</w:t>
            </w:r>
          </w:p>
        </w:tc>
        <w:tc>
          <w:tcPr>
            <w:tcW w:w="1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06/22/2011 be converted to</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733785</w:t>
            </w:r>
          </w:p>
        </w:tc>
        <w:tc>
          <w:tcPr>
            <w:tcW w:w="16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06/22/2011 None</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4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Class A common</w:t>
            </w:r>
          </w:p>
        </w:tc>
        <w:tc>
          <w:tcPr>
            <w:tcW w:w="13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stock in</w:t>
            </w:r>
          </w:p>
        </w:tc>
        <w:tc>
          <w:tcPr>
            <w:tcW w:w="1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any sales</w:t>
            </w:r>
          </w:p>
        </w:tc>
        <w:tc>
          <w:tcPr>
            <w:tcW w:w="1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-769620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10/13/2025 33692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2687368.26</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95113</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The sales of shares set forth herein are made in connection with a selling plan dated June 20th,</w:t>
      </w:r>
    </w:p>
    <w:p>
      <w:pPr>
        <w:spacing w:after="0" w:line="16"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2025 that is intended to comply with Rule 10b5-1(c). All shares to be sold by The 2018 Yuan</w:t>
      </w:r>
    </w:p>
    <w:p>
      <w:pPr>
        <w:ind w:left="2920"/>
        <w:spacing w:after="0"/>
        <w:rPr>
          <w:sz w:val="20"/>
          <w:szCs w:val="20"/>
          <w:color w:val="auto"/>
        </w:rPr>
      </w:pPr>
      <w:r>
        <w:rPr>
          <w:rFonts w:ascii="Times New Roman" w:cs="Times New Roman" w:eastAsia="Times New Roman" w:hAnsi="Times New Roman"/>
          <w:sz w:val="22"/>
          <w:szCs w:val="22"/>
          <w:color w:val="auto"/>
        </w:rPr>
        <w:t>and Zhang Revocable Trust.</w:t>
      </w:r>
    </w:p>
    <w:p>
      <w:pPr>
        <w:spacing w:after="0" w:line="20"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10/22/2025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06/20/2025</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2025-11-19T11:19:35Z</dcterms:created>
  <dcterms:modified xsi:type="dcterms:W3CDTF">2025-11-19T11:19:35Z</dcterms:modified>
</cp:coreProperties>
</file>