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212529"/>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212529"/>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Date of Report (Date of earliest event reported):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986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12529"/>
        </w:rPr>
        <w:t>ZOOM VIDEO COMMUNICATIONS,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276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212529"/>
                <w:w w:val="98"/>
              </w:rPr>
              <w:t>Delaware</w:t>
            </w:r>
          </w:p>
        </w:tc>
        <w:tc>
          <w:tcPr>
            <w:tcW w:w="484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212529"/>
                <w:w w:val="99"/>
              </w:rPr>
              <w:t>001-38865</w:t>
            </w:r>
          </w:p>
        </w:tc>
        <w:tc>
          <w:tcPr>
            <w:tcW w:w="16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212529"/>
              </w:rPr>
              <w:t>61-1648780</w:t>
            </w:r>
          </w:p>
        </w:tc>
      </w:tr>
      <w:tr>
        <w:trPr>
          <w:trHeight w:val="191"/>
        </w:trPr>
        <w:tc>
          <w:tcPr>
            <w:tcW w:w="27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212529"/>
              </w:rPr>
              <w:t>(State or Other Jurisdiction</w:t>
            </w:r>
          </w:p>
        </w:tc>
        <w:tc>
          <w:tcPr>
            <w:tcW w:w="48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212529"/>
              </w:rPr>
              <w:t>(Commission</w:t>
            </w:r>
          </w:p>
        </w:tc>
        <w:tc>
          <w:tcPr>
            <w:tcW w:w="1660" w:type="dxa"/>
            <w:vAlign w:val="bottom"/>
          </w:tcPr>
          <w:p>
            <w:pPr>
              <w:jc w:val="center"/>
              <w:ind w:left="441"/>
              <w:spacing w:after="0"/>
              <w:rPr>
                <w:sz w:val="20"/>
                <w:szCs w:val="20"/>
                <w:color w:val="auto"/>
              </w:rPr>
            </w:pPr>
            <w:r>
              <w:rPr>
                <w:rFonts w:ascii="Times New Roman" w:cs="Times New Roman" w:eastAsia="Times New Roman" w:hAnsi="Times New Roman"/>
                <w:sz w:val="14"/>
                <w:szCs w:val="14"/>
                <w:b w:val="1"/>
                <w:bCs w:val="1"/>
                <w:color w:val="212529"/>
              </w:rPr>
              <w:t>(IRS Employer</w:t>
            </w:r>
          </w:p>
        </w:tc>
      </w:tr>
      <w:tr>
        <w:trPr>
          <w:trHeight w:val="190"/>
        </w:trPr>
        <w:tc>
          <w:tcPr>
            <w:tcW w:w="27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212529"/>
              </w:rPr>
              <w:t>of Incorporation)</w:t>
            </w:r>
          </w:p>
        </w:tc>
        <w:tc>
          <w:tcPr>
            <w:tcW w:w="48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212529"/>
              </w:rPr>
              <w:t>File Number)</w:t>
            </w:r>
          </w:p>
        </w:tc>
        <w:tc>
          <w:tcPr>
            <w:tcW w:w="1660" w:type="dxa"/>
            <w:vAlign w:val="bottom"/>
          </w:tcPr>
          <w:p>
            <w:pPr>
              <w:jc w:val="center"/>
              <w:ind w:left="441"/>
              <w:spacing w:after="0"/>
              <w:rPr>
                <w:sz w:val="20"/>
                <w:szCs w:val="20"/>
                <w:color w:val="auto"/>
              </w:rPr>
            </w:pPr>
            <w:r>
              <w:rPr>
                <w:rFonts w:ascii="Times New Roman" w:cs="Times New Roman" w:eastAsia="Times New Roman" w:hAnsi="Times New Roman"/>
                <w:sz w:val="14"/>
                <w:szCs w:val="14"/>
                <w:b w:val="1"/>
                <w:bCs w:val="1"/>
                <w:color w:val="212529"/>
              </w:rPr>
              <w:t>Identification No.)</w:t>
            </w:r>
          </w:p>
        </w:tc>
      </w:tr>
      <w:tr>
        <w:trPr>
          <w:trHeight w:val="244"/>
        </w:trPr>
        <w:tc>
          <w:tcPr>
            <w:tcW w:w="2760" w:type="dxa"/>
            <w:vAlign w:val="bottom"/>
          </w:tcPr>
          <w:p>
            <w:pPr>
              <w:jc w:val="center"/>
              <w:ind w:right="159"/>
              <w:spacing w:after="0" w:line="244" w:lineRule="exact"/>
              <w:rPr>
                <w:sz w:val="20"/>
                <w:szCs w:val="20"/>
                <w:color w:val="auto"/>
              </w:rPr>
            </w:pPr>
            <w:r>
              <w:rPr>
                <w:rFonts w:ascii="Times New Roman" w:cs="Times New Roman" w:eastAsia="Times New Roman" w:hAnsi="Times New Roman"/>
                <w:sz w:val="18"/>
                <w:szCs w:val="18"/>
                <w:b w:val="1"/>
                <w:bCs w:val="1"/>
                <w:color w:val="212529"/>
                <w:w w:val="98"/>
              </w:rPr>
              <w:t>55 Almaden Boulevard, 6</w:t>
            </w:r>
            <w:r>
              <w:rPr>
                <w:rFonts w:ascii="Times New Roman" w:cs="Times New Roman" w:eastAsia="Times New Roman" w:hAnsi="Times New Roman"/>
                <w:sz w:val="23"/>
                <w:szCs w:val="23"/>
                <w:b w:val="1"/>
                <w:bCs w:val="1"/>
                <w:color w:val="212529"/>
                <w:w w:val="98"/>
                <w:vertAlign w:val="superscript"/>
              </w:rPr>
              <w:t>th</w:t>
            </w:r>
            <w:r>
              <w:rPr>
                <w:rFonts w:ascii="Times New Roman" w:cs="Times New Roman" w:eastAsia="Times New Roman" w:hAnsi="Times New Roman"/>
                <w:sz w:val="18"/>
                <w:szCs w:val="18"/>
                <w:b w:val="1"/>
                <w:bCs w:val="1"/>
                <w:color w:val="212529"/>
                <w:w w:val="98"/>
              </w:rPr>
              <w:t xml:space="preserve"> Floor</w:t>
            </w:r>
          </w:p>
        </w:tc>
        <w:tc>
          <w:tcPr>
            <w:tcW w:w="4840" w:type="dxa"/>
            <w:vAlign w:val="bottom"/>
          </w:tcPr>
          <w:p>
            <w:pPr>
              <w:spacing w:after="0"/>
              <w:rPr>
                <w:sz w:val="21"/>
                <w:szCs w:val="21"/>
                <w:color w:val="auto"/>
              </w:rPr>
            </w:pPr>
          </w:p>
        </w:tc>
        <w:tc>
          <w:tcPr>
            <w:tcW w:w="166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212529"/>
              </w:rPr>
              <w:t>95113</w:t>
            </w:r>
          </w:p>
        </w:tc>
      </w:tr>
      <w:tr>
        <w:trPr>
          <w:trHeight w:val="238"/>
        </w:trPr>
        <w:tc>
          <w:tcPr>
            <w:tcW w:w="276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212529"/>
                <w:w w:val="99"/>
              </w:rPr>
              <w:t>San Jose, California</w:t>
            </w:r>
          </w:p>
        </w:tc>
        <w:tc>
          <w:tcPr>
            <w:tcW w:w="48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0"/>
        </w:trPr>
        <w:tc>
          <w:tcPr>
            <w:tcW w:w="27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212529"/>
              </w:rPr>
              <w:t>(Address of Principal Executive Offices)</w:t>
            </w:r>
          </w:p>
        </w:tc>
        <w:tc>
          <w:tcPr>
            <w:tcW w:w="4840" w:type="dxa"/>
            <w:vAlign w:val="bottom"/>
          </w:tcPr>
          <w:p>
            <w:pPr>
              <w:spacing w:after="0"/>
              <w:rPr>
                <w:sz w:val="19"/>
                <w:szCs w:val="19"/>
                <w:color w:val="auto"/>
              </w:rPr>
            </w:pPr>
          </w:p>
        </w:tc>
        <w:tc>
          <w:tcPr>
            <w:tcW w:w="1660" w:type="dxa"/>
            <w:vAlign w:val="bottom"/>
          </w:tcPr>
          <w:p>
            <w:pPr>
              <w:jc w:val="center"/>
              <w:ind w:left="441"/>
              <w:spacing w:after="0"/>
              <w:rPr>
                <w:sz w:val="20"/>
                <w:szCs w:val="20"/>
                <w:color w:val="auto"/>
              </w:rPr>
            </w:pPr>
            <w:r>
              <w:rPr>
                <w:rFonts w:ascii="Times New Roman" w:cs="Times New Roman" w:eastAsia="Times New Roman" w:hAnsi="Times New Roman"/>
                <w:sz w:val="14"/>
                <w:szCs w:val="14"/>
                <w:b w:val="1"/>
                <w:bCs w:val="1"/>
                <w:color w:val="212529"/>
              </w:rPr>
              <w:t>(Zip Code)</w:t>
            </w:r>
          </w:p>
        </w:tc>
      </w:tr>
      <w:tr>
        <w:trPr>
          <w:trHeight w:val="809"/>
        </w:trPr>
        <w:tc>
          <w:tcPr>
            <w:tcW w:w="2760" w:type="dxa"/>
            <w:vAlign w:val="bottom"/>
          </w:tcPr>
          <w:p>
            <w:pPr>
              <w:spacing w:after="0"/>
              <w:rPr>
                <w:sz w:val="24"/>
                <w:szCs w:val="24"/>
                <w:color w:val="auto"/>
              </w:rPr>
            </w:pPr>
          </w:p>
        </w:tc>
        <w:tc>
          <w:tcPr>
            <w:tcW w:w="484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(888) 799-9666</w:t>
            </w:r>
          </w:p>
        </w:tc>
        <w:tc>
          <w:tcPr>
            <w:tcW w:w="1660" w:type="dxa"/>
            <w:vAlign w:val="bottom"/>
          </w:tcPr>
          <w:p>
            <w:pPr>
              <w:spacing w:after="0"/>
              <w:rPr>
                <w:sz w:val="24"/>
                <w:szCs w:val="24"/>
                <w:color w:val="auto"/>
              </w:rPr>
            </w:pPr>
          </w:p>
        </w:tc>
      </w:tr>
      <w:tr>
        <w:trPr>
          <w:trHeight w:val="164"/>
        </w:trPr>
        <w:tc>
          <w:tcPr>
            <w:tcW w:w="2760" w:type="dxa"/>
            <w:vAlign w:val="bottom"/>
          </w:tcPr>
          <w:p>
            <w:pPr>
              <w:spacing w:after="0"/>
              <w:rPr>
                <w:sz w:val="14"/>
                <w:szCs w:val="14"/>
                <w:color w:val="auto"/>
              </w:rPr>
            </w:pPr>
          </w:p>
        </w:tc>
        <w:tc>
          <w:tcPr>
            <w:tcW w:w="484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212529"/>
              </w:rPr>
              <w:t>(Registrant’s Telephone Number, Including Area Code)</w:t>
            </w:r>
          </w:p>
        </w:tc>
        <w:tc>
          <w:tcPr>
            <w:tcW w:w="1660" w:type="dxa"/>
            <w:vAlign w:val="bottom"/>
          </w:tcPr>
          <w:p>
            <w:pPr>
              <w:spacing w:after="0"/>
              <w:rPr>
                <w:sz w:val="14"/>
                <w:szCs w:val="14"/>
                <w:color w:val="auto"/>
              </w:rPr>
            </w:pPr>
          </w:p>
        </w:tc>
      </w:tr>
      <w:tr>
        <w:trPr>
          <w:trHeight w:val="214"/>
        </w:trPr>
        <w:tc>
          <w:tcPr>
            <w:tcW w:w="2760" w:type="dxa"/>
            <w:vAlign w:val="bottom"/>
          </w:tcPr>
          <w:p>
            <w:pPr>
              <w:spacing w:after="0"/>
              <w:rPr>
                <w:sz w:val="18"/>
                <w:szCs w:val="18"/>
                <w:color w:val="auto"/>
              </w:rPr>
            </w:pPr>
          </w:p>
        </w:tc>
        <w:tc>
          <w:tcPr>
            <w:tcW w:w="484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rPr>
              <w:t>Not Applicable</w:t>
            </w:r>
          </w:p>
        </w:tc>
        <w:tc>
          <w:tcPr>
            <w:tcW w:w="1660" w:type="dxa"/>
            <w:vAlign w:val="bottom"/>
          </w:tcPr>
          <w:p>
            <w:pPr>
              <w:spacing w:after="0"/>
              <w:rPr>
                <w:sz w:val="18"/>
                <w:szCs w:val="18"/>
                <w:color w:val="auto"/>
              </w:rPr>
            </w:pPr>
          </w:p>
        </w:tc>
      </w:tr>
      <w:tr>
        <w:trPr>
          <w:trHeight w:val="190"/>
        </w:trPr>
        <w:tc>
          <w:tcPr>
            <w:tcW w:w="2760" w:type="dxa"/>
            <w:vAlign w:val="bottom"/>
          </w:tcPr>
          <w:p>
            <w:pPr>
              <w:spacing w:after="0"/>
              <w:rPr>
                <w:sz w:val="16"/>
                <w:szCs w:val="16"/>
                <w:color w:val="auto"/>
              </w:rPr>
            </w:pPr>
          </w:p>
        </w:tc>
        <w:tc>
          <w:tcPr>
            <w:tcW w:w="48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212529"/>
              </w:rPr>
              <w:t>(Former Name or Former Address, if Changed Since Last Report)</w:t>
            </w:r>
          </w:p>
        </w:tc>
        <w:tc>
          <w:tcPr>
            <w:tcW w:w="16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 (see General Instructions A.2. below):</w:t>
      </w:r>
    </w:p>
    <w:p>
      <w:pPr>
        <w:spacing w:after="0" w:line="243" w:lineRule="exact"/>
        <w:rPr>
          <w:sz w:val="24"/>
          <w:szCs w:val="24"/>
          <w:color w:val="auto"/>
        </w:rPr>
      </w:pPr>
    </w:p>
    <w:p>
      <w:pPr>
        <w:ind w:left="600" w:hanging="439"/>
        <w:spacing w:after="0"/>
        <w:tabs>
          <w:tab w:leader="none" w:pos="6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Written communications pursuant to Rule 425 under the Securities Act (17 CFR 230.425)</w:t>
      </w:r>
    </w:p>
    <w:p>
      <w:pPr>
        <w:spacing w:after="0" w:line="117" w:lineRule="exact"/>
        <w:rPr>
          <w:rFonts w:ascii="MS PGothic" w:cs="MS PGothic" w:eastAsia="MS PGothic" w:hAnsi="MS PGothic"/>
          <w:sz w:val="18"/>
          <w:szCs w:val="18"/>
          <w:color w:val="212529"/>
        </w:rPr>
      </w:pPr>
    </w:p>
    <w:p>
      <w:pPr>
        <w:ind w:left="600" w:hanging="439"/>
        <w:spacing w:after="0"/>
        <w:tabs>
          <w:tab w:leader="none" w:pos="6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Soliciting material pursuant to Rule 14a-12 under the Exchange Act (17 CFR 240.14a-12)</w:t>
      </w:r>
    </w:p>
    <w:p>
      <w:pPr>
        <w:spacing w:after="0" w:line="117" w:lineRule="exact"/>
        <w:rPr>
          <w:rFonts w:ascii="MS PGothic" w:cs="MS PGothic" w:eastAsia="MS PGothic" w:hAnsi="MS PGothic"/>
          <w:sz w:val="18"/>
          <w:szCs w:val="18"/>
          <w:color w:val="212529"/>
        </w:rPr>
      </w:pPr>
    </w:p>
    <w:p>
      <w:pPr>
        <w:ind w:left="600" w:hanging="439"/>
        <w:spacing w:after="0"/>
        <w:tabs>
          <w:tab w:leader="none" w:pos="6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Pre-commencement communications pursuant to Rule 14d-2(b) under the Exchange Act (17 CFR 240.14d-2(b))</w:t>
      </w:r>
    </w:p>
    <w:p>
      <w:pPr>
        <w:spacing w:after="0" w:line="117" w:lineRule="exact"/>
        <w:rPr>
          <w:rFonts w:ascii="MS PGothic" w:cs="MS PGothic" w:eastAsia="MS PGothic" w:hAnsi="MS PGothic"/>
          <w:sz w:val="18"/>
          <w:szCs w:val="18"/>
          <w:color w:val="212529"/>
        </w:rPr>
      </w:pPr>
    </w:p>
    <w:p>
      <w:pPr>
        <w:ind w:left="600" w:hanging="439"/>
        <w:spacing w:after="0"/>
        <w:tabs>
          <w:tab w:leader="none" w:pos="60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8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212529"/>
                <w:w w:val="97"/>
              </w:rPr>
              <w:t>Trading</w:t>
            </w:r>
          </w:p>
        </w:tc>
        <w:tc>
          <w:tcPr>
            <w:tcW w:w="41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212529"/>
              </w:rPr>
              <w:t>Name of each exchange</w:t>
            </w:r>
          </w:p>
        </w:tc>
      </w:tr>
      <w:tr>
        <w:trPr>
          <w:trHeight w:val="190"/>
        </w:trPr>
        <w:tc>
          <w:tcPr>
            <w:tcW w:w="5000" w:type="dxa"/>
            <w:vAlign w:val="bottom"/>
          </w:tcPr>
          <w:p>
            <w:pPr>
              <w:jc w:val="center"/>
              <w:ind w:left="359"/>
              <w:spacing w:after="0"/>
              <w:rPr>
                <w:sz w:val="20"/>
                <w:szCs w:val="20"/>
                <w:color w:val="auto"/>
              </w:rPr>
            </w:pPr>
            <w:r>
              <w:rPr>
                <w:rFonts w:ascii="Times New Roman" w:cs="Times New Roman" w:eastAsia="Times New Roman" w:hAnsi="Times New Roman"/>
                <w:sz w:val="14"/>
                <w:szCs w:val="14"/>
                <w:b w:val="1"/>
                <w:bCs w:val="1"/>
                <w:color w:val="212529"/>
              </w:rPr>
              <w:t>Title of each class</w:t>
            </w:r>
          </w:p>
        </w:tc>
        <w:tc>
          <w:tcPr>
            <w:tcW w:w="18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212529"/>
              </w:rPr>
              <w:t>Symbol(s)</w:t>
            </w:r>
          </w:p>
        </w:tc>
        <w:tc>
          <w:tcPr>
            <w:tcW w:w="41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212529"/>
              </w:rPr>
              <w:t>on which registered</w:t>
            </w:r>
          </w:p>
        </w:tc>
      </w:tr>
      <w:tr>
        <w:trPr>
          <w:trHeight w:val="23"/>
        </w:trPr>
        <w:tc>
          <w:tcPr>
            <w:tcW w:w="50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jc w:val="center"/>
              <w:ind w:left="379"/>
              <w:spacing w:after="0"/>
              <w:rPr>
                <w:sz w:val="20"/>
                <w:szCs w:val="20"/>
                <w:color w:val="auto"/>
              </w:rPr>
            </w:pPr>
            <w:r>
              <w:rPr>
                <w:rFonts w:ascii="Times New Roman" w:cs="Times New Roman" w:eastAsia="Times New Roman" w:hAnsi="Times New Roman"/>
                <w:sz w:val="18"/>
                <w:szCs w:val="18"/>
                <w:b w:val="1"/>
                <w:bCs w:val="1"/>
                <w:color w:val="212529"/>
              </w:rPr>
              <w:t>Class A Common Stock, $0.001 par value</w:t>
            </w:r>
          </w:p>
        </w:tc>
        <w:tc>
          <w:tcPr>
            <w:tcW w:w="1880" w:type="dxa"/>
            <w:vAlign w:val="bottom"/>
          </w:tcPr>
          <w:p>
            <w:pPr>
              <w:jc w:val="center"/>
              <w:ind w:left="2"/>
              <w:spacing w:after="0"/>
              <w:rPr>
                <w:sz w:val="20"/>
                <w:szCs w:val="20"/>
                <w:color w:val="auto"/>
              </w:rPr>
            </w:pPr>
            <w:r>
              <w:rPr>
                <w:rFonts w:ascii="Times New Roman" w:cs="Times New Roman" w:eastAsia="Times New Roman" w:hAnsi="Times New Roman"/>
                <w:sz w:val="18"/>
                <w:szCs w:val="18"/>
                <w:b w:val="1"/>
                <w:bCs w:val="1"/>
                <w:color w:val="212529"/>
                <w:w w:val="96"/>
              </w:rPr>
              <w:t>ZM</w:t>
            </w:r>
          </w:p>
        </w:tc>
        <w:tc>
          <w:tcPr>
            <w:tcW w:w="414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212529"/>
                <w:w w:val="99"/>
              </w:rPr>
              <w:t>The Nasdaq Global Select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Emerging growth company</w:t>
      </w:r>
    </w:p>
    <w:p>
      <w:pPr>
        <w:spacing w:after="0" w:line="1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17" w:right="339" w:bottom="1440" w:gutter="0" w:footer="0" w:header="0"/>
        </w:sectPr>
      </w:pPr>
    </w:p>
    <w:bookmarkStart w:id="1" w:name="page2"/>
    <w:bookmarkEnd w:id="1"/>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31, 2020, the board of directors (“Board”) of Zoom Video Communications, Inc. (the “Company”) approved an increase in the total authorized number of members of the Board to ten directors and elected Janet Napolitano to fill the newly created vacancy, effective November 2, 2020. Ms. Napolitano was elected as a Class III director for a term expiring at the Company’s 2022 annual meeting of stockholders. Ms. Napolitano is not expected to join any of the committees of the Board at this time.</w:t>
      </w:r>
    </w:p>
    <w:p>
      <w:pPr>
        <w:spacing w:after="0" w:line="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Napolitano is a professor at the University of California Berkeley’s Goldman School of Public Policy. She 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Ms. Napolitano currently serves on the board of directors of Vir Biotechnology, Inc., a clinical-stage immunology company. Ms. Napolitano holds a B.S. in political science from Santa Clara University and a J.D. from the University of Virginia School of Law.</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arrangement or understanding between Ms. Napolitano and any other persons pursuant to which she was elected as a director.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Napolitano has no direct or indirect material interest in any transaction required to be disclosed by the Company pursuant to Item 404(a) of Regulation 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Napolitano will enter into the Company’s standard from of indemnification agreement between the Company and its directors and executive officers.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Napolitano will be compensated as a member of the Board under the terms of the Company’s Non-Employee Director Compensation Policy.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Napolitano’s election to the Board is included in the press release attached hereto as Exhibit 99.1.</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Exhibit No.</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r>
      <w:tr>
        <w:trPr>
          <w:trHeight w:val="237"/>
        </w:trPr>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0"/>
                <w:szCs w:val="20"/>
                <w:color w:val="auto"/>
              </w:rPr>
            </w:pPr>
          </w:p>
        </w:tc>
        <w:tc>
          <w:tcPr>
            <w:tcW w:w="8840" w:type="dxa"/>
            <w:vAlign w:val="bottom"/>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November 2, 2020.</w:t>
              </w:r>
            </w:hyperlink>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212529"/>
        </w:rPr>
        <w:t>ZOOM VIDEO COMMUNICATIONS,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Dated: November 2, 2020</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-7620</wp:posOffset>
            </wp:positionV>
            <wp:extent cx="875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Aparna Bawa</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0940"/>
          </w:cols>
          <w:pgMar w:left="320" w:top="1413" w:right="6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Zoom Appoints Janet Napolitano to Board of Directors</w:t>
      </w:r>
    </w:p>
    <w:p>
      <w:pPr>
        <w:spacing w:after="0" w:line="249" w:lineRule="exact"/>
        <w:rPr>
          <w:sz w:val="20"/>
          <w:szCs w:val="20"/>
          <w:color w:val="auto"/>
        </w:rPr>
      </w:pPr>
    </w:p>
    <w:p>
      <w:pPr>
        <w:jc w:val="center"/>
        <w:ind w:left="360" w:right="240"/>
        <w:spacing w:after="0" w:line="276" w:lineRule="auto"/>
        <w:rPr>
          <w:sz w:val="20"/>
          <w:szCs w:val="20"/>
          <w:color w:val="auto"/>
        </w:rPr>
      </w:pPr>
      <w:r>
        <w:rPr>
          <w:rFonts w:ascii="Arial" w:cs="Arial" w:eastAsia="Arial" w:hAnsi="Arial"/>
          <w:sz w:val="20"/>
          <w:szCs w:val="20"/>
          <w:i w:val="1"/>
          <w:iCs w:val="1"/>
          <w:color w:val="auto"/>
        </w:rPr>
        <w:t>Former Arizona Governor, US Secretary of Homeland Security, and President of the University of California System Brings Education and Public Policy Expertise to Video Communications Leader</w:t>
      </w:r>
    </w:p>
    <w:p>
      <w:pPr>
        <w:spacing w:after="0" w:line="169" w:lineRule="exact"/>
        <w:rPr>
          <w:sz w:val="20"/>
          <w:szCs w:val="20"/>
          <w:color w:val="auto"/>
        </w:rPr>
      </w:pPr>
    </w:p>
    <w:p>
      <w:pPr>
        <w:ind w:right="80"/>
        <w:spacing w:after="0" w:line="280" w:lineRule="auto"/>
        <w:rPr>
          <w:sz w:val="20"/>
          <w:szCs w:val="20"/>
          <w:color w:val="auto"/>
        </w:rPr>
      </w:pPr>
      <w:r>
        <w:rPr>
          <w:rFonts w:ascii="Arial" w:cs="Arial" w:eastAsia="Arial" w:hAnsi="Arial"/>
          <w:sz w:val="20"/>
          <w:szCs w:val="20"/>
          <w:color w:val="auto"/>
        </w:rPr>
        <w:t xml:space="preserve">San Jose, Calif. - November 2, 2020 - </w:t>
      </w:r>
      <w:r>
        <w:rPr>
          <w:rFonts w:ascii="Arial" w:cs="Arial" w:eastAsia="Arial" w:hAnsi="Arial"/>
          <w:sz w:val="20"/>
          <w:szCs w:val="20"/>
          <w:u w:val="single" w:color="auto"/>
          <w:color w:val="1155CC"/>
        </w:rPr>
        <w:t>Zoom Video Communications, Inc.</w:t>
      </w:r>
      <w:r>
        <w:rPr>
          <w:rFonts w:ascii="Arial" w:cs="Arial" w:eastAsia="Arial" w:hAnsi="Arial"/>
          <w:sz w:val="20"/>
          <w:szCs w:val="20"/>
          <w:color w:val="auto"/>
        </w:rPr>
        <w:t xml:space="preserve"> announced that Janet Napolitano has joined its Board of Directors effective today, November 2.</w:t>
      </w:r>
    </w:p>
    <w:p>
      <w:pPr>
        <w:spacing w:after="0" w:line="165"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Napolitano is an accomplished attorney who has dedicated much of her career to public service as an attorney general, Governor, cabinet member, and university administrator. She served as Attorney General of Arizona from 1998 to 2003. She was then elected Governor of Arizona, leading her state from 2003 to 2009. She joined President Barack Obama’s cabinet as the United States Secretary of Homeland Security from 2009 to 2013. More recently, she was President of the University of California system from 2013 to 2020, when she left to join the faculty of University of California Berkeley’s Goldman School of Public Policy.</w:t>
      </w:r>
    </w:p>
    <w:p>
      <w:pPr>
        <w:spacing w:after="0" w:line="194" w:lineRule="exact"/>
        <w:rPr>
          <w:sz w:val="20"/>
          <w:szCs w:val="20"/>
          <w:color w:val="auto"/>
        </w:rPr>
      </w:pPr>
    </w:p>
    <w:p>
      <w:pPr>
        <w:ind w:right="640"/>
        <w:spacing w:after="0" w:line="266" w:lineRule="auto"/>
        <w:rPr>
          <w:sz w:val="20"/>
          <w:szCs w:val="20"/>
          <w:color w:val="auto"/>
        </w:rPr>
      </w:pPr>
      <w:r>
        <w:rPr>
          <w:rFonts w:ascii="Arial" w:cs="Arial" w:eastAsia="Arial" w:hAnsi="Arial"/>
          <w:sz w:val="20"/>
          <w:szCs w:val="20"/>
          <w:color w:val="auto"/>
        </w:rPr>
        <w:t>“Zoom has immense capacity as a communication service provider,” said Napolitano. “I’m excited about its future and I’m excited to join its Board.”</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“I am very pleased to welcome Secretary Napolitano to the Zoom Board of Directors,” said Zoom CEO Eric S. Yuan. “Janet has extensive leadership experience in both education and government, two key segments of Zoom customers. She also has tremendous strength of character, which she demonstrated throughout her years in public service and academia, and is adept at decision-making and leading in complex organizations. I know she will be a valuable addition to our board.”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Janet Napolitano</w:t>
      </w:r>
    </w:p>
    <w:p>
      <w:pPr>
        <w:spacing w:after="0" w:line="28"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Janet Napolitano is a Professor of Public Policy at the Goldman School of Public Policy at UC Berkeley. She served as the twentieth president of the University of California, the nation’s largest public research university with ten campuses, five medical centers, three affiliated national laboratories, and a statewide agriculture and natural resources program. Prior to joining the University of California, Professor Napolitano served as Secretary of Homeland Security from 2009 to 2013. She is a former two-term Governor of Arizona, a former Attorney General of Arizona, and a former U.S. Attorney for the District of Arizona. In 2019, Napolitano published How Safe Are We? Homeland Security Since 9/11. Professor Napolitano earned her B.S. degree, summa cum laude, in Political Science from Santa Clara University, and her J.D. from the University of Virginia. She is based in Berkeley, CA.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Zoom</w:t>
      </w:r>
    </w:p>
    <w:p>
      <w:pPr>
        <w:spacing w:after="0" w:line="28" w:lineRule="exact"/>
        <w:rPr>
          <w:sz w:val="20"/>
          <w:szCs w:val="20"/>
          <w:color w:val="auto"/>
        </w:rPr>
      </w:pPr>
    </w:p>
    <w:p>
      <w:pPr>
        <w:ind w:right="260"/>
        <w:spacing w:after="0" w:line="258" w:lineRule="auto"/>
        <w:rPr>
          <w:sz w:val="20"/>
          <w:szCs w:val="20"/>
          <w:color w:val="auto"/>
        </w:rPr>
      </w:pPr>
      <w:r>
        <w:rPr>
          <w:rFonts w:ascii="Arial" w:cs="Arial" w:eastAsia="Arial" w:hAnsi="Arial"/>
          <w:sz w:val="19"/>
          <w:szCs w:val="19"/>
          <w:color w:val="auto"/>
        </w:rPr>
        <w:t xml:space="preserve">Zoom Video Communications, Inc. (NASDAQ: ZM) brings teams together to get more done in a frictionless and secure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w:t>
      </w:r>
      <w:r>
        <w:rPr>
          <w:rFonts w:ascii="Arial" w:cs="Arial" w:eastAsia="Arial" w:hAnsi="Arial"/>
          <w:sz w:val="19"/>
          <w:szCs w:val="19"/>
          <w:u w:val="single" w:color="auto"/>
          <w:color w:val="1155CC"/>
        </w:rPr>
        <w:t>zoom.com</w:t>
      </w:r>
      <w:r>
        <w:rPr>
          <w:rFonts w:ascii="Arial" w:cs="Arial" w:eastAsia="Arial" w:hAnsi="Arial"/>
          <w:sz w:val="19"/>
          <w:szCs w:val="19"/>
          <w:color w:val="auto"/>
        </w:rPr>
        <w:t xml:space="preserve"> and follow </w:t>
      </w:r>
      <w:r>
        <w:rPr>
          <w:rFonts w:ascii="Arial" w:cs="Arial" w:eastAsia="Arial" w:hAnsi="Arial"/>
          <w:sz w:val="19"/>
          <w:szCs w:val="19"/>
          <w:u w:val="single" w:color="auto"/>
          <w:color w:val="1155CC"/>
        </w:rPr>
        <w:t>@zoom_us</w:t>
      </w:r>
      <w:r>
        <w:rPr>
          <w:rFonts w:ascii="Arial" w:cs="Arial" w:eastAsia="Arial" w:hAnsi="Arial"/>
          <w:sz w:val="19"/>
          <w:szCs w:val="19"/>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 Media Contact</w:t>
      </w:r>
    </w:p>
    <w:p>
      <w:pPr>
        <w:sectPr>
          <w:pgSz w:w="11900" w:h="16838" w:orient="portrait"/>
          <w:cols w:equalWidth="0" w:num="1">
            <w:col w:w="11220"/>
          </w:cols>
          <w:pgMar w:left="320" w:top="1404"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Colleen Rodriguez</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Global PR Lead</w:t>
      </w:r>
    </w:p>
    <w:p>
      <w:pPr>
        <w:spacing w:after="0"/>
        <w:rPr>
          <w:sz w:val="20"/>
          <w:szCs w:val="20"/>
          <w:color w:val="auto"/>
        </w:rPr>
      </w:pPr>
      <w:r>
        <w:rPr>
          <w:rFonts w:ascii="Arial" w:cs="Arial" w:eastAsia="Arial" w:hAnsi="Arial"/>
          <w:sz w:val="20"/>
          <w:szCs w:val="20"/>
          <w:color w:val="auto"/>
        </w:rPr>
        <w:t>press@zoom.us</w:t>
      </w:r>
    </w:p>
    <w:p>
      <w:pPr>
        <w:spacing w:after="0" w:line="217"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w:t>
      </w:r>
    </w:p>
    <w:sectPr>
      <w:pgSz w:w="11900" w:h="16838" w:orient="portrait"/>
      <w:cols w:equalWidth="0" w:num="1">
        <w:col w:w="10139"/>
      </w:cols>
      <w:pgMar w:left="320" w:top="14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2020-11-02T08:09:00Z</dcterms:created>
  <dcterms:modified xsi:type="dcterms:W3CDTF">2020-11-02T08:09:00Z</dcterms:modified>
</cp:coreProperties>
</file>