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53"/>
        </w:trPr>
        <w:tc>
          <w:tcPr>
            <w:tcW w:w="40" w:type="dxa"/>
            <w:vAlign w:val="bottom"/>
          </w:tcPr>
          <w:p>
            <w:pPr>
              <w:spacing w:after="0"/>
              <w:rPr>
                <w:sz w:val="22"/>
                <w:szCs w:val="22"/>
                <w:color w:val="auto"/>
              </w:rPr>
            </w:pPr>
          </w:p>
        </w:tc>
        <w:tc>
          <w:tcPr>
            <w:tcW w:w="364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Emergence Equity Partners III, L.P.</w:t>
              </w:r>
            </w:hyperlink>
          </w:p>
        </w:tc>
        <w:tc>
          <w:tcPr>
            <w:tcW w:w="80" w:type="dxa"/>
            <w:vAlign w:val="bottom"/>
          </w:tcPr>
          <w:p>
            <w:pPr>
              <w:spacing w:after="0"/>
              <w:rPr>
                <w:sz w:val="22"/>
                <w:szCs w:val="22"/>
                <w:color w:val="auto"/>
              </w:rPr>
            </w:pPr>
          </w:p>
        </w:tc>
        <w:tc>
          <w:tcPr>
            <w:tcW w:w="3820" w:type="dxa"/>
            <w:vAlign w:val="bottom"/>
            <w:gridSpan w:val="2"/>
          </w:tcPr>
          <w:p>
            <w:pPr>
              <w:ind w:left="80"/>
              <w:spacing w:after="0"/>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Zoom Video Communications, Inc.</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36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vMerge w:val="continue"/>
          </w:tcPr>
          <w:p>
            <w:pPr>
              <w:spacing w:after="0"/>
              <w:rPr>
                <w:sz w:val="11"/>
                <w:szCs w:val="11"/>
                <w:color w:val="auto"/>
              </w:rPr>
            </w:pPr>
          </w:p>
        </w:tc>
        <w:tc>
          <w:tcPr>
            <w:tcW w:w="390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06/19/2020</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9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0"/>
          <w:szCs w:val="20"/>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785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85620"/>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jc w:val="center"/>
              <w:ind w:left="5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1"/>
              </w:rPr>
              <w:t>06/19/2020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19,299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239.6</w:t>
            </w:r>
            <w:r>
              <w:rPr>
                <w:rFonts w:ascii="Arial" w:cs="Arial" w:eastAsia="Arial" w:hAnsi="Arial"/>
                <w:sz w:val="22"/>
                <w:szCs w:val="22"/>
                <w:color w:val="008000"/>
                <w:w w:val="88"/>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53,869</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1"/>
              </w:rPr>
              <w:t>06/19/2020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27,351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240.35</w:t>
            </w:r>
            <w:r>
              <w:rPr>
                <w:rFonts w:ascii="Arial" w:cs="Arial" w:eastAsia="Arial" w:hAnsi="Arial"/>
                <w:sz w:val="22"/>
                <w:szCs w:val="22"/>
                <w:color w:val="008000"/>
                <w:w w:val="88"/>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26,518</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1"/>
              </w:rPr>
              <w:t>06/19/2020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23,318</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241.51</w:t>
            </w:r>
            <w:r>
              <w:rPr>
                <w:rFonts w:ascii="Arial" w:cs="Arial" w:eastAsia="Arial" w:hAnsi="Arial"/>
                <w:sz w:val="22"/>
                <w:szCs w:val="22"/>
                <w:color w:val="008000"/>
                <w:w w:val="88"/>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3,200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tcPr>
          <w:p>
            <w:pPr>
              <w:jc w:val="center"/>
              <w:ind w:left="505"/>
              <w:spacing w:after="0"/>
              <w:rPr>
                <w:sz w:val="20"/>
                <w:szCs w:val="20"/>
                <w:color w:val="auto"/>
              </w:rPr>
            </w:pPr>
            <w:r>
              <w:rPr>
                <w:rFonts w:ascii="Arial" w:cs="Arial" w:eastAsia="Arial" w:hAnsi="Arial"/>
                <w:sz w:val="17"/>
                <w:szCs w:val="17"/>
                <w:color w:val="0000FF"/>
                <w:w w:val="91"/>
              </w:rPr>
              <w:t>06/19/2020</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242.09</w:t>
            </w:r>
            <w:r>
              <w:rPr>
                <w:rFonts w:ascii="Arial" w:cs="Arial" w:eastAsia="Arial" w:hAnsi="Arial"/>
                <w:sz w:val="22"/>
                <w:szCs w:val="22"/>
                <w:color w:val="008000"/>
                <w:w w:val="88"/>
                <w:vertAlign w:val="superscript"/>
              </w:rPr>
              <w:t>(4)</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0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both"/>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$238.89 - $239.88.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jc w:val="both"/>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$239.89 - $240.88.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jc w:val="both"/>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$240.89 - $241.88.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jc w:val="both"/>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$241.89 - $242.88.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Emergence Equity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014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III, L.P., By: Emergence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38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3825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Partners, LLC, its sole general 06/23/2020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partner, /s/ Jason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1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0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77380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2020-06-23T17:07:34Z</dcterms:created>
  <dcterms:modified xsi:type="dcterms:W3CDTF">2020-06-23T17:07:34Z</dcterms:modified>
</cp:coreProperties>
</file>