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Zoom Communications,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61-1648780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4224"/>
        <w:spacing w:after="0"/>
        <w:rPr>
          <w:sz w:val="20"/>
          <w:szCs w:val="20"/>
          <w:color w:val="auto"/>
        </w:rPr>
      </w:pPr>
      <w:r>
        <w:rPr>
          <w:rFonts w:ascii="Times New Roman" w:cs="Times New Roman" w:eastAsia="Times New Roman" w:hAnsi="Times New Roman"/>
          <w:sz w:val="18"/>
          <w:szCs w:val="18"/>
          <w:b w:val="1"/>
          <w:bCs w:val="1"/>
          <w:color w:val="auto"/>
        </w:rPr>
        <w:t>55 Almaden Boulevard, 6th Floor</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San Jose, California 95113</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(888) 799-9666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June 12, 2025, Zoom Communications, Inc. (the “Company”) held its 2025 Annual Meeting of Stockholders (the “Annual Meeting”). At the Annual Meeting, the Company’s stockholders (1) elected each of the Company’s nominees for Class III director, (2) ratified the appointment of KPMG LLP as the Company’s independent registered public accounting firm for the fiscal year ending January 31, 2026, and (3) approved, on an advisory basis, the compensation of the Company’s named executive officers. The final results with respect to each proposal are set forth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One – Election of Directors</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stockholders elected each of the three persons named below as Class III directors to serve until the 2028 annual meeting of stockholders or until their successors are duly elected and qualified. The results of such vote were:</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FOR</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9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R. McDermott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505,611,779</w:t>
            </w:r>
          </w:p>
        </w:tc>
        <w:tc>
          <w:tcPr>
            <w:tcW w:w="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26,393,487</w:t>
            </w:r>
          </w:p>
        </w:tc>
        <w:tc>
          <w:tcPr>
            <w:tcW w:w="4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45,324,796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Michael Fenger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514,541,003</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17,464,263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45,324,796</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Subotovsky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432,484,517</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99,520,749</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45,324,796</w:t>
            </w:r>
          </w:p>
        </w:tc>
        <w:tc>
          <w:tcPr>
            <w:tcW w:w="6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Two – Ratification of Selection of Independent Public Registered Accounting Firm</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KPMG LLP as the Company’s independent registered public accounting firm for the fiscal year ending January 31, 2026. The results of such vote were:</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3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3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78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09"/>
        </w:trPr>
        <w:tc>
          <w:tcPr>
            <w:tcW w:w="316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575,422,363</w:t>
            </w:r>
          </w:p>
        </w:tc>
        <w:tc>
          <w:tcPr>
            <w:tcW w:w="18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1,725,380</w:t>
            </w:r>
          </w:p>
        </w:tc>
        <w:tc>
          <w:tcPr>
            <w:tcW w:w="16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182,319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Three – Advisory Vote on Executive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stockholders advised that they were in favor of the compensation of the Company’s named executive officers. The results of such vote were:</w:t>
      </w:r>
    </w:p>
    <w:p>
      <w:pPr>
        <w:spacing w:after="0" w:line="257"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2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09"/>
        </w:trPr>
        <w:tc>
          <w:tcPr>
            <w:tcW w:w="234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431,047,023</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100,814,782</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143,461</w:t>
            </w:r>
          </w:p>
        </w:tc>
        <w:tc>
          <w:tcPr>
            <w:tcW w:w="2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45,324,796</w:t>
            </w:r>
          </w:p>
        </w:tc>
      </w:tr>
    </w:tbl>
    <w:p>
      <w:pPr>
        <w:sectPr>
          <w:pgSz w:w="11900" w:h="16838" w:orient="portrait"/>
          <w:cols w:equalWidth="0" w:num="1">
            <w:col w:w="10880"/>
          </w:cols>
          <w:pgMar w:left="440" w:top="293" w:right="57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June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Aparna Bawa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Chief Operating Officer</w:t>
      </w:r>
    </w:p>
    <w:sectPr>
      <w:pgSz w:w="11900" w:h="16838" w:orient="portrait"/>
      <w:cols w:equalWidth="0" w:num="1">
        <w:col w:w="10720"/>
      </w:cols>
      <w:pgMar w:left="440" w:top="293"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2025-06-18T16:16:58Z</dcterms:created>
  <dcterms:modified xsi:type="dcterms:W3CDTF">2025-06-18T16:16:58Z</dcterms:modified>
</cp:coreProperties>
</file>