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78" w:lineRule="exact"/>
        <w:rPr>
          <w:sz w:val="24"/>
          <w:szCs w:val="24"/>
          <w:color w:val="auto"/>
        </w:rPr>
      </w:pPr>
    </w:p>
    <w:p>
      <w:pPr>
        <w:ind w:left="1344"/>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 240.13d-1(b), (c) and (d) and</w:t>
      </w:r>
    </w:p>
    <w:p>
      <w:pPr>
        <w:spacing w:after="0" w:line="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Amendments Thereto Filed Pursuant to § 240.13d-2</w:t>
      </w:r>
    </w:p>
    <w:p>
      <w:pPr>
        <w:jc w:val="center"/>
        <w:ind w:right="-63"/>
        <w:spacing w:after="0" w:line="230" w:lineRule="auto"/>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ZOOM VIDEO COMMUNICATION,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98980L101</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4" w:hanging="213"/>
        <w:spacing w:after="0"/>
        <w:tabs>
          <w:tab w:leader="none" w:pos="1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204" w:hanging="213"/>
        <w:spacing w:after="0"/>
        <w:tabs>
          <w:tab w:leader="none" w:pos="1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4" w:hanging="213"/>
        <w:spacing w:after="0"/>
        <w:tabs>
          <w:tab w:leader="none" w:pos="1204"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4"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8"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CUSIP number applies to the Issuer’s American depositary shares, each representing four Class A Ordinary Shares.</w:t>
      </w:r>
    </w:p>
    <w:p>
      <w:pPr>
        <w:spacing w:after="0" w:line="22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w:t>
      </w:r>
    </w:p>
    <w:p>
      <w:pPr>
        <w:spacing w:after="0" w:line="27" w:lineRule="exact"/>
        <w:rPr>
          <w:sz w:val="24"/>
          <w:szCs w:val="24"/>
          <w:color w:val="auto"/>
        </w:rPr>
      </w:pPr>
    </w:p>
    <w:p>
      <w:pPr>
        <w:ind w:left="4" w:right="440"/>
        <w:spacing w:after="0" w:line="260" w:lineRule="auto"/>
        <w:rPr>
          <w:sz w:val="20"/>
          <w:szCs w:val="20"/>
          <w:color w:val="auto"/>
        </w:rPr>
      </w:pPr>
      <w:r>
        <w:rPr>
          <w:rFonts w:ascii="Times New Roman" w:cs="Times New Roman" w:eastAsia="Times New Roman" w:hAnsi="Times New Roman"/>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4"/>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CUSIP No. 98980L101</w:t>
            </w:r>
          </w:p>
        </w:tc>
        <w:tc>
          <w:tcPr>
            <w:tcW w:w="120" w:type="dxa"/>
            <w:vAlign w:val="bottom"/>
          </w:tcPr>
          <w:p>
            <w:pPr>
              <w:spacing w:after="0"/>
              <w:rPr>
                <w:sz w:val="20"/>
                <w:szCs w:val="20"/>
                <w:color w:val="auto"/>
              </w:rPr>
            </w:pPr>
          </w:p>
        </w:tc>
        <w:tc>
          <w:tcPr>
            <w:tcW w:w="6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SCHEDULE 13G</w:t>
            </w:r>
          </w:p>
        </w:tc>
        <w:tc>
          <w:tcPr>
            <w:tcW w:w="23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Page 2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8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SEQUOIA CAPITAL U.S. GROWTH FUND V, L.P. (“SC USGF V”)</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2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CAYMAN ISLANDS</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15"/>
                <w:szCs w:val="15"/>
                <w:color w:val="auto"/>
              </w:rPr>
              <w:t>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4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198,715,606 shares outstanding as of November 20, 2020, as reported in the Issuer’s Quarterly Report on Form 10-Q filed with the Securities and Exchange Commission on December 4, 2020.</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4"/>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CUSIP No. 98980L101</w:t>
            </w:r>
          </w:p>
        </w:tc>
        <w:tc>
          <w:tcPr>
            <w:tcW w:w="120" w:type="dxa"/>
            <w:vAlign w:val="bottom"/>
          </w:tcPr>
          <w:p>
            <w:pPr>
              <w:spacing w:after="0"/>
              <w:rPr>
                <w:sz w:val="20"/>
                <w:szCs w:val="20"/>
                <w:color w:val="auto"/>
              </w:rPr>
            </w:pPr>
          </w:p>
        </w:tc>
        <w:tc>
          <w:tcPr>
            <w:tcW w:w="6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SCHEDULE 13G</w:t>
            </w:r>
          </w:p>
        </w:tc>
        <w:tc>
          <w:tcPr>
            <w:tcW w:w="23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Page 3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8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SCGF V MANAGEMENT, L.P. (“SCGF V MGMT”)</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2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CAYMAN ISLANDS</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15"/>
                <w:szCs w:val="15"/>
                <w:color w:val="auto"/>
              </w:rPr>
              <w:t>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right="4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198,715,606 shares outstanding as of November 20, 2020, as reported in the Issuer’s Quarterly Report on Form 10-Q filed with the Securities and Exchange Commission on December 4, 2020.</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34"/>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CUSIP No. 98980L101</w:t>
            </w:r>
          </w:p>
        </w:tc>
        <w:tc>
          <w:tcPr>
            <w:tcW w:w="120" w:type="dxa"/>
            <w:vAlign w:val="bottom"/>
          </w:tcPr>
          <w:p>
            <w:pPr>
              <w:spacing w:after="0"/>
              <w:rPr>
                <w:sz w:val="20"/>
                <w:szCs w:val="20"/>
                <w:color w:val="auto"/>
              </w:rPr>
            </w:pPr>
          </w:p>
        </w:tc>
        <w:tc>
          <w:tcPr>
            <w:tcW w:w="6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SCHEDULE 13G</w:t>
            </w:r>
          </w:p>
        </w:tc>
        <w:tc>
          <w:tcPr>
            <w:tcW w:w="23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Page 4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8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SEQUOIA CAPITAL U.S. GROWTH FUND VII, L.P. (“SC USGF VII”)</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2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CAYMAN ISLANDS</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15"/>
                <w:szCs w:val="15"/>
                <w:color w:val="auto"/>
              </w:rPr>
              <w:t>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4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198,715,606 shares outstanding as of November 20, 2020, as reported in the Issuer’s Quarterly Report on Form 10-Q filed with the Securities and Exchange Commission on December 4, 2020.</w:t>
      </w:r>
    </w:p>
    <w:p>
      <w:pPr>
        <w:sectPr>
          <w:pgSz w:w="11900" w:h="16838" w:orient="portrait"/>
          <w:cols w:equalWidth="0" w:num="1">
            <w:col w:w="11024"/>
          </w:cols>
          <w:pgMar w:left="436" w:top="270" w:right="439" w:bottom="1440" w:gutter="0" w:footer="0" w:header="0"/>
        </w:sectPr>
      </w:pPr>
    </w:p>
    <w:bookmarkStart w:id="4" w:name="page5"/>
    <w:bookmarkEnd w:id="4"/>
    <w:p>
      <w:pPr>
        <w:spacing w:after="0"/>
        <w:tabs>
          <w:tab w:leader="none" w:pos="5080" w:val="left"/>
          <w:tab w:leader="none" w:pos="9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98980L101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5 of 16 Pages</w:t>
      </w:r>
    </w:p>
    <w:p>
      <w:pPr>
        <w:spacing w:after="0" w:line="171" w:lineRule="exact"/>
        <w:rPr>
          <w:sz w:val="20"/>
          <w:szCs w:val="20"/>
          <w:color w:val="auto"/>
        </w:rPr>
      </w:pPr>
    </w:p>
    <w:p>
      <w:pPr>
        <w:ind w:left="620" w:hanging="377"/>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5220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SEQUOIA CAPITAL U.S. GROWTH VII PRINCIPALS FUND, L.P. (“SC USGF VII PF”)</w:t>
      </w:r>
    </w:p>
    <w:p>
      <w:pPr>
        <w:spacing w:after="0" w:line="36" w:lineRule="exact"/>
        <w:rPr>
          <w:sz w:val="20"/>
          <w:szCs w:val="20"/>
          <w:color w:val="auto"/>
        </w:rPr>
      </w:pPr>
    </w:p>
    <w:p>
      <w:pPr>
        <w:ind w:left="620" w:hanging="377"/>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right="6740" w:hanging="377"/>
        <w:spacing w:after="0" w:line="406"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ectPr>
          <w:pgSz w:w="11900" w:h="16838" w:orient="portrait"/>
          <w:cols w:equalWidth="0" w:num="1">
            <w:col w:w="11020"/>
          </w:cols>
          <w:pgMar w:left="440" w:top="270" w:right="4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WITH</w:t>
      </w:r>
    </w:p>
    <w:p>
      <w:pPr>
        <w:spacing w:after="0" w:line="20" w:lineRule="exact"/>
        <w:rPr>
          <w:sz w:val="20"/>
          <w:szCs w:val="20"/>
          <w:color w:val="auto"/>
        </w:rPr>
      </w:pPr>
      <w:r>
        <w:rPr>
          <w:sz w:val="20"/>
          <w:szCs w:val="20"/>
          <w:color w:val="auto"/>
        </w:rPr>
        <w:br w:type="column"/>
      </w:r>
    </w:p>
    <w:p>
      <w:pPr>
        <w:ind w:left="404" w:hanging="404"/>
        <w:spacing w:after="0"/>
        <w:tabs>
          <w:tab w:leader="none" w:pos="4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404" w:hanging="404"/>
        <w:spacing w:after="0"/>
        <w:tabs>
          <w:tab w:leader="none" w:pos="4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52"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404" w:hanging="404"/>
        <w:spacing w:after="0"/>
        <w:tabs>
          <w:tab w:leader="none" w:pos="4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52"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404" w:right="6480" w:hanging="404"/>
        <w:spacing w:after="0" w:line="406" w:lineRule="auto"/>
        <w:tabs>
          <w:tab w:leader="none" w:pos="4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2" w:lineRule="exact"/>
        <w:rPr>
          <w:sz w:val="20"/>
          <w:szCs w:val="20"/>
          <w:color w:val="auto"/>
        </w:rPr>
      </w:pPr>
    </w:p>
    <w:p>
      <w:pPr>
        <w:sectPr>
          <w:pgSz w:w="11900" w:h="16838" w:orient="portrait"/>
          <w:cols w:equalWidth="0" w:num="2">
            <w:col w:w="1460" w:space="156"/>
            <w:col w:w="9404"/>
          </w:cols>
          <w:pgMar w:left="440" w:top="270" w:right="439" w:bottom="1440" w:gutter="0" w:footer="0" w:header="0"/>
          <w:type w:val="continuous"/>
        </w:sectPr>
      </w:pPr>
    </w:p>
    <w:p>
      <w:pPr>
        <w:ind w:left="600" w:hanging="357"/>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hanging="467"/>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460" w:hanging="467"/>
        <w:spacing w:after="0" w:line="400" w:lineRule="auto"/>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w:t>
      </w:r>
      <w:r>
        <w:rPr>
          <w:rFonts w:ascii="Times New Roman" w:cs="Times New Roman" w:eastAsia="Times New Roman" w:hAnsi="Times New Roman"/>
          <w:sz w:val="15"/>
          <w:szCs w:val="15"/>
          <w:color w:val="auto"/>
        </w:rPr>
        <w:t>1</w:t>
      </w:r>
    </w:p>
    <w:p>
      <w:pPr>
        <w:ind w:left="620" w:right="7900" w:hanging="467"/>
        <w:spacing w:after="0" w:line="547" w:lineRule="auto"/>
        <w:tabs>
          <w:tab w:leader="none" w:pos="61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1" w:lineRule="exact"/>
        <w:rPr>
          <w:rFonts w:ascii="Times New Roman" w:cs="Times New Roman" w:eastAsia="Times New Roman" w:hAnsi="Times New Roman"/>
          <w:sz w:val="18"/>
          <w:szCs w:val="18"/>
          <w:color w:val="auto"/>
        </w:rPr>
      </w:pPr>
    </w:p>
    <w:p>
      <w:pPr>
        <w:ind w:left="420" w:right="4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1Based on a total of 198,715,606 shares outstanding as of November 20, 2020, as reported in the Issuer’s Quarterly Report on Form 10-Q filed with the Securities and Exchange Commission on December 4, 2020.</w:t>
      </w:r>
    </w:p>
    <w:p>
      <w:pPr>
        <w:sectPr>
          <w:pgSz w:w="11900" w:h="16838" w:orient="portrait"/>
          <w:cols w:equalWidth="0" w:num="1">
            <w:col w:w="11020"/>
          </w:cols>
          <w:pgMar w:left="440" w:top="270" w:right="439" w:bottom="1440" w:gutter="0" w:footer="0" w:header="0"/>
          <w:type w:val="continuous"/>
        </w:sectPr>
      </w:pPr>
    </w:p>
    <w:bookmarkStart w:id="5" w:name="page6"/>
    <w:bookmarkEnd w:id="5"/>
    <w:tbl>
      <w:tblPr>
        <w:tblLayout w:type="fixed"/>
        <w:tblInd w:w="14" w:type="dxa"/>
        <w:tblCellMar>
          <w:top w:w="0" w:type="dxa"/>
          <w:left w:w="0" w:type="dxa"/>
          <w:bottom w:w="0" w:type="dxa"/>
          <w:right w:w="0" w:type="dxa"/>
        </w:tblCellMar>
      </w:tblPr>
      <w:tr>
        <w:trPr>
          <w:trHeight w:val="234"/>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CUSIP No. 98980L101</w:t>
            </w:r>
          </w:p>
        </w:tc>
        <w:tc>
          <w:tcPr>
            <w:tcW w:w="120" w:type="dxa"/>
            <w:vAlign w:val="bottom"/>
          </w:tcPr>
          <w:p>
            <w:pPr>
              <w:spacing w:after="0"/>
              <w:rPr>
                <w:sz w:val="20"/>
                <w:szCs w:val="20"/>
                <w:color w:val="auto"/>
              </w:rPr>
            </w:pPr>
          </w:p>
        </w:tc>
        <w:tc>
          <w:tcPr>
            <w:tcW w:w="6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SCHEDULE 13G</w:t>
            </w:r>
          </w:p>
        </w:tc>
        <w:tc>
          <w:tcPr>
            <w:tcW w:w="23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Page 6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8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SC U.S. GROWTH VII MANAGEMENT, L.P. (“SC USG VII MGMT”)</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2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CAYMAN ISLANDS</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15"/>
                <w:szCs w:val="15"/>
                <w:color w:val="auto"/>
              </w:rPr>
              <w:t>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4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198,715,606 shares outstanding as of November 20, 2020, as reported in the Issuer’s Quarterly Report on Form 10-Q filed with the Securities and Exchange Commission on December 4, 2020.</w:t>
      </w:r>
    </w:p>
    <w:p>
      <w:pPr>
        <w:sectPr>
          <w:pgSz w:w="11900" w:h="16838" w:orient="portrait"/>
          <w:cols w:equalWidth="0" w:num="1">
            <w:col w:w="11024"/>
          </w:cols>
          <w:pgMar w:left="436" w:top="270" w:right="439" w:bottom="1440" w:gutter="0" w:footer="0" w:header="0"/>
        </w:sectPr>
      </w:pPr>
    </w:p>
    <w:bookmarkStart w:id="6" w:name="page7"/>
    <w:bookmarkEnd w:id="6"/>
    <w:tbl>
      <w:tblPr>
        <w:tblLayout w:type="fixed"/>
        <w:tblInd w:w="14" w:type="dxa"/>
        <w:tblCellMar>
          <w:top w:w="0" w:type="dxa"/>
          <w:left w:w="0" w:type="dxa"/>
          <w:bottom w:w="0" w:type="dxa"/>
          <w:right w:w="0" w:type="dxa"/>
        </w:tblCellMar>
      </w:tblPr>
      <w:tr>
        <w:trPr>
          <w:trHeight w:val="234"/>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CUSIP No. 98980L101</w:t>
            </w:r>
          </w:p>
        </w:tc>
        <w:tc>
          <w:tcPr>
            <w:tcW w:w="120" w:type="dxa"/>
            <w:vAlign w:val="bottom"/>
          </w:tcPr>
          <w:p>
            <w:pPr>
              <w:spacing w:after="0"/>
              <w:rPr>
                <w:sz w:val="20"/>
                <w:szCs w:val="20"/>
                <w:color w:val="auto"/>
              </w:rPr>
            </w:pPr>
          </w:p>
        </w:tc>
        <w:tc>
          <w:tcPr>
            <w:tcW w:w="6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SCHEDULE 13G</w:t>
            </w:r>
          </w:p>
        </w:tc>
        <w:tc>
          <w:tcPr>
            <w:tcW w:w="23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Page 7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8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SEQUOIA CAPITAL GLOBAL GROWTH FUND II, L.P. (“SC GGFII”)</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2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CAYMAN ISLANDS</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15"/>
                <w:szCs w:val="15"/>
                <w:color w:val="auto"/>
              </w:rPr>
              <w:t>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right="40" w:hanging="424"/>
        <w:spacing w:after="0" w:line="282"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198,715,606 shares outstanding as of November 20, 2020, as reported in the Issuer’s Quarterly Report on Form 10-Q filed with the Securities and Exchange Commission on December 4, 2020.</w:t>
      </w:r>
    </w:p>
    <w:p>
      <w:pPr>
        <w:sectPr>
          <w:pgSz w:w="11900" w:h="16838" w:orient="portrait"/>
          <w:cols w:equalWidth="0" w:num="1">
            <w:col w:w="11024"/>
          </w:cols>
          <w:pgMar w:left="436" w:top="270" w:right="439" w:bottom="1440" w:gutter="0" w:footer="0" w:header="0"/>
        </w:sectPr>
      </w:pPr>
    </w:p>
    <w:bookmarkStart w:id="7" w:name="page8"/>
    <w:bookmarkEnd w:id="7"/>
    <w:p>
      <w:pPr>
        <w:spacing w:after="0"/>
        <w:tabs>
          <w:tab w:leader="none" w:pos="5080" w:val="left"/>
          <w:tab w:leader="none" w:pos="9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98980L101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8"/>
          <w:szCs w:val="18"/>
          <w:color w:val="auto"/>
        </w:rPr>
        <w:t>Page 8 of 16 Pages</w:t>
      </w:r>
    </w:p>
    <w:p>
      <w:pPr>
        <w:spacing w:after="0" w:line="171" w:lineRule="exact"/>
        <w:rPr>
          <w:sz w:val="20"/>
          <w:szCs w:val="20"/>
          <w:color w:val="auto"/>
        </w:rPr>
      </w:pPr>
    </w:p>
    <w:p>
      <w:pPr>
        <w:ind w:left="620" w:hanging="377"/>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5220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3415" cy="522097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SEQUOIA CAPITAL GLOBAL GROWTH II PRINCIPALS FUND, L.P. (“SC GGFII PF”)</w:t>
      </w:r>
    </w:p>
    <w:p>
      <w:pPr>
        <w:spacing w:after="0" w:line="36" w:lineRule="exact"/>
        <w:rPr>
          <w:sz w:val="20"/>
          <w:szCs w:val="20"/>
          <w:color w:val="auto"/>
        </w:rPr>
      </w:pPr>
    </w:p>
    <w:p>
      <w:pPr>
        <w:ind w:left="620" w:hanging="377"/>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right="6740" w:hanging="377"/>
        <w:spacing w:after="0" w:line="406"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ectPr>
          <w:pgSz w:w="11900" w:h="16838" w:orient="portrait"/>
          <w:cols w:equalWidth="0" w:num="1">
            <w:col w:w="11020"/>
          </w:cols>
          <w:pgMar w:left="440" w:top="270" w:right="4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NUMBER OF</w:t>
      </w:r>
    </w:p>
    <w:p>
      <w:pPr>
        <w:spacing w:after="0" w:line="2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WITH</w:t>
      </w:r>
    </w:p>
    <w:p>
      <w:pPr>
        <w:spacing w:after="0" w:line="20" w:lineRule="exact"/>
        <w:rPr>
          <w:sz w:val="20"/>
          <w:szCs w:val="20"/>
          <w:color w:val="auto"/>
        </w:rPr>
      </w:pPr>
      <w:r>
        <w:rPr>
          <w:sz w:val="20"/>
          <w:szCs w:val="20"/>
          <w:color w:val="auto"/>
        </w:rPr>
        <w:br w:type="column"/>
      </w:r>
    </w:p>
    <w:p>
      <w:pPr>
        <w:ind w:left="404" w:hanging="404"/>
        <w:spacing w:after="0"/>
        <w:tabs>
          <w:tab w:leader="none" w:pos="4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404" w:hanging="404"/>
        <w:spacing w:after="0"/>
        <w:tabs>
          <w:tab w:leader="none" w:pos="4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52"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404" w:hanging="404"/>
        <w:spacing w:after="0"/>
        <w:tabs>
          <w:tab w:leader="none" w:pos="4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52" w:lineRule="exact"/>
        <w:rPr>
          <w:sz w:val="20"/>
          <w:szCs w:val="20"/>
          <w:color w:val="auto"/>
        </w:rPr>
      </w:pPr>
    </w:p>
    <w:p>
      <w:pPr>
        <w:ind w:left="40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404" w:right="6480" w:hanging="404"/>
        <w:spacing w:after="0" w:line="406" w:lineRule="auto"/>
        <w:tabs>
          <w:tab w:leader="none" w:pos="4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2" w:lineRule="exact"/>
        <w:rPr>
          <w:sz w:val="20"/>
          <w:szCs w:val="20"/>
          <w:color w:val="auto"/>
        </w:rPr>
      </w:pPr>
    </w:p>
    <w:p>
      <w:pPr>
        <w:sectPr>
          <w:pgSz w:w="11900" w:h="16838" w:orient="portrait"/>
          <w:cols w:equalWidth="0" w:num="2">
            <w:col w:w="1460" w:space="156"/>
            <w:col w:w="9404"/>
          </w:cols>
          <w:pgMar w:left="440" w:top="270" w:right="439" w:bottom="1440" w:gutter="0" w:footer="0" w:header="0"/>
          <w:type w:val="continuous"/>
        </w:sectPr>
      </w:pPr>
    </w:p>
    <w:p>
      <w:pPr>
        <w:ind w:left="600" w:hanging="357"/>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hanging="467"/>
        <w:spacing w:after="0"/>
        <w:tabs>
          <w:tab w:leader="none" w:pos="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460" w:hanging="467"/>
        <w:spacing w:after="0" w:line="400" w:lineRule="auto"/>
        <w:tabs>
          <w:tab w:leader="none" w:pos="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0.0%</w:t>
      </w:r>
      <w:r>
        <w:rPr>
          <w:rFonts w:ascii="Times New Roman" w:cs="Times New Roman" w:eastAsia="Times New Roman" w:hAnsi="Times New Roman"/>
          <w:sz w:val="15"/>
          <w:szCs w:val="15"/>
          <w:color w:val="auto"/>
        </w:rPr>
        <w:t>1</w:t>
      </w:r>
    </w:p>
    <w:p>
      <w:pPr>
        <w:ind w:left="620" w:right="7900" w:hanging="467"/>
        <w:spacing w:after="0" w:line="547" w:lineRule="auto"/>
        <w:tabs>
          <w:tab w:leader="none" w:pos="61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1" w:lineRule="exact"/>
        <w:rPr>
          <w:rFonts w:ascii="Times New Roman" w:cs="Times New Roman" w:eastAsia="Times New Roman" w:hAnsi="Times New Roman"/>
          <w:sz w:val="18"/>
          <w:szCs w:val="18"/>
          <w:color w:val="auto"/>
        </w:rPr>
      </w:pPr>
    </w:p>
    <w:p>
      <w:pPr>
        <w:ind w:left="420" w:right="4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1Based on a total of 198,715,606 shares outstanding as of November 20, 2020, as reported in the Issuer’s Quarterly Report on Form 10-Q filed with the Securities and Exchange Commission on December 4, 2020.</w:t>
      </w:r>
    </w:p>
    <w:p>
      <w:pPr>
        <w:sectPr>
          <w:pgSz w:w="11900" w:h="16838" w:orient="portrait"/>
          <w:cols w:equalWidth="0" w:num="1">
            <w:col w:w="11020"/>
          </w:cols>
          <w:pgMar w:left="440" w:top="270" w:right="439" w:bottom="1440" w:gutter="0" w:footer="0" w:header="0"/>
          <w:type w:val="continuous"/>
        </w:sectPr>
      </w:pPr>
    </w:p>
    <w:bookmarkStart w:id="8" w:name="page9"/>
    <w:bookmarkEnd w:id="8"/>
    <w:tbl>
      <w:tblPr>
        <w:tblLayout w:type="fixed"/>
        <w:tblInd w:w="14" w:type="dxa"/>
        <w:tblCellMar>
          <w:top w:w="0" w:type="dxa"/>
          <w:left w:w="0" w:type="dxa"/>
          <w:bottom w:w="0" w:type="dxa"/>
          <w:right w:w="0" w:type="dxa"/>
        </w:tblCellMar>
      </w:tblPr>
      <w:tr>
        <w:trPr>
          <w:trHeight w:val="234"/>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CUSIP No. 98980L101</w:t>
            </w:r>
          </w:p>
        </w:tc>
        <w:tc>
          <w:tcPr>
            <w:tcW w:w="120" w:type="dxa"/>
            <w:vAlign w:val="bottom"/>
          </w:tcPr>
          <w:p>
            <w:pPr>
              <w:spacing w:after="0"/>
              <w:rPr>
                <w:sz w:val="20"/>
                <w:szCs w:val="20"/>
                <w:color w:val="auto"/>
              </w:rPr>
            </w:pPr>
          </w:p>
        </w:tc>
        <w:tc>
          <w:tcPr>
            <w:tcW w:w="6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SCHEDULE 13G</w:t>
            </w:r>
          </w:p>
        </w:tc>
        <w:tc>
          <w:tcPr>
            <w:tcW w:w="23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Page 9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8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SC GLOBAL GROWTH II MANAGEMENT, L.P. (“SCGGFII MGMT”)</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2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CAYMAN ISLANDS</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15"/>
                <w:szCs w:val="15"/>
                <w:color w:val="auto"/>
              </w:rPr>
              <w:t>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right="40" w:hanging="424"/>
        <w:spacing w:after="0" w:line="282"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198,715,606 shares outstanding as of November 20, 2020, as reported in the Issuer’s Quarterly Report on Form 10-Q filed with the Securities and Exchange Commission on December 4, 2020.</w:t>
      </w:r>
    </w:p>
    <w:p>
      <w:pPr>
        <w:sectPr>
          <w:pgSz w:w="11900" w:h="16838" w:orient="portrait"/>
          <w:cols w:equalWidth="0" w:num="1">
            <w:col w:w="11024"/>
          </w:cols>
          <w:pgMar w:left="436" w:top="270" w:right="439" w:bottom="1440" w:gutter="0" w:footer="0" w:header="0"/>
        </w:sectPr>
      </w:pPr>
    </w:p>
    <w:bookmarkStart w:id="9" w:name="page10"/>
    <w:bookmarkEnd w:id="9"/>
    <w:tbl>
      <w:tblPr>
        <w:tblLayout w:type="fixed"/>
        <w:tblInd w:w="14" w:type="dxa"/>
        <w:tblCellMar>
          <w:top w:w="0" w:type="dxa"/>
          <w:left w:w="0" w:type="dxa"/>
          <w:bottom w:w="0" w:type="dxa"/>
          <w:right w:w="0" w:type="dxa"/>
        </w:tblCellMar>
      </w:tblPr>
      <w:tr>
        <w:trPr>
          <w:trHeight w:val="234"/>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CUSIP No. 98980L101</w:t>
            </w:r>
          </w:p>
        </w:tc>
        <w:tc>
          <w:tcPr>
            <w:tcW w:w="120" w:type="dxa"/>
            <w:vAlign w:val="bottom"/>
          </w:tcPr>
          <w:p>
            <w:pPr>
              <w:spacing w:after="0"/>
              <w:rPr>
                <w:sz w:val="20"/>
                <w:szCs w:val="20"/>
                <w:color w:val="auto"/>
              </w:rPr>
            </w:pPr>
          </w:p>
        </w:tc>
        <w:tc>
          <w:tcPr>
            <w:tcW w:w="678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SCHEDULE 13G</w:t>
            </w:r>
          </w:p>
        </w:tc>
        <w:tc>
          <w:tcPr>
            <w:tcW w:w="24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Page 10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78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SC US (TTGP), LTD. (“SC US TTGP”)</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18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CAYMAN ISLANDS</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7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78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78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78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78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7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780" w:type="dxa"/>
            <w:vAlign w:val="bottom"/>
            <w:vMerge w:val="continue"/>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15"/>
                <w:szCs w:val="15"/>
                <w:color w:val="auto"/>
              </w:rPr>
              <w:t>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right="40" w:hanging="424"/>
        <w:spacing w:after="0" w:line="282"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198,715,606 shares outstanding as of November 20, 2020, as reported in the Issuer’s Quarterly Report on Form 10-Q filed with the Securities and Exchange Commission on December 4, 2020.</w:t>
      </w:r>
    </w:p>
    <w:p>
      <w:pPr>
        <w:sectPr>
          <w:pgSz w:w="11900" w:h="16838" w:orient="portrait"/>
          <w:cols w:equalWidth="0" w:num="1">
            <w:col w:w="11024"/>
          </w:cols>
          <w:pgMar w:left="436" w:top="270" w:right="439" w:bottom="1440" w:gutter="0" w:footer="0" w:header="0"/>
        </w:sectPr>
      </w:pPr>
    </w:p>
    <w:bookmarkStart w:id="10" w:name="page11"/>
    <w:bookmarkEnd w:id="10"/>
    <w:tbl>
      <w:tblPr>
        <w:tblLayout w:type="fixed"/>
        <w:tblInd w:w="14" w:type="dxa"/>
        <w:tblCellMar>
          <w:top w:w="0" w:type="dxa"/>
          <w:left w:w="0" w:type="dxa"/>
          <w:bottom w:w="0" w:type="dxa"/>
          <w:right w:w="0" w:type="dxa"/>
        </w:tblCellMar>
      </w:tblPr>
      <w:tr>
        <w:trPr>
          <w:trHeight w:val="234"/>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CUSIP No. 98980L101</w:t>
            </w:r>
          </w:p>
        </w:tc>
        <w:tc>
          <w:tcPr>
            <w:tcW w:w="120" w:type="dxa"/>
            <w:vAlign w:val="bottom"/>
          </w:tcPr>
          <w:p>
            <w:pPr>
              <w:spacing w:after="0"/>
              <w:rPr>
                <w:sz w:val="20"/>
                <w:szCs w:val="20"/>
                <w:color w:val="auto"/>
              </w:rPr>
            </w:pPr>
          </w:p>
        </w:tc>
        <w:tc>
          <w:tcPr>
            <w:tcW w:w="678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SCHEDULE 13G</w:t>
            </w:r>
          </w:p>
        </w:tc>
        <w:tc>
          <w:tcPr>
            <w:tcW w:w="24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Page 11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78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ROELOF BOTHA (“RB”)</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18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165,351, of which 165,351 shares are Class A common stock</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7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78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78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78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165,351, of which 165,351 shares are Class A common stock</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78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7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780" w:type="dxa"/>
            <w:vAlign w:val="bottom"/>
            <w:vMerge w:val="continue"/>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165,351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Less than 0.1%</w:t>
            </w:r>
            <w:r>
              <w:rPr>
                <w:rFonts w:ascii="Times New Roman" w:cs="Times New Roman" w:eastAsia="Times New Roman" w:hAnsi="Times New Roman"/>
                <w:sz w:val="15"/>
                <w:szCs w:val="15"/>
                <w:color w:val="auto"/>
              </w:rPr>
              <w:t>1</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40" w:hanging="424"/>
        <w:spacing w:after="0" w:line="282"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198,715,606 shares outstanding as of November 20, 2020, as reported in the Issuer’s Quarterly Report on Form 10-Q filed with the Securities and Exchange Commission on December 4, 2020.</w:t>
      </w:r>
    </w:p>
    <w:p>
      <w:pPr>
        <w:sectPr>
          <w:pgSz w:w="11900" w:h="16838" w:orient="portrait"/>
          <w:cols w:equalWidth="0" w:num="1">
            <w:col w:w="11024"/>
          </w:cols>
          <w:pgMar w:left="436" w:top="270" w:right="439" w:bottom="1440" w:gutter="0" w:footer="0" w:header="0"/>
        </w:sectPr>
      </w:pPr>
    </w:p>
    <w:bookmarkStart w:id="11" w:name="page12"/>
    <w:bookmarkEnd w:id="11"/>
    <w:tbl>
      <w:tblPr>
        <w:tblLayout w:type="fixed"/>
        <w:tblInd w:w="14" w:type="dxa"/>
        <w:tblCellMar>
          <w:top w:w="0" w:type="dxa"/>
          <w:left w:w="0" w:type="dxa"/>
          <w:bottom w:w="0" w:type="dxa"/>
          <w:right w:w="0" w:type="dxa"/>
        </w:tblCellMar>
      </w:tblPr>
      <w:tr>
        <w:trPr>
          <w:trHeight w:val="234"/>
        </w:trPr>
        <w:tc>
          <w:tcPr>
            <w:tcW w:w="17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CUSIP No. 98980L101</w:t>
            </w:r>
          </w:p>
        </w:tc>
        <w:tc>
          <w:tcPr>
            <w:tcW w:w="120" w:type="dxa"/>
            <w:vAlign w:val="bottom"/>
          </w:tcPr>
          <w:p>
            <w:pPr>
              <w:spacing w:after="0"/>
              <w:rPr>
                <w:sz w:val="20"/>
                <w:szCs w:val="20"/>
                <w:color w:val="auto"/>
              </w:rPr>
            </w:pPr>
          </w:p>
        </w:tc>
        <w:tc>
          <w:tcPr>
            <w:tcW w:w="678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SCHEDULE 13G</w:t>
            </w:r>
          </w:p>
        </w:tc>
        <w:tc>
          <w:tcPr>
            <w:tcW w:w="24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Page 12 of 16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78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1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DOUGLAS LEONE (“DL”)</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18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w:t>
            </w:r>
          </w:p>
        </w:tc>
        <w:tc>
          <w:tcPr>
            <w:tcW w:w="690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USA</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20"/>
                <w:szCs w:val="20"/>
                <w:color w:val="auto"/>
              </w:rPr>
            </w:pPr>
          </w:p>
        </w:tc>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7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678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5"/>
                <w:szCs w:val="15"/>
                <w:color w:val="auto"/>
              </w:rPr>
            </w:pPr>
          </w:p>
        </w:tc>
        <w:tc>
          <w:tcPr>
            <w:tcW w:w="678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78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78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2"/>
                <w:szCs w:val="12"/>
                <w:color w:val="auto"/>
              </w:rPr>
            </w:pPr>
          </w:p>
        </w:tc>
        <w:tc>
          <w:tcPr>
            <w:tcW w:w="67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6780" w:type="dxa"/>
            <w:vAlign w:val="bottom"/>
            <w:vMerge w:val="continue"/>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1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15"/>
                <w:szCs w:val="15"/>
                <w:color w:val="auto"/>
              </w:rPr>
              <w:t>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1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40" w:hanging="424"/>
        <w:spacing w:after="0" w:line="282"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198,715,606 shares outstanding as of November 20, 2020, as reported in the Issuer’s Quarterly Report on Form 10-Q filed with the Securities and Exchange Commission on December 4, 2020.</w:t>
      </w:r>
    </w:p>
    <w:p>
      <w:pPr>
        <w:sectPr>
          <w:pgSz w:w="11900" w:h="16838" w:orient="portrait"/>
          <w:cols w:equalWidth="0" w:num="1">
            <w:col w:w="11024"/>
          </w:cols>
          <w:pgMar w:left="436" w:top="270" w:right="439" w:bottom="1440" w:gutter="0" w:footer="0" w:header="0"/>
        </w:sectPr>
      </w:pPr>
    </w:p>
    <w:bookmarkStart w:id="12" w:name="page13"/>
    <w:bookmarkEnd w:id="12"/>
    <w:p>
      <w:pPr>
        <w:ind w:left="4"/>
        <w:spacing w:after="0"/>
        <w:tabs>
          <w:tab w:leader="none" w:pos="5084" w:val="left"/>
          <w:tab w:leader="none" w:pos="95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98980L101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13 of 16 Pages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1.</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Name of Issuer: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Zoom Video Communications, Inc.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Address of Issuer’s Principal Executive Offices: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55 Almaden Boulevard, 6th Floor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 Jose, California 95113</w:t>
      </w:r>
    </w:p>
    <w:p>
      <w:pPr>
        <w:spacing w:after="0" w:line="3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2.</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Name of Persons Filing: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Sequoia Capital U.S. Growth Fund V, L.P.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SCGF V Management, L.P.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Sequoia Capital U.S. Growth Fund VII, L.P.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Sequoia Capital U.S. Growth VII Principals Fund, L.P.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 U.S. Growth VII Management, L.P.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Sequoia Capital Global Growth Fund II, L.P.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Sequoia Capital Global Growth II Principals Fund, L.P.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 Global Growth II Management, L.P.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 US (TTGP), LTD.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Roelof Botha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Douglas Leone</w:t>
      </w:r>
    </w:p>
    <w:p>
      <w:pPr>
        <w:spacing w:after="0" w:line="207" w:lineRule="exact"/>
        <w:rPr>
          <w:sz w:val="20"/>
          <w:szCs w:val="20"/>
          <w:color w:val="auto"/>
        </w:rPr>
      </w:pPr>
    </w:p>
    <w:p>
      <w:pPr>
        <w:ind w:left="4" w:right="240"/>
        <w:spacing w:after="0" w:line="261" w:lineRule="auto"/>
        <w:rPr>
          <w:sz w:val="20"/>
          <w:szCs w:val="20"/>
          <w:color w:val="auto"/>
        </w:rPr>
      </w:pPr>
      <w:r>
        <w:rPr>
          <w:rFonts w:ascii="Times New Roman" w:cs="Times New Roman" w:eastAsia="Times New Roman" w:hAnsi="Times New Roman"/>
          <w:sz w:val="18"/>
          <w:szCs w:val="18"/>
          <w:color w:val="auto"/>
        </w:rPr>
        <w:t>The General Partner of SC USGF V is SCGF V MGMT. The General Partner of each of SC USGF VII and SC USGF VII PF is SC USG VII MGMT. The General Partner of each of SC GGFII and SC GGFII PF is SCGGFII MGMT. The General Partner of each of SCGF V MGMT, SC USG VII MGMT and SCGGFII MGMT is SC US TTGP. The directors and stockholders of SC US TTGP who exercise voting and investment discretion with respect to the shares held by SC GGFII and SC GGFII PF are Messrs. DL and RB.</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Address of Principal Business Office or, if none, Residence: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2800 Sand Hill Road, Suite 101</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 Citizenship:</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 USGF V, SCGF V MGMT, SC USGF VII, SC USGF VII PF, SC USG VII MGMT, SC GGFII, SC GGFII PF, SCGGFII MGMT, SC US TTGP: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Cayman Islands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RB, DL: USA</w:t>
      </w:r>
    </w:p>
    <w:p>
      <w:pPr>
        <w:spacing w:after="0" w:line="207" w:lineRule="exact"/>
        <w:rPr>
          <w:sz w:val="20"/>
          <w:szCs w:val="20"/>
          <w:color w:val="auto"/>
        </w:rPr>
      </w:pPr>
    </w:p>
    <w:p>
      <w:pPr>
        <w:ind w:left="4" w:right="9580" w:hanging="4"/>
        <w:spacing w:after="0" w:line="578" w:lineRule="auto"/>
        <w:tabs>
          <w:tab w:leader="none" w:pos="25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98980L101</w:t>
      </w:r>
    </w:p>
    <w:p>
      <w:pPr>
        <w:spacing w:after="0" w:line="71"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§§240.13d-1(b) or 240.13d-2(b) or (c), check whether the person filing is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OWNERSHIP</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SEE ROWS 5 THROUGH 11 OF COVER PAGES</w:t>
      </w:r>
    </w:p>
    <w:p>
      <w:pPr>
        <w:spacing w:after="0" w:line="37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117" w:lineRule="exact"/>
        <w:rPr>
          <w:sz w:val="20"/>
          <w:szCs w:val="20"/>
          <w:color w:val="auto"/>
        </w:rPr>
      </w:pPr>
    </w:p>
    <w:p>
      <w:pPr>
        <w:ind w:left="4" w:right="32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270" w:right="439" w:bottom="1440" w:gutter="0" w:footer="0" w:header="0"/>
        </w:sectPr>
      </w:pPr>
    </w:p>
    <w:bookmarkStart w:id="13" w:name="page14"/>
    <w:bookmarkEnd w:id="13"/>
    <w:p>
      <w:pPr>
        <w:spacing w:after="0"/>
        <w:tabs>
          <w:tab w:leader="none" w:pos="50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98980L101</w:t>
      </w:r>
      <w:r>
        <w:rPr>
          <w:sz w:val="20"/>
          <w:szCs w:val="20"/>
          <w:color w:val="auto"/>
        </w:rPr>
        <w:tab/>
      </w:r>
      <w:r>
        <w:rPr>
          <w:rFonts w:ascii="Times New Roman" w:cs="Times New Roman" w:eastAsia="Times New Roman" w:hAnsi="Times New Roman"/>
          <w:sz w:val="17"/>
          <w:szCs w:val="17"/>
          <w:color w:val="auto"/>
        </w:rPr>
        <w:t>SCHEDULE 13G</w:t>
      </w:r>
    </w:p>
    <w:p>
      <w:pPr>
        <w:spacing w:after="0" w:line="15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14 of 16 Pages</w:t>
      </w:r>
    </w:p>
    <w:p>
      <w:pPr>
        <w:spacing w:after="0" w:line="575" w:lineRule="exact"/>
        <w:rPr>
          <w:sz w:val="20"/>
          <w:szCs w:val="20"/>
          <w:color w:val="auto"/>
        </w:rPr>
      </w:pPr>
    </w:p>
    <w:p>
      <w:pPr>
        <w:sectPr>
          <w:pgSz w:w="11900" w:h="16838" w:orient="portrait"/>
          <w:cols w:equalWidth="0" w:num="2">
            <w:col w:w="8840" w:space="720"/>
            <w:col w:w="1460"/>
          </w:cols>
          <w:pgMar w:left="440" w:top="270" w:right="4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385" w:lineRule="exact"/>
        <w:rPr>
          <w:sz w:val="20"/>
          <w:szCs w:val="20"/>
          <w:color w:val="auto"/>
        </w:rPr>
      </w:pPr>
    </w:p>
    <w:p>
      <w:pPr>
        <w:ind w:left="1200" w:right="200" w:hanging="1200"/>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color w:val="auto"/>
        </w:rPr>
        <w:t>IDENTIFICATION AND CLASSIFICATION OF MEMBERS OF THE GROUP.</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color w:val="auto"/>
        </w:rPr>
        <w:t>NOTICE OF DISSOLUTION OF GROUP.</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70" w:right="439" w:bottom="1440" w:gutter="0" w:footer="0" w:header="0"/>
          <w:type w:val="continuous"/>
        </w:sectPr>
      </w:pPr>
    </w:p>
    <w:bookmarkStart w:id="14" w:name="page15"/>
    <w:bookmarkEnd w:id="14"/>
    <w:p>
      <w:pPr>
        <w:spacing w:after="0"/>
        <w:tabs>
          <w:tab w:leader="none" w:pos="508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98980L101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15 of 16 Pages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16, 2021</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Sequoia Capital U.S. Growth Fund V,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SCGF V Management, L.P.</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Douglas Leone,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SCGF V Management,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Douglas Leone,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Sequoia Capital U.S. Growth Fund VII, 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Sequoia Capital U.S. Growth VII Principals Fund, L.P.</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 U.S. Growth VII Management, L.P.</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Douglas Leone,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SC U.S. Growth VII Management,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Douglas Leone, Director</w:t>
      </w:r>
    </w:p>
    <w:p>
      <w:pPr>
        <w:sectPr>
          <w:pgSz w:w="11900" w:h="16838" w:orient="portrait"/>
          <w:cols w:equalWidth="0" w:num="1">
            <w:col w:w="11020"/>
          </w:cols>
          <w:pgMar w:left="440" w:top="270" w:right="439" w:bottom="1440" w:gutter="0" w:footer="0" w:header="0"/>
        </w:sectPr>
      </w:pPr>
    </w:p>
    <w:bookmarkStart w:id="15" w:name="page16"/>
    <w:bookmarkEnd w:id="15"/>
    <w:p>
      <w:pPr>
        <w:spacing w:after="0"/>
        <w:tabs>
          <w:tab w:leader="none" w:pos="5080" w:val="left"/>
          <w:tab w:leader="none" w:pos="9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98980L101</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16 of 16 Pages</w:t>
      </w:r>
    </w:p>
    <w:p>
      <w:pPr>
        <w:sectPr>
          <w:pgSz w:w="11900" w:h="16838" w:orient="portrait"/>
          <w:cols w:equalWidth="0" w:num="1">
            <w:col w:w="11020"/>
          </w:cols>
          <w:pgMar w:left="440" w:top="270" w:right="439" w:bottom="1440" w:gutter="0" w:footer="0" w:header="0"/>
        </w:sectPr>
      </w:pPr>
    </w:p>
    <w:p>
      <w:pPr>
        <w:spacing w:after="0" w:line="15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Sequoia Capital Global Growth Fund II, L.P. Sequoia</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Capital Global Growth II Principals Fund, L.P.</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 Global Growth II Management, L.P.</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Douglas Leone,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SC Global Growth II Management,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 US (TTGP), Ltd.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Douglas Leone,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SC US (TTGP), Ltd.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Douglas Leone,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Roelof Botha</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Roelof Botha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Roelof Botha</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Douglas Leone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Douglas Leone</w:t>
      </w:r>
    </w:p>
    <w:sectPr>
      <w:pgSz w:w="11900" w:h="16838" w:orient="portrait"/>
      <w:cols w:equalWidth="0" w:num="1">
        <w:col w:w="11020"/>
      </w:cols>
      <w:pgMar w:left="44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lvl w:ilvl="1">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
      <w:numFmt w:val="bullet"/>
      <w:start w:val="1"/>
    </w:lvl>
  </w:abstractNum>
  <w:abstractNum w:abstractNumId="3">
    <w:nsid w:val="3F2DBA31"/>
    <w:multiLevelType w:val="hybridMultilevel"/>
    <w:lvl w:ilvl="0">
      <w:lvlJc w:val="left"/>
      <w:lvlText w:val="1"/>
      <w:numFmt w:val="bullet"/>
      <w:start w:val="1"/>
    </w:lvl>
  </w:abstractNum>
  <w:abstractNum w:abstractNumId="4">
    <w:nsid w:val="7C83E458"/>
    <w:multiLevelType w:val="hybridMultilevel"/>
    <w:lvl w:ilvl="0">
      <w:lvlJc w:val="left"/>
      <w:lvlText w:val="1"/>
      <w:numFmt w:val="bullet"/>
      <w:start w:val="1"/>
    </w:lvl>
  </w:abstractNum>
  <w:abstractNum w:abstractNumId="5">
    <w:nsid w:val="257130A3"/>
    <w:multiLevelType w:val="hybridMultilevel"/>
    <w:lvl w:ilvl="0">
      <w:lvlJc w:val="left"/>
      <w:lvlText w:val="1"/>
      <w:numFmt w:val="bullet"/>
      <w:start w:val="1"/>
    </w:lvl>
  </w:abstractNum>
  <w:abstractNum w:abstractNumId="6">
    <w:nsid w:val="62BBD95A"/>
    <w:multiLevelType w:val="hybridMultilevel"/>
    <w:lvl w:ilvl="0">
      <w:lvlJc w:val="left"/>
      <w:lvlText w:val="1"/>
      <w:numFmt w:val="bullet"/>
      <w:start w:val="1"/>
    </w:lvl>
  </w:abstractNum>
  <w:abstractNum w:abstractNumId="7">
    <w:nsid w:val="436C6125"/>
    <w:multiLevelType w:val="hybridMultilevel"/>
    <w:lvl w:ilvl="0">
      <w:lvlJc w:val="left"/>
      <w:lvlText w:val="2"/>
      <w:numFmt w:val="bullet"/>
      <w:start w:val="1"/>
    </w:lvl>
  </w:abstractNum>
  <w:abstractNum w:abstractNumId="8">
    <w:nsid w:val="628C895D"/>
    <w:multiLevelType w:val="hybridMultilevel"/>
    <w:lvl w:ilvl="0">
      <w:lvlJc w:val="left"/>
      <w:lvlText w:val="3"/>
      <w:numFmt w:val="bullet"/>
      <w:start w:val="1"/>
    </w:lvl>
  </w:abstractNum>
  <w:abstractNum w:abstractNumId="9">
    <w:nsid w:val="333AB105"/>
    <w:multiLevelType w:val="hybridMultilevel"/>
    <w:lvl w:ilvl="0">
      <w:lvlJc w:val="left"/>
      <w:lvlText w:val="4"/>
      <w:numFmt w:val="bullet"/>
      <w:start w:val="1"/>
    </w:lvl>
  </w:abstractNum>
  <w:abstractNum w:abstractNumId="10">
    <w:nsid w:val="721DA317"/>
    <w:multiLevelType w:val="hybridMultilevel"/>
    <w:lvl w:ilvl="0">
      <w:lvlJc w:val="left"/>
      <w:lvlText w:val="5"/>
      <w:numFmt w:val="bullet"/>
      <w:start w:val="1"/>
    </w:lvl>
  </w:abstractNum>
  <w:abstractNum w:abstractNumId="11">
    <w:nsid w:val="2443A858"/>
    <w:multiLevelType w:val="hybridMultilevel"/>
    <w:lvl w:ilvl="0">
      <w:lvlJc w:val="left"/>
      <w:lvlText w:val="6"/>
      <w:numFmt w:val="bullet"/>
      <w:start w:val="1"/>
    </w:lvl>
  </w:abstractNum>
  <w:abstractNum w:abstractNumId="12">
    <w:nsid w:val="2D1D5AE9"/>
    <w:multiLevelType w:val="hybridMultilevel"/>
    <w:lvl w:ilvl="0">
      <w:lvlJc w:val="left"/>
      <w:lvlText w:val="7"/>
      <w:numFmt w:val="bullet"/>
      <w:start w:val="1"/>
    </w:lvl>
  </w:abstractNum>
  <w:abstractNum w:abstractNumId="13">
    <w:nsid w:val="6763845E"/>
    <w:multiLevelType w:val="hybridMultilevel"/>
    <w:lvl w:ilvl="0">
      <w:lvlJc w:val="left"/>
      <w:lvlText w:val="8"/>
      <w:numFmt w:val="bullet"/>
      <w:start w:val="1"/>
    </w:lvl>
  </w:abstractNum>
  <w:abstractNum w:abstractNumId="14">
    <w:nsid w:val="75A2A8D4"/>
    <w:multiLevelType w:val="hybridMultilevel"/>
    <w:lvl w:ilvl="0">
      <w:lvlJc w:val="left"/>
      <w:lvlText w:val="9"/>
      <w:numFmt w:val="bullet"/>
      <w:start w:val="1"/>
    </w:lvl>
  </w:abstractNum>
  <w:abstractNum w:abstractNumId="15">
    <w:nsid w:val="8EDBDAB"/>
    <w:multiLevelType w:val="hybridMultilevel"/>
    <w:lvl w:ilvl="0">
      <w:lvlJc w:val="left"/>
      <w:lvlText w:val="%1"/>
      <w:numFmt w:val="decimal"/>
      <w:start w:val="1"/>
    </w:lvl>
    <w:lvl w:ilvl="1">
      <w:lvlJc w:val="left"/>
      <w:lvlText w:val="%2"/>
      <w:numFmt w:val="decimal"/>
      <w:start w:val="10"/>
    </w:lvl>
  </w:abstractNum>
  <w:abstractNum w:abstractNumId="16">
    <w:nsid w:val="79838CB2"/>
    <w:multiLevelType w:val="hybridMultilevel"/>
    <w:lvl w:ilvl="0">
      <w:lvlJc w:val="left"/>
      <w:lvlText w:val="1"/>
      <w:numFmt w:val="bullet"/>
      <w:start w:val="1"/>
    </w:lvl>
  </w:abstractNum>
  <w:abstractNum w:abstractNumId="17">
    <w:nsid w:val="4353D0CD"/>
    <w:multiLevelType w:val="hybridMultilevel"/>
    <w:lvl w:ilvl="0">
      <w:lvlJc w:val="left"/>
      <w:lvlText w:val="1"/>
      <w:numFmt w:val="bullet"/>
      <w:start w:val="1"/>
    </w:lvl>
  </w:abstractNum>
  <w:abstractNum w:abstractNumId="18">
    <w:nsid w:val="B03E0C6"/>
    <w:multiLevelType w:val="hybridMultilevel"/>
    <w:lvl w:ilvl="0">
      <w:lvlJc w:val="left"/>
      <w:lvlText w:val="1"/>
      <w:numFmt w:val="bullet"/>
      <w:start w:val="1"/>
    </w:lvl>
  </w:abstractNum>
  <w:abstractNum w:abstractNumId="19">
    <w:nsid w:val="189A769B"/>
    <w:multiLevelType w:val="hybridMultilevel"/>
    <w:lvl w:ilvl="0">
      <w:lvlJc w:val="left"/>
      <w:lvlText w:val="2"/>
      <w:numFmt w:val="bullet"/>
      <w:start w:val="1"/>
    </w:lvl>
  </w:abstractNum>
  <w:abstractNum w:abstractNumId="20">
    <w:nsid w:val="54E49EB4"/>
    <w:multiLevelType w:val="hybridMultilevel"/>
    <w:lvl w:ilvl="0">
      <w:lvlJc w:val="left"/>
      <w:lvlText w:val="3"/>
      <w:numFmt w:val="bullet"/>
      <w:start w:val="1"/>
    </w:lvl>
  </w:abstractNum>
  <w:abstractNum w:abstractNumId="21">
    <w:nsid w:val="71F32454"/>
    <w:multiLevelType w:val="hybridMultilevel"/>
    <w:lvl w:ilvl="0">
      <w:lvlJc w:val="left"/>
      <w:lvlText w:val="4"/>
      <w:numFmt w:val="bullet"/>
      <w:start w:val="1"/>
    </w:lvl>
  </w:abstractNum>
  <w:abstractNum w:abstractNumId="22">
    <w:nsid w:val="2CA88611"/>
    <w:multiLevelType w:val="hybridMultilevel"/>
    <w:lvl w:ilvl="0">
      <w:lvlJc w:val="left"/>
      <w:lvlText w:val="5"/>
      <w:numFmt w:val="bullet"/>
      <w:start w:val="1"/>
    </w:lvl>
  </w:abstractNum>
  <w:abstractNum w:abstractNumId="23">
    <w:nsid w:val="836C40E"/>
    <w:multiLevelType w:val="hybridMultilevel"/>
    <w:lvl w:ilvl="0">
      <w:lvlJc w:val="left"/>
      <w:lvlText w:val="6"/>
      <w:numFmt w:val="bullet"/>
      <w:start w:val="1"/>
    </w:lvl>
  </w:abstractNum>
  <w:abstractNum w:abstractNumId="24">
    <w:nsid w:val="2901D82"/>
    <w:multiLevelType w:val="hybridMultilevel"/>
    <w:lvl w:ilvl="0">
      <w:lvlJc w:val="left"/>
      <w:lvlText w:val="7"/>
      <w:numFmt w:val="bullet"/>
      <w:start w:val="1"/>
    </w:lvl>
  </w:abstractNum>
  <w:abstractNum w:abstractNumId="25">
    <w:nsid w:val="3A95F874"/>
    <w:multiLevelType w:val="hybridMultilevel"/>
    <w:lvl w:ilvl="0">
      <w:lvlJc w:val="left"/>
      <w:lvlText w:val="8"/>
      <w:numFmt w:val="bullet"/>
      <w:start w:val="1"/>
    </w:lvl>
  </w:abstractNum>
  <w:abstractNum w:abstractNumId="26">
    <w:nsid w:val="8138641"/>
    <w:multiLevelType w:val="hybridMultilevel"/>
    <w:lvl w:ilvl="0">
      <w:lvlJc w:val="left"/>
      <w:lvlText w:val="9"/>
      <w:numFmt w:val="bullet"/>
      <w:start w:val="1"/>
    </w:lvl>
  </w:abstractNum>
  <w:abstractNum w:abstractNumId="27">
    <w:nsid w:val="1E7FF521"/>
    <w:multiLevelType w:val="hybridMultilevel"/>
    <w:lvl w:ilvl="0">
      <w:lvlJc w:val="left"/>
      <w:lvlText w:val="%1"/>
      <w:numFmt w:val="decimal"/>
      <w:start w:val="1"/>
    </w:lvl>
    <w:lvl w:ilvl="1">
      <w:lvlJc w:val="left"/>
      <w:lvlText w:val="%2"/>
      <w:numFmt w:val="decimal"/>
      <w:start w:val="10"/>
    </w:lvl>
  </w:abstractNum>
  <w:abstractNum w:abstractNumId="28">
    <w:nsid w:val="7C3DBD3D"/>
    <w:multiLevelType w:val="hybridMultilevel"/>
    <w:lvl w:ilvl="0">
      <w:lvlJc w:val="left"/>
      <w:lvlText w:val="1"/>
      <w:numFmt w:val="bullet"/>
      <w:start w:val="1"/>
    </w:lvl>
  </w:abstractNum>
  <w:abstractNum w:abstractNumId="29">
    <w:nsid w:val="737B8DDC"/>
    <w:multiLevelType w:val="hybridMultilevel"/>
    <w:lvl w:ilvl="0">
      <w:lvlJc w:val="left"/>
      <w:lvlText w:val="1"/>
      <w:numFmt w:val="bullet"/>
      <w:start w:val="1"/>
    </w:lvl>
  </w:abstractNum>
  <w:abstractNum w:abstractNumId="30">
    <w:nsid w:val="6CEAF087"/>
    <w:multiLevelType w:val="hybridMultilevel"/>
    <w:lvl w:ilvl="0">
      <w:lvlJc w:val="left"/>
      <w:lvlText w:val="1"/>
      <w:numFmt w:val="bullet"/>
      <w:start w:val="1"/>
    </w:lvl>
  </w:abstractNum>
  <w:abstractNum w:abstractNumId="31">
    <w:nsid w:val="22221A70"/>
    <w:multiLevelType w:val="hybridMultilevel"/>
    <w:lvl w:ilvl="0">
      <w:lvlJc w:val="left"/>
      <w:lvlText w:val="1"/>
      <w:numFmt w:val="bullet"/>
      <w:start w:val="1"/>
    </w:lvl>
  </w:abstractNum>
  <w:abstractNum w:abstractNumId="32">
    <w:nsid w:val="4516DDE9"/>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2021-02-16T06:07:16Z</dcterms:created>
  <dcterms:modified xsi:type="dcterms:W3CDTF">2021-02-16T06:07:16Z</dcterms:modified>
</cp:coreProperties>
</file>