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679450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704215</wp:posOffset>
            </wp:positionV>
            <wp:extent cx="712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8255"/>
                    </a:xfrm>
                    <a:prstGeom prst="rect">
                      <a:avLst/>
                    </a:prstGeom>
                    <a:noFill/>
                  </pic:spPr>
                </pic:pic>
              </a:graphicData>
            </a:graphic>
          </wp:anchor>
        </w:drawing>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5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August 21, 2025</w:t>
      </w:r>
    </w:p>
    <w:p>
      <w:pPr>
        <w:spacing w:after="0" w:line="3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Zoom Communications, Inc.</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28" w:lineRule="exact"/>
        <w:rPr>
          <w:sz w:val="24"/>
          <w:szCs w:val="24"/>
          <w:color w:val="auto"/>
        </w:rPr>
      </w:pPr>
    </w:p>
    <w:tbl>
      <w:tblPr>
        <w:tblLayout w:type="fixed"/>
        <w:tblInd w:w="1060" w:type="dxa"/>
        <w:tblCellMar>
          <w:top w:w="0" w:type="dxa"/>
          <w:left w:w="0" w:type="dxa"/>
          <w:bottom w:w="0" w:type="dxa"/>
          <w:right w:w="0" w:type="dxa"/>
        </w:tblCellMar>
      </w:tblPr>
      <w:tr>
        <w:trPr>
          <w:trHeight w:val="246"/>
        </w:trPr>
        <w:tc>
          <w:tcPr>
            <w:tcW w:w="2120" w:type="dxa"/>
            <w:vAlign w:val="bottom"/>
          </w:tcPr>
          <w:p>
            <w:pPr>
              <w:jc w:val="center"/>
              <w:ind w:right="403"/>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5020" w:type="dxa"/>
            <w:vAlign w:val="bottom"/>
          </w:tcPr>
          <w:p>
            <w:pPr>
              <w:jc w:val="center"/>
              <w:ind w:right="77"/>
              <w:spacing w:after="0"/>
              <w:rPr>
                <w:sz w:val="20"/>
                <w:szCs w:val="20"/>
                <w:color w:val="auto"/>
              </w:rPr>
            </w:pPr>
            <w:r>
              <w:rPr>
                <w:rFonts w:ascii="Times New Roman" w:cs="Times New Roman" w:eastAsia="Times New Roman" w:hAnsi="Times New Roman"/>
                <w:sz w:val="19"/>
                <w:szCs w:val="19"/>
                <w:b w:val="1"/>
                <w:bCs w:val="1"/>
                <w:color w:val="auto"/>
                <w:w w:val="99"/>
              </w:rPr>
              <w:t>001-38865</w:t>
            </w: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9"/>
                <w:szCs w:val="19"/>
                <w:b w:val="1"/>
                <w:bCs w:val="1"/>
                <w:color w:val="auto"/>
              </w:rPr>
              <w:t>61-1648780</w:t>
            </w:r>
          </w:p>
        </w:tc>
        <w:tc>
          <w:tcPr>
            <w:tcW w:w="0" w:type="dxa"/>
            <w:vAlign w:val="bottom"/>
          </w:tcPr>
          <w:p>
            <w:pPr>
              <w:spacing w:after="0"/>
              <w:rPr>
                <w:sz w:val="1"/>
                <w:szCs w:val="1"/>
                <w:color w:val="auto"/>
              </w:rPr>
            </w:pPr>
          </w:p>
        </w:tc>
      </w:tr>
      <w:tr>
        <w:trPr>
          <w:trHeight w:val="142"/>
        </w:trPr>
        <w:tc>
          <w:tcPr>
            <w:tcW w:w="2120" w:type="dxa"/>
            <w:vAlign w:val="bottom"/>
          </w:tcPr>
          <w:p>
            <w:pPr>
              <w:jc w:val="center"/>
              <w:ind w:right="403"/>
              <w:spacing w:after="0" w:line="142" w:lineRule="exact"/>
              <w:rPr>
                <w:sz w:val="20"/>
                <w:szCs w:val="20"/>
                <w:color w:val="auto"/>
              </w:rPr>
            </w:pPr>
            <w:r>
              <w:rPr>
                <w:rFonts w:ascii="Times New Roman" w:cs="Times New Roman" w:eastAsia="Times New Roman" w:hAnsi="Times New Roman"/>
                <w:sz w:val="14"/>
                <w:szCs w:val="14"/>
                <w:b w:val="1"/>
                <w:bCs w:val="1"/>
                <w:color w:val="auto"/>
                <w:w w:val="98"/>
              </w:rPr>
              <w:t>(State or Other Jurisdiction</w:t>
            </w:r>
          </w:p>
        </w:tc>
        <w:tc>
          <w:tcPr>
            <w:tcW w:w="502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(Commission File Number)</w:t>
            </w:r>
          </w:p>
        </w:tc>
        <w:tc>
          <w:tcPr>
            <w:tcW w:w="1700" w:type="dxa"/>
            <w:vAlign w:val="bottom"/>
          </w:tcPr>
          <w:p>
            <w:pPr>
              <w:jc w:val="center"/>
              <w:ind w:left="543"/>
              <w:spacing w:after="0" w:line="142" w:lineRule="exact"/>
              <w:rPr>
                <w:sz w:val="20"/>
                <w:szCs w:val="20"/>
                <w:color w:val="auto"/>
              </w:rPr>
            </w:pPr>
            <w:r>
              <w:rPr>
                <w:rFonts w:ascii="Times New Roman" w:cs="Times New Roman" w:eastAsia="Times New Roman" w:hAnsi="Times New Roman"/>
                <w:sz w:val="14"/>
                <w:szCs w:val="14"/>
                <w:b w:val="1"/>
                <w:bCs w:val="1"/>
                <w:color w:val="auto"/>
                <w:w w:val="97"/>
              </w:rPr>
              <w:t>(IRS Employer</w:t>
            </w:r>
          </w:p>
        </w:tc>
        <w:tc>
          <w:tcPr>
            <w:tcW w:w="0" w:type="dxa"/>
            <w:vAlign w:val="bottom"/>
          </w:tcPr>
          <w:p>
            <w:pPr>
              <w:spacing w:after="0"/>
              <w:rPr>
                <w:sz w:val="1"/>
                <w:szCs w:val="1"/>
                <w:color w:val="auto"/>
              </w:rPr>
            </w:pPr>
          </w:p>
        </w:tc>
      </w:tr>
      <w:tr>
        <w:trPr>
          <w:trHeight w:val="183"/>
        </w:trPr>
        <w:tc>
          <w:tcPr>
            <w:tcW w:w="2120" w:type="dxa"/>
            <w:vAlign w:val="bottom"/>
          </w:tcPr>
          <w:p>
            <w:pPr>
              <w:jc w:val="center"/>
              <w:ind w:right="423"/>
              <w:spacing w:after="0"/>
              <w:rPr>
                <w:sz w:val="20"/>
                <w:szCs w:val="20"/>
                <w:color w:val="auto"/>
              </w:rPr>
            </w:pPr>
            <w:r>
              <w:rPr>
                <w:rFonts w:ascii="Times New Roman" w:cs="Times New Roman" w:eastAsia="Times New Roman" w:hAnsi="Times New Roman"/>
                <w:sz w:val="14"/>
                <w:szCs w:val="14"/>
                <w:b w:val="1"/>
                <w:bCs w:val="1"/>
                <w:color w:val="auto"/>
                <w:w w:val="98"/>
              </w:rPr>
              <w:t>of Incorporation)</w:t>
            </w:r>
          </w:p>
        </w:tc>
        <w:tc>
          <w:tcPr>
            <w:tcW w:w="5020" w:type="dxa"/>
            <w:vAlign w:val="bottom"/>
            <w:vMerge w:val="continue"/>
          </w:tcPr>
          <w:p>
            <w:pPr>
              <w:spacing w:after="0"/>
              <w:rPr>
                <w:sz w:val="15"/>
                <w:szCs w:val="15"/>
                <w:color w:val="auto"/>
              </w:rPr>
            </w:pP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c>
          <w:tcPr>
            <w:tcW w:w="0" w:type="dxa"/>
            <w:vAlign w:val="bottom"/>
          </w:tcPr>
          <w:p>
            <w:pPr>
              <w:spacing w:after="0"/>
              <w:rPr>
                <w:sz w:val="1"/>
                <w:szCs w:val="1"/>
                <w:color w:val="auto"/>
              </w:rPr>
            </w:pPr>
          </w:p>
        </w:tc>
      </w:tr>
      <w:tr>
        <w:trPr>
          <w:trHeight w:val="347"/>
        </w:trPr>
        <w:tc>
          <w:tcPr>
            <w:tcW w:w="2120" w:type="dxa"/>
            <w:vAlign w:val="bottom"/>
          </w:tcPr>
          <w:p>
            <w:pPr>
              <w:spacing w:after="0"/>
              <w:rPr>
                <w:sz w:val="24"/>
                <w:szCs w:val="24"/>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9"/>
                <w:szCs w:val="19"/>
                <w:b w:val="1"/>
                <w:bCs w:val="1"/>
                <w:color w:val="auto"/>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120" w:type="dxa"/>
            <w:vAlign w:val="bottom"/>
          </w:tcPr>
          <w:p>
            <w:pPr>
              <w:spacing w:after="0"/>
              <w:rPr>
                <w:sz w:val="20"/>
                <w:szCs w:val="20"/>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San Jose, California 95113</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and Zip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Zoom Video Communications, Inc.</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(Former Name or Former Address, if Changed Since Last Report)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101" w:lineRule="exact"/>
        <w:rPr>
          <w:sz w:val="24"/>
          <w:szCs w:val="24"/>
          <w:color w:val="auto"/>
        </w:rPr>
      </w:pPr>
    </w:p>
    <w:p>
      <w:pPr>
        <w:ind w:right="440"/>
        <w:spacing w:after="0" w:line="26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22" w:lineRule="exact"/>
        <w:rPr>
          <w:sz w:val="24"/>
          <w:szCs w:val="24"/>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42"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38"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Name of each exchange on which registered</w:t>
            </w:r>
          </w:p>
        </w:tc>
      </w:tr>
      <w:tr>
        <w:trPr>
          <w:trHeight w:val="200"/>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1"/>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The Nasdaq Global Select Market</w:t>
            </w:r>
          </w:p>
        </w:tc>
      </w:tr>
    </w:tbl>
    <w:p>
      <w:pPr>
        <w:spacing w:after="0" w:line="177" w:lineRule="exact"/>
        <w:rPr>
          <w:sz w:val="24"/>
          <w:szCs w:val="24"/>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55" w:lineRule="exact"/>
        <w:rPr>
          <w:sz w:val="24"/>
          <w:szCs w:val="24"/>
          <w:color w:val="auto"/>
        </w:rPr>
      </w:pPr>
    </w:p>
    <w:p>
      <w:pPr>
        <w:ind w:right="46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766445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2.02</w:t>
        <w:tab/>
        <w:t>Results of Operations and Financial Condition.</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On August 21, 2025, Zoom Communications, Inc. (the “Company”) issued a press release announcing its financial results for the three months ended July 31, 2025. A copy of the press release is furnished as Exhibit 99.1 to this report and is incorporated by reference.</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information contained in this report, including Exhibit 99.1 attached hereto, is furnished and shall not be deemed “filed” for purposes of Section 18</w:t>
      </w:r>
    </w:p>
    <w:p>
      <w:pPr>
        <w:spacing w:after="0" w:line="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17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9.01</w:t>
        <w:tab/>
        <w:t>Financial Statements And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  Exhibits</w:t>
            </w:r>
          </w:p>
        </w:tc>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460" w:type="dxa"/>
            <w:vAlign w:val="bottom"/>
          </w:tcPr>
          <w:p>
            <w:pPr>
              <w:spacing w:after="0"/>
              <w:rPr>
                <w:sz w:val="21"/>
                <w:szCs w:val="21"/>
                <w:color w:val="auto"/>
              </w:rPr>
            </w:pPr>
          </w:p>
        </w:tc>
        <w:tc>
          <w:tcPr>
            <w:tcW w:w="17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Exhibit No.</w:t>
            </w:r>
          </w:p>
        </w:tc>
        <w:tc>
          <w:tcPr>
            <w:tcW w:w="20" w:type="dxa"/>
            <w:vAlign w:val="bottom"/>
          </w:tcPr>
          <w:p>
            <w:pPr>
              <w:spacing w:after="0"/>
              <w:rPr>
                <w:sz w:val="21"/>
                <w:szCs w:val="21"/>
                <w:color w:val="auto"/>
              </w:rPr>
            </w:pPr>
          </w:p>
        </w:tc>
        <w:tc>
          <w:tcPr>
            <w:tcW w:w="9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174"/>
        </w:trPr>
        <w:tc>
          <w:tcPr>
            <w:tcW w:w="460" w:type="dxa"/>
            <w:vAlign w:val="bottom"/>
          </w:tcPr>
          <w:p>
            <w:pPr>
              <w:spacing w:after="0"/>
              <w:rPr>
                <w:sz w:val="15"/>
                <w:szCs w:val="15"/>
                <w:color w:val="auto"/>
              </w:rPr>
            </w:pPr>
          </w:p>
        </w:tc>
        <w:tc>
          <w:tcPr>
            <w:tcW w:w="1320" w:type="dxa"/>
            <w:vAlign w:val="bottom"/>
            <w:tcBorders>
              <w:top w:val="single" w:sz="8" w:color="auto"/>
            </w:tcBorders>
          </w:tcPr>
          <w:p>
            <w:pPr>
              <w:jc w:val="right"/>
              <w:ind w:right="414"/>
              <w:spacing w:after="0" w:line="174" w:lineRule="exact"/>
              <w:rPr>
                <w:sz w:val="20"/>
                <w:szCs w:val="20"/>
                <w:color w:val="auto"/>
              </w:rPr>
            </w:pPr>
            <w:r>
              <w:rPr>
                <w:rFonts w:ascii="Times New Roman" w:cs="Times New Roman" w:eastAsia="Times New Roman" w:hAnsi="Times New Roman"/>
                <w:sz w:val="17"/>
                <w:szCs w:val="17"/>
                <w:color w:val="auto"/>
              </w:rPr>
              <w:t>99.1</w:t>
            </w:r>
          </w:p>
        </w:tc>
        <w:tc>
          <w:tcPr>
            <w:tcW w:w="4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980" w:type="dxa"/>
            <w:vAlign w:val="bottom"/>
            <w:tcBorders>
              <w:top w:val="single" w:sz="8" w:color="auto"/>
            </w:tcBorders>
            <w:gridSpan w:val="2"/>
          </w:tcPr>
          <w:p>
            <w:pPr>
              <w:spacing w:after="0" w:line="174" w:lineRule="exact"/>
              <w:rPr>
                <w:sz w:val="20"/>
                <w:szCs w:val="20"/>
                <w:color w:val="auto"/>
              </w:rPr>
            </w:pPr>
            <w:r>
              <w:rPr>
                <w:rFonts w:ascii="Times New Roman" w:cs="Times New Roman" w:eastAsia="Times New Roman" w:hAnsi="Times New Roman"/>
                <w:sz w:val="17"/>
                <w:szCs w:val="17"/>
                <w:color w:val="0000FF"/>
              </w:rPr>
              <w:t>Press release dated August 21, 2025 of Zoom Communications, Inc.</w:t>
            </w:r>
          </w:p>
        </w:tc>
        <w:tc>
          <w:tcPr>
            <w:tcW w:w="20" w:type="dxa"/>
            <w:vAlign w:val="bottom"/>
          </w:tcPr>
          <w:p>
            <w:pPr>
              <w:spacing w:after="0"/>
              <w:rPr>
                <w:sz w:val="15"/>
                <w:szCs w:val="15"/>
                <w:color w:val="auto"/>
              </w:rPr>
            </w:pPr>
          </w:p>
        </w:tc>
      </w:tr>
      <w:tr>
        <w:trPr>
          <w:trHeight w:val="20"/>
        </w:trPr>
        <w:tc>
          <w:tcPr>
            <w:tcW w:w="17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shd w:val="clear" w:color="auto" w:fill="0000FF"/>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r>
      <w:tr>
        <w:trPr>
          <w:trHeight w:val="239"/>
        </w:trPr>
        <w:tc>
          <w:tcPr>
            <w:tcW w:w="1780" w:type="dxa"/>
            <w:vAlign w:val="bottom"/>
            <w:gridSpan w:val="2"/>
          </w:tcPr>
          <w:p>
            <w:pPr>
              <w:jc w:val="right"/>
              <w:ind w:right="434"/>
              <w:spacing w:after="0"/>
              <w:rPr>
                <w:sz w:val="20"/>
                <w:szCs w:val="20"/>
                <w:color w:val="auto"/>
              </w:rPr>
            </w:pPr>
            <w:r>
              <w:rPr>
                <w:rFonts w:ascii="Times New Roman" w:cs="Times New Roman" w:eastAsia="Times New Roman" w:hAnsi="Times New Roman"/>
                <w:sz w:val="17"/>
                <w:szCs w:val="17"/>
                <w:color w:val="auto"/>
              </w:rPr>
              <w:t>104</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1155"/>
        </w:trPr>
        <w:tc>
          <w:tcPr>
            <w:tcW w:w="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ind w:right="820"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3440" w:type="dxa"/>
            <w:vAlign w:val="bottom"/>
          </w:tcPr>
          <w:p>
            <w:pPr>
              <w:spacing w:after="0"/>
              <w:rPr>
                <w:sz w:val="19"/>
                <w:szCs w:val="19"/>
                <w:color w:val="auto"/>
              </w:rPr>
            </w:pPr>
          </w:p>
        </w:tc>
        <w:tc>
          <w:tcPr>
            <w:tcW w:w="7260" w:type="dxa"/>
            <w:vAlign w:val="bottom"/>
            <w:gridSpan w:val="2"/>
          </w:tcPr>
          <w:p>
            <w:pPr>
              <w:ind w:left="1800"/>
              <w:spacing w:after="0"/>
              <w:rPr>
                <w:sz w:val="20"/>
                <w:szCs w:val="20"/>
                <w:color w:val="auto"/>
              </w:rPr>
            </w:pPr>
            <w:r>
              <w:rPr>
                <w:rFonts w:ascii="Times New Roman" w:cs="Times New Roman" w:eastAsia="Times New Roman" w:hAnsi="Times New Roman"/>
                <w:sz w:val="17"/>
                <w:szCs w:val="17"/>
                <w:b w:val="1"/>
                <w:bCs w:val="1"/>
                <w:color w:val="auto"/>
              </w:rPr>
              <w:t>Zoom Communications, Inc.</w:t>
            </w:r>
          </w:p>
        </w:tc>
      </w:tr>
      <w:tr>
        <w:trPr>
          <w:trHeight w:val="465"/>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Dated: August 21, 2025</w:t>
            </w:r>
          </w:p>
        </w:tc>
        <w:tc>
          <w:tcPr>
            <w:tcW w:w="2500" w:type="dxa"/>
            <w:vAlign w:val="bottom"/>
          </w:tcPr>
          <w:p>
            <w:pPr>
              <w:ind w:left="1800"/>
              <w:spacing w:after="0"/>
              <w:rPr>
                <w:sz w:val="20"/>
                <w:szCs w:val="20"/>
                <w:color w:val="auto"/>
              </w:rPr>
            </w:pPr>
            <w:r>
              <w:rPr>
                <w:rFonts w:ascii="Times New Roman" w:cs="Times New Roman" w:eastAsia="Times New Roman" w:hAnsi="Times New Roman"/>
                <w:sz w:val="17"/>
                <w:szCs w:val="17"/>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Michelle Chang</w:t>
            </w:r>
          </w:p>
        </w:tc>
      </w:tr>
      <w:tr>
        <w:trPr>
          <w:trHeight w:val="205"/>
        </w:trPr>
        <w:tc>
          <w:tcPr>
            <w:tcW w:w="34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Michelle Chang</w:t>
            </w:r>
          </w:p>
        </w:tc>
      </w:tr>
      <w:tr>
        <w:trPr>
          <w:trHeight w:val="227"/>
        </w:trPr>
        <w:tc>
          <w:tcPr>
            <w:tcW w:w="34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r>
    </w:tbl>
    <w:p>
      <w:pPr>
        <w:sectPr>
          <w:pgSz w:w="11900" w:h="16838" w:orient="portrait"/>
          <w:cols w:equalWidth="0" w:num="1">
            <w:col w:w="11340"/>
          </w:cols>
          <w:pgMar w:left="320" w:top="85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color w:val="auto"/>
        </w:rPr>
        <w:t>Exhibit 99.1</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Zoom Communications Reports Financial Results for the Second Quarter of Fiscal Year 2026</w:t>
      </w:r>
    </w:p>
    <w:p>
      <w:pPr>
        <w:spacing w:after="0" w:line="113" w:lineRule="exact"/>
        <w:rPr>
          <w:sz w:val="20"/>
          <w:szCs w:val="20"/>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Second quarter total revenue of $1,217.2 million, up 4.7% year over year as reported and 4.4% in constant currency</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Second quarter Enterprise revenue of $730.7 million, up 7.0% year over year</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Second quarter GAAP operating margin of 26.4% and non-GAAP operating margin of 41.3%</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Second quarter GAAP EPS of $1.16, up 65.7% year over year, and non-GAAP EPS of $1.53, up 10.0% year over year</w:t>
      </w:r>
    </w:p>
    <w:p>
      <w:pPr>
        <w:spacing w:after="0" w:line="114" w:lineRule="exact"/>
        <w:rPr>
          <w:rFonts w:ascii="Times New Roman" w:cs="Times New Roman" w:eastAsia="Times New Roman" w:hAnsi="Times New Roman"/>
          <w:sz w:val="17"/>
          <w:szCs w:val="17"/>
          <w:b w:val="1"/>
          <w:bCs w:val="1"/>
          <w:i w:val="1"/>
          <w:iCs w:val="1"/>
          <w:color w:val="auto"/>
        </w:rPr>
      </w:pPr>
    </w:p>
    <w:p>
      <w:pPr>
        <w:ind w:left="940" w:right="400" w:hanging="316"/>
        <w:spacing w:after="0" w:line="295" w:lineRule="auto"/>
        <w:tabs>
          <w:tab w:leader="none" w:pos="936"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Repurchased approximately 6.0 million shares of common stock in Q2, bringing the total shares repurchased under the current plan to 27.4 million</w:t>
      </w:r>
    </w:p>
    <w:p>
      <w:pPr>
        <w:spacing w:after="0" w:line="36"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Number of customers contributing more than $100,000 in trailing 12 months revenue up 8.7% year over year</w:t>
      </w:r>
    </w:p>
    <w:p>
      <w:pPr>
        <w:spacing w:after="0" w:line="220" w:lineRule="exact"/>
        <w:rPr>
          <w:sz w:val="20"/>
          <w:szCs w:val="20"/>
          <w:color w:val="auto"/>
        </w:rPr>
      </w:pPr>
    </w:p>
    <w:p>
      <w:pPr>
        <w:ind w:right="260"/>
        <w:spacing w:after="0" w:line="293" w:lineRule="auto"/>
        <w:rPr>
          <w:sz w:val="20"/>
          <w:szCs w:val="20"/>
          <w:color w:val="auto"/>
        </w:rPr>
      </w:pPr>
      <w:r>
        <w:rPr>
          <w:rFonts w:ascii="Times New Roman" w:cs="Times New Roman" w:eastAsia="Times New Roman" w:hAnsi="Times New Roman"/>
          <w:sz w:val="17"/>
          <w:szCs w:val="17"/>
          <w:b w:val="1"/>
          <w:bCs w:val="1"/>
          <w:color w:val="auto"/>
        </w:rPr>
        <w:t xml:space="preserve">San Jose, California – </w:t>
      </w:r>
      <w:r>
        <w:rPr>
          <w:rFonts w:ascii="Times New Roman" w:cs="Times New Roman" w:eastAsia="Times New Roman" w:hAnsi="Times New Roman"/>
          <w:sz w:val="17"/>
          <w:szCs w:val="17"/>
          <w:color w:val="auto"/>
        </w:rPr>
        <w:t>August 21, 2025 – Zoom Communications, Inc. (NASDAQ: ZM), today announced financial results for the second fiscal quarter ended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July 31, 2025.</w:t>
      </w:r>
    </w:p>
    <w:p>
      <w:pPr>
        <w:spacing w:after="0" w:line="4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“AI is transforming the way we work together, and Zoom is at the forefront, driving innovation that helps people get more done, reduce costs, and deliver better experiences for customers and employees alike,” said Eric S. Yuan, Zoom’s founder and CEO. “We delivered an across-the-board strong Q2 marked by achieving our highest year-over-year revenue growth in 11 quarters and expanding GAAP operating margin year over year by 9 percentage points. With our robust performance, we are happy to raise our full year outlook for revenue, non-GAAP operating income, as well as free cash flow, which we now expect to be in the range of $1.74 billion to $1.78 billion.”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Second Quarter Fiscal Year 2026 Financial Highlights:</w:t>
      </w:r>
    </w:p>
    <w:p>
      <w:pPr>
        <w:spacing w:after="0" w:line="205" w:lineRule="exact"/>
        <w:rPr>
          <w:sz w:val="20"/>
          <w:szCs w:val="20"/>
          <w:color w:val="auto"/>
        </w:rPr>
      </w:pPr>
    </w:p>
    <w:p>
      <w:pPr>
        <w:ind w:left="940" w:right="40" w:hanging="316"/>
        <w:spacing w:after="0" w:line="273"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Revenue: </w:t>
      </w:r>
      <w:r>
        <w:rPr>
          <w:rFonts w:ascii="Times New Roman" w:cs="Times New Roman" w:eastAsia="Times New Roman" w:hAnsi="Times New Roman"/>
          <w:sz w:val="17"/>
          <w:szCs w:val="17"/>
          <w:color w:val="auto"/>
        </w:rPr>
        <w:t>Total revenue for the second quarter was $1,217.2 million, up 4.7% year over year. Adjusting for foreign currency impact, revenue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constant currency was $1,213.6 million, up 4.4% year over year. Enterprise revenue was $730.7 million, up 7.0% year over year, and Online revenue was $486.6 million, up 1.4% year over year.</w:t>
      </w:r>
    </w:p>
    <w:p>
      <w:pPr>
        <w:spacing w:after="0" w:line="56" w:lineRule="exact"/>
        <w:rPr>
          <w:rFonts w:ascii="Times New Roman" w:cs="Times New Roman" w:eastAsia="Times New Roman" w:hAnsi="Times New Roman"/>
          <w:sz w:val="17"/>
          <w:szCs w:val="17"/>
          <w:color w:val="auto"/>
        </w:rPr>
      </w:pPr>
    </w:p>
    <w:p>
      <w:pPr>
        <w:ind w:left="940" w:hanging="316"/>
        <w:spacing w:after="0" w:line="26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from Operations and Operating Margin: </w:t>
      </w:r>
      <w:r>
        <w:rPr>
          <w:rFonts w:ascii="Times New Roman" w:cs="Times New Roman" w:eastAsia="Times New Roman" w:hAnsi="Times New Roman"/>
          <w:sz w:val="17"/>
          <w:szCs w:val="17"/>
          <w:color w:val="auto"/>
        </w:rPr>
        <w:t>GAAP income from operations for the second quarter was $321.7 million, compared to GAAP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income from operations of $202.4 million in the second quarter of fiscal year 2025. Non-GAAP income from operations, which adjusts for stock-based compensation expense and related payroll taxes, acquisition-related expenses, and litigation settlements, net, was $503.2 million for the second quarter, compared to non-GAAP income from operations of $455.5 million in the second quarter of fiscal year 2025. For the second quarter, GAAP operating margin was 26.4% and non-GAAP operating margin was 41.3%.</w:t>
      </w:r>
    </w:p>
    <w:p>
      <w:pPr>
        <w:spacing w:after="0" w:line="169" w:lineRule="exact"/>
        <w:rPr>
          <w:rFonts w:ascii="Times New Roman" w:cs="Times New Roman" w:eastAsia="Times New Roman" w:hAnsi="Times New Roman"/>
          <w:sz w:val="17"/>
          <w:szCs w:val="17"/>
          <w:b w:val="1"/>
          <w:bCs w:val="1"/>
          <w:color w:val="auto"/>
        </w:rPr>
      </w:pPr>
    </w:p>
    <w:p>
      <w:pPr>
        <w:ind w:left="940" w:right="100" w:hanging="316"/>
        <w:spacing w:after="0" w:line="26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Net Income and Diluted Net Income Per Share: </w:t>
      </w:r>
      <w:r>
        <w:rPr>
          <w:rFonts w:ascii="Times New Roman" w:cs="Times New Roman" w:eastAsia="Times New Roman" w:hAnsi="Times New Roman"/>
          <w:sz w:val="17"/>
          <w:szCs w:val="17"/>
          <w:color w:val="auto"/>
        </w:rPr>
        <w:t>GAAP net income for the second quarter was $358.6 million, or $1.16 per share, compared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GAAP net income of $219.0 million, or $0.70 per share, in the second quarter of fiscal year 2025. Non-GAAP net income for the second quarter, which adjusts for stock-based compensation expense and related payroll taxes, gains on strategic investments, net, acquisition-related expenses, litigation settlements, net, and the tax effects on non-GAAP adjustments, was $471.3 million, or $1.53 per share. In the second quarter of fiscal year 2025, non-GAAP net income was $436.4 million, or $1.39 per share.</w:t>
      </w:r>
    </w:p>
    <w:p>
      <w:pPr>
        <w:spacing w:after="0" w:line="169" w:lineRule="exact"/>
        <w:rPr>
          <w:rFonts w:ascii="Times New Roman" w:cs="Times New Roman" w:eastAsia="Times New Roman" w:hAnsi="Times New Roman"/>
          <w:sz w:val="17"/>
          <w:szCs w:val="17"/>
          <w:b w:val="1"/>
          <w:bCs w:val="1"/>
          <w:color w:val="auto"/>
        </w:rPr>
      </w:pPr>
    </w:p>
    <w:p>
      <w:pPr>
        <w:ind w:left="940" w:right="260" w:hanging="316"/>
        <w:spacing w:after="0" w:line="29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Cash and Marketable Securities: </w:t>
      </w:r>
      <w:r>
        <w:rPr>
          <w:rFonts w:ascii="Times New Roman" w:cs="Times New Roman" w:eastAsia="Times New Roman" w:hAnsi="Times New Roman"/>
          <w:sz w:val="17"/>
          <w:szCs w:val="17"/>
          <w:color w:val="auto"/>
        </w:rPr>
        <w:t>Total cash, cash equivalents, and marketable securities, excluding restricted cash, as of July 31, 2025 was $7.8</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billion.</w:t>
      </w:r>
    </w:p>
    <w:p>
      <w:pPr>
        <w:spacing w:after="0" w:line="39" w:lineRule="exact"/>
        <w:rPr>
          <w:rFonts w:ascii="Times New Roman" w:cs="Times New Roman" w:eastAsia="Times New Roman" w:hAnsi="Times New Roman"/>
          <w:sz w:val="17"/>
          <w:szCs w:val="17"/>
          <w:b w:val="1"/>
          <w:bCs w:val="1"/>
          <w:color w:val="auto"/>
        </w:rPr>
      </w:pPr>
    </w:p>
    <w:p>
      <w:pPr>
        <w:ind w:left="940" w:right="20" w:hanging="316"/>
        <w:spacing w:after="0" w:line="273"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Cash Flow: </w:t>
      </w:r>
      <w:r>
        <w:rPr>
          <w:rFonts w:ascii="Times New Roman" w:cs="Times New Roman" w:eastAsia="Times New Roman" w:hAnsi="Times New Roman"/>
          <w:sz w:val="17"/>
          <w:szCs w:val="17"/>
          <w:color w:val="auto"/>
        </w:rPr>
        <w:t>Net cash provided by operating activities was $515.9 million for the second quarter, compared to $449.3 million in the second quarter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fiscal year 2025. Free cash flow, which is net cash provided by operating activities less purchases of property and equipment, was $508.0 million, compared to $365.1 million in the second quarter of fiscal year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Customer Metrics: </w:t>
      </w:r>
      <w:r>
        <w:rPr>
          <w:rFonts w:ascii="Times New Roman" w:cs="Times New Roman" w:eastAsia="Times New Roman" w:hAnsi="Times New Roman"/>
          <w:sz w:val="17"/>
          <w:szCs w:val="17"/>
          <w:color w:val="auto"/>
        </w:rPr>
        <w:t>Drivers of total revenue included acquiring new customers. At the end of the second quarter of fiscal year 2026, Zoom had:</w:t>
      </w:r>
    </w:p>
    <w:p>
      <w:pPr>
        <w:sectPr>
          <w:pgSz w:w="11900" w:h="16838" w:orient="portrait"/>
          <w:cols w:equalWidth="0" w:num="1">
            <w:col w:w="11240"/>
          </w:cols>
          <w:pgMar w:left="320" w:top="1092" w:right="339" w:bottom="1440" w:gutter="0" w:footer="0" w:header="0"/>
        </w:sectPr>
      </w:pPr>
    </w:p>
    <w:bookmarkStart w:id="4" w:name="page5"/>
    <w:bookmarkEnd w:id="4"/>
    <w:p>
      <w:pPr>
        <w:ind w:left="920" w:hanging="296"/>
        <w:spacing w:after="0"/>
        <w:tabs>
          <w:tab w:leader="none" w:pos="920" w:val="left"/>
        </w:tabs>
        <w:numPr>
          <w:ilvl w:val="0"/>
          <w:numId w:val="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7"/>
          <w:szCs w:val="17"/>
          <w:color w:val="auto"/>
        </w:rPr>
        <w:t>4,274 customers contributing more than $100,000 in trailing 12 months revenue, up 8.7% from the same quarter last fiscal year.</w:t>
      </w:r>
    </w:p>
    <w:p>
      <w:pPr>
        <w:spacing w:after="0" w:line="104" w:lineRule="exact"/>
        <w:rPr>
          <w:rFonts w:ascii="Times New Roman" w:cs="Times New Roman" w:eastAsia="Times New Roman" w:hAnsi="Times New Roman"/>
          <w:sz w:val="19"/>
          <w:szCs w:val="19"/>
          <w:b w:val="1"/>
          <w:bCs w:val="1"/>
          <w:color w:val="auto"/>
        </w:rPr>
      </w:pPr>
    </w:p>
    <w:p>
      <w:pPr>
        <w:ind w:left="920" w:hanging="296"/>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trailing 12-month net dollar expansion rate for Enterprise customers of 98%.</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Online average monthly churn of 2.9% for the second quarter, flat year over year.</w:t>
      </w:r>
    </w:p>
    <w:p>
      <w:pPr>
        <w:spacing w:after="0" w:line="114" w:lineRule="exact"/>
        <w:rPr>
          <w:rFonts w:ascii="Times New Roman" w:cs="Times New Roman" w:eastAsia="Times New Roman" w:hAnsi="Times New Roman"/>
          <w:sz w:val="17"/>
          <w:szCs w:val="17"/>
          <w:color w:val="auto"/>
        </w:rPr>
      </w:pPr>
    </w:p>
    <w:p>
      <w:pPr>
        <w:ind w:left="940" w:right="100" w:hanging="316"/>
        <w:spacing w:after="0" w:line="288"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percentage of total Online MRR from Online customers with a continual term of service of at least 16 months was 74.9%, up 50 bps year over year.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Outlook: </w:t>
      </w:r>
      <w:r>
        <w:rPr>
          <w:rFonts w:ascii="Times New Roman" w:cs="Times New Roman" w:eastAsia="Times New Roman" w:hAnsi="Times New Roman"/>
          <w:sz w:val="17"/>
          <w:szCs w:val="17"/>
          <w:color w:val="auto"/>
        </w:rPr>
        <w:t>Zoom is providing the following guidance for its third quarter of fiscal year 2026 and its full fiscal year 2026.</w:t>
      </w:r>
    </w:p>
    <w:p>
      <w:pPr>
        <w:spacing w:after="0" w:line="119" w:lineRule="exact"/>
        <w:rPr>
          <w:sz w:val="20"/>
          <w:szCs w:val="20"/>
          <w:color w:val="auto"/>
        </w:rPr>
      </w:pPr>
    </w:p>
    <w:p>
      <w:pPr>
        <w:ind w:left="940" w:hanging="316"/>
        <w:spacing w:after="0" w:line="270" w:lineRule="auto"/>
        <w:tabs>
          <w:tab w:leader="none" w:pos="936"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Third Quarter Fiscal Year 2026: Total revenue is expected to be between $1.210 billion and $1.215 billion and revenue in constant currency is expected to be between $1.207 billion and $1.212 billion. Non-GAAP income from operations is expected to be between $465.0 million and $470.0 million. Non-GAAP diluted EPS is expected to be between $1.42 and $1.44 with approximately 307 million weighted average shares outstanding.</w:t>
      </w:r>
    </w:p>
    <w:p>
      <w:pPr>
        <w:spacing w:after="0" w:line="63" w:lineRule="exact"/>
        <w:rPr>
          <w:rFonts w:ascii="Times New Roman" w:cs="Times New Roman" w:eastAsia="Times New Roman" w:hAnsi="Times New Roman"/>
          <w:sz w:val="17"/>
          <w:szCs w:val="17"/>
          <w:b w:val="1"/>
          <w:bCs w:val="1"/>
          <w:color w:val="auto"/>
        </w:rPr>
      </w:pPr>
    </w:p>
    <w:p>
      <w:pPr>
        <w:jc w:val="both"/>
        <w:ind w:left="940" w:right="20" w:hanging="316"/>
        <w:spacing w:after="0" w:line="265" w:lineRule="auto"/>
        <w:tabs>
          <w:tab w:leader="none" w:pos="936"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Full Fiscal Year 2026: Total revenue is expected to be between $4.825 billion and $4.835 billion and revenue in constant currency is expected to be between $4.817 billion and $4.827 billion. Full fiscal year non-GAAP income from operations is expected to be between $1.905 billion and $1.915 billion. Full fiscal year non-GAAP diluted EPS is expected to be between $5.81 and $5.84 with approximately 308 million weighted average shares outstanding. Full fiscal year free cash flow is expected to be between $1.740 billion and $1.780 billion.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EPS and share count figures do not include any impact from $724.7 million of authorized share repurchase remaining as of July 31, 2025.</w:t>
      </w:r>
    </w:p>
    <w:p>
      <w:pPr>
        <w:spacing w:after="0" w:line="218"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Zoom's results computed in accordance with GAAP.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supplemental financial presentation and other information can be accessed through Zoom’s investor relations website at investors.zoom.us.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Zoom Video Earnings Call</w:t>
      </w:r>
    </w:p>
    <w:p>
      <w:pPr>
        <w:spacing w:after="0" w:line="106"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Zoom will host a Zoom Video Webinar for investors on August 21, 2025 at 2:00 p.m. Pacific Time / 5:00 p.m. Eastern Time to discuss the company’s financial results, business highlights and financial outlook. Investors are invited to join the Zoom Video Webinar by visiting: https://investors.zoom.com/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Zoomtopia 2025 Investor Session</w:t>
      </w:r>
    </w:p>
    <w:p>
      <w:pPr>
        <w:spacing w:after="0" w:line="24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As part of Zoomtopia 2025, Zoom will host a Zoom Webinar for the investment community on September 17, 2025 at 2:00 p.m. Pacific Time / 5:00 p.m. Eastern Time. The session will last approximately one hour. Members of Zoom’s executive team will take part in a Q&amp;A session that will provide insights into the company’s business strategy, key initiatives, and recent innovations. Investors and interested parties are invited to join the live webinar by visiting: https://investors.zoom.us/news-events/events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Zoom</w:t>
      </w:r>
    </w:p>
    <w:p>
      <w:pPr>
        <w:spacing w:after="0" w:line="119"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7"/>
          <w:szCs w:val="17"/>
          <w:color w:val="auto"/>
        </w:rPr>
        <w:t>Zoom’s mission is to provide an AI-first open work platform for human connection. Zoom Workplace makes connecting easier, more immersive, and more dynamic for businesses and individuals. Together with Zoom Workplace, Zoom’s Business Services for sales, marketing, and customer care teams, including Zoom Contact Center, strengthen customer relationships throughout the customer lifecycle. Founded in 2011, Zoom is publicly traded (NASDAQ:ZM) and headquartered in San Jose, California. Get more information at zoom.com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1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This press release contains express and implied “forward-looking statements” within the meaning of the Private Securities Litigation Reform Act of 1995, including statements regarding Zoom's financial outlook for the third quarter of fiscal year 2026 and full fiscal year 2026, Zoom’s market position, opportunities, and growth strategy, product initiatives, including future</w:t>
      </w:r>
    </w:p>
    <w:p>
      <w:pPr>
        <w:sectPr>
          <w:pgSz w:w="11900" w:h="16838" w:orient="portrait"/>
          <w:cols w:equalWidth="0" w:num="1">
            <w:col w:w="11140"/>
          </w:cols>
          <w:pgMar w:left="320" w:top="976" w:right="439" w:bottom="1440" w:gutter="0" w:footer="0" w:header="0"/>
        </w:sectPr>
      </w:pPr>
    </w:p>
    <w:bookmarkStart w:id="5" w:name="page6"/>
    <w:bookmarkEnd w:id="5"/>
    <w:p>
      <w:pPr>
        <w:spacing w:after="0" w:line="256" w:lineRule="auto"/>
        <w:rPr>
          <w:sz w:val="20"/>
          <w:szCs w:val="20"/>
          <w:color w:val="auto"/>
        </w:rPr>
      </w:pPr>
      <w:r>
        <w:rPr>
          <w:rFonts w:ascii="Times New Roman" w:cs="Times New Roman" w:eastAsia="Times New Roman" w:hAnsi="Times New Roman"/>
          <w:sz w:val="17"/>
          <w:szCs w:val="17"/>
          <w:color w:val="auto"/>
        </w:rPr>
        <w:t>product and feature releases and the potential of agentic AI, and go-to-market motions and the expected benefits resulting from the same, market trends, and Zoom's stock repurchase program.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renewals or upgrades, or decline in demand for our platform, difficulties in evaluating our prospects and future results of operations given our limited operating history, competition from other providers of communications platforms, the effect of macroeconomic conditions on our business, including geopolitical tensions, tariffs and escalating trade tensions, interest rate fluctuations, inflationary pressures and market and foreign currency exchange rate volatility, lengthened sales cycles with large organizations, delays or outages in services from our co-located data centers, failures in internet infrastructure or interference with broadband access, compromised security measures, including ours and those of the third parties upon which we rely, and global security concerns and their potential impact on regional and global economies and supply chains.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quarterly report on Form 10-Q for the fiscal quarter ended April 30, 2025.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pacing w:after="0" w:line="6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6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7"/>
          <w:szCs w:val="17"/>
          <w:color w:val="auto"/>
        </w:rPr>
        <w:t>Non-GAAP Income from Operations and Non-GAAP Operating Margin. Zoom defines non-GAAP income from operations as income from operations excluding stock-based compensation expense and related payroll taxes, acquisition-related expenses, and litigation settlements, net. Zoom excludes stock-based compensation expense because it is non-cash in nature and excluding this expense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in order for investors to see the full effect that excluding stock-based compensation expense had on Zoom's operating results. In particular, this expense is dependent on the price of our common stock and other factors that are beyond our control and do not correlate to the operation of the business. Zoom views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Zoom excludes significant litigation settlements, net of amounts covered by insurance, that we deem not to be in the ordinary course of our business. In fact, Zoom believes the consideration of measures that exclude such expenses can assist in the comparison of operational performance in different periods that may or may not include such expenses and assist in the comparison with the results of other companies in the industry. Zoom defines non-GAAP operating margin as non-GAAP income from operations divided by GAAP revenue.</w:t>
      </w:r>
    </w:p>
    <w:p>
      <w:pPr>
        <w:spacing w:after="0" w:line="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Non-GAAP Net Income and Non-GAAP Net Income Per Share, Basic and Diluted. Zoom defines non-GAAP net income as GAAP net income adjusted to exclude stock-based compensation expense and related payroll taxes, acquisition-related expenses, gains/losses on strategic investments, net, litigation settlements, net, and the tax effects of all non-GAAP adjustments. Zoom excludes these items because they are considered by management to be outside of Zoom’s core operating results. These adjustments are intended to provide investors and management with greater visibility to the underlying performance of Zoom’s business operations, facilitate comparison of its results with other periods, and may also facilitate comparison with the results of other companies in the industry. Zoom defines non-GAAP net income per share, basic and diluted, as non-GAAP net income divided by the number of shares outstanding, basic and diluted, calculated in accordance with GAAP.</w:t>
      </w:r>
    </w:p>
    <w:p>
      <w:pPr>
        <w:sectPr>
          <w:pgSz w:w="11900" w:h="16838" w:orient="portrait"/>
          <w:cols w:equalWidth="0" w:num="1">
            <w:col w:w="11240"/>
          </w:cols>
          <w:pgMar w:left="320" w:top="963" w:right="339" w:bottom="1440" w:gutter="0" w:footer="0" w:header="0"/>
        </w:sectPr>
      </w:pPr>
    </w:p>
    <w:bookmarkStart w:id="6" w:name="page7"/>
    <w:bookmarkEnd w:id="6"/>
    <w:p>
      <w:pPr>
        <w:ind w:right="60"/>
        <w:spacing w:after="0" w:line="265" w:lineRule="auto"/>
        <w:rPr>
          <w:sz w:val="20"/>
          <w:szCs w:val="20"/>
          <w:color w:val="auto"/>
        </w:rPr>
      </w:pPr>
      <w:r>
        <w:rPr>
          <w:rFonts w:ascii="Times New Roman" w:cs="Times New Roman" w:eastAsia="Times New Roman" w:hAnsi="Times New Roman"/>
          <w:sz w:val="17"/>
          <w:szCs w:val="17"/>
          <w:color w:val="auto"/>
        </w:rPr>
        <w:t>Free Cash Flow and Free Cash Flow Margin. Zoom defines free cash flow as GAAP net cash provided by operating activities less purchases of property and equipment. Zoom considers free cash flow to be a liquidity measure that provides useful information to management and investors regarding net cash provided by operating activities and cash used for investments in property and equipment required to maintain and grow the business. Zoom defines free cash flow margin as free cash flow divided by GAAP revenue.</w:t>
      </w:r>
    </w:p>
    <w:p>
      <w:pPr>
        <w:spacing w:after="0" w:line="6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Revenue in Constant Currency. Zoom defines revenue in constant currency as GAAP revenue adjusted for revenue reported in currencies other than United States dollars as if they were converted into United States dollars using the average exchange rates from the comparative period rather than the actual exchange rates in effect during the respective periods. Zoom provides revenue in constant currency information as a framework for assessing how Zoom's underlying businesses performed period to period, excluding the effects of foreign currency fluctuations.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Metrics</w:t>
      </w:r>
    </w:p>
    <w:p>
      <w:pPr>
        <w:spacing w:after="0" w:line="119"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7"/>
          <w:szCs w:val="17"/>
          <w:color w:val="auto"/>
        </w:rPr>
        <w:t>Zoom defines a customer as a separate and distinct buying entity, which can be a single paid user or an organization of any size (including a distinct unit of an organization) that has multiple users. Zoom defines Enterprise customers as distinct business units that have been engaged by either our direct sales team, resellers, or strategic partners. All other customers that subscribe to our services directly through our website are referred to as Online customers.</w:t>
      </w:r>
    </w:p>
    <w:p>
      <w:pPr>
        <w:spacing w:after="0" w:line="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Zoom calculates net dollar expansion rate as of a period end by starting with the annual recurring revenue (“ARR”) from Enterprise customers as of 12 months prior (“Prior Period ARR”). Zoom defines ARR as the annualized revenue run rate of subscription agreements from all customers at a point in time. Zoom calculates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Zoom then calculates the ARR from these Enterprise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w:t>
      </w:r>
    </w:p>
    <w:p>
      <w:pPr>
        <w:spacing w:after="0" w:line="7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Zoom calculates online average monthly churn by starting with the Online customer MRR as of the beginning of the applicable quarter (“Entry MRR”). Zoom defines Entry MRR as the recurring revenue run-rate of subscription agreements from all Online customers except for subscriptions that Zoom recorded as churn in a previous quarter based on the customers' earlier indication to us of their intention to cancel that subscription. Zoom then determines the MRR related to customers who canceled or downgraded their subscription or notified us of that intention during the applicable quarter (“Applicable Quarter MRR Churn”) and divides the Applicable Quarter MRR Churn by the applicable quarter Entry MRR to arrive at the MRR churn rate for Online Customers for the applicable quarter. Zoom then divides that amount by three to calculate the online average monthly churn.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Public Relations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Colleen Rodriguez</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of Global Public Relations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press@zoom.us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Charles Eveslage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of Investor Relations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investors@zoom.us</w:t>
      </w:r>
    </w:p>
    <w:p>
      <w:pPr>
        <w:sectPr>
          <w:pgSz w:w="11900" w:h="16838" w:orient="portrait"/>
          <w:cols w:equalWidth="0" w:num="1">
            <w:col w:w="11240"/>
          </w:cols>
          <w:pgMar w:left="320" w:top="96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0" w:type="dxa"/>
            <w:vAlign w:val="bottom"/>
          </w:tcPr>
          <w:p>
            <w:pPr>
              <w:spacing w:after="0"/>
              <w:rPr>
                <w:sz w:val="15"/>
                <w:szCs w:val="15"/>
                <w:color w:val="auto"/>
              </w:rPr>
            </w:pPr>
          </w:p>
        </w:tc>
      </w:tr>
      <w:tr>
        <w:trPr>
          <w:trHeight w:val="23"/>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24"/>
        </w:trPr>
        <w:tc>
          <w:tcPr>
            <w:tcW w:w="8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4"/>
                <w:szCs w:val="14"/>
                <w:b w:val="1"/>
                <w:bCs w:val="1"/>
                <w:color w:val="auto"/>
                <w:w w:val="98"/>
              </w:rPr>
              <w:t>July 31,</w:t>
            </w:r>
          </w:p>
        </w:tc>
        <w:tc>
          <w:tcPr>
            <w:tcW w:w="220" w:type="dxa"/>
            <w:vAlign w:val="bottom"/>
          </w:tcPr>
          <w:p>
            <w:pPr>
              <w:spacing w:after="0"/>
              <w:rPr>
                <w:sz w:val="10"/>
                <w:szCs w:val="10"/>
                <w:color w:val="auto"/>
              </w:rPr>
            </w:pPr>
          </w:p>
        </w:tc>
        <w:tc>
          <w:tcPr>
            <w:tcW w:w="1200" w:type="dxa"/>
            <w:vAlign w:val="bottom"/>
          </w:tcPr>
          <w:p>
            <w:pPr>
              <w:jc w:val="right"/>
              <w:ind w:right="275"/>
              <w:spacing w:after="0" w:line="124" w:lineRule="exact"/>
              <w:rPr>
                <w:sz w:val="20"/>
                <w:szCs w:val="20"/>
                <w:color w:val="auto"/>
              </w:rPr>
            </w:pPr>
            <w:r>
              <w:rPr>
                <w:rFonts w:ascii="Times New Roman" w:cs="Times New Roman" w:eastAsia="Times New Roman" w:hAnsi="Times New Roman"/>
                <w:sz w:val="14"/>
                <w:szCs w:val="14"/>
                <w:b w:val="1"/>
                <w:bCs w:val="1"/>
                <w:color w:val="auto"/>
              </w:rPr>
              <w:t>January 31,</w:t>
            </w:r>
          </w:p>
        </w:tc>
      </w:tr>
      <w:tr>
        <w:trPr>
          <w:trHeight w:val="188"/>
        </w:trPr>
        <w:tc>
          <w:tcPr>
            <w:tcW w:w="8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w w:val="99"/>
              </w:rPr>
              <w:t>(unaudited)</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1,198,576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1,349,380</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Marketable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6,580,073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6,442,329</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516,799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495,228</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contract acquisition costs, 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177,498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188,358</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190,260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200,679</w:t>
            </w:r>
          </w:p>
        </w:tc>
      </w:tr>
      <w:tr>
        <w:trPr>
          <w:trHeight w:val="213"/>
        </w:trPr>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8,663,206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8,675,974</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contract acquisition costs,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123,464</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301,457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330,475</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55,900</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Strategic investments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647,908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591,481</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307,295</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804,772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749,759</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148,281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154,073</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11,044,063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10,988,421</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5"/>
        </w:trPr>
        <w:tc>
          <w:tcPr>
            <w:tcW w:w="82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8,345</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471,017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558,562</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 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1,465,044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1,336,387</w:t>
            </w:r>
          </w:p>
        </w:tc>
      </w:tr>
      <w:tr>
        <w:trPr>
          <w:trHeight w:val="213"/>
        </w:trPr>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1,947,680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1,903,294</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17,274</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37,406</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100,058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95,363</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2,093,986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2,053,337</w:t>
            </w:r>
          </w:p>
        </w:tc>
      </w:tr>
      <w:tr>
        <w:trPr>
          <w:trHeight w:val="238"/>
        </w:trPr>
        <w:tc>
          <w:tcPr>
            <w:tcW w:w="8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4,537,542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5,130,271</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4,990</w:t>
            </w:r>
          </w:p>
        </w:tc>
      </w:tr>
      <w:tr>
        <w:trPr>
          <w:trHeight w:val="220"/>
        </w:trPr>
        <w:tc>
          <w:tcPr>
            <w:tcW w:w="8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4,412,713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3,799,518</w:t>
            </w:r>
          </w:p>
        </w:tc>
      </w:tr>
      <w:tr>
        <w:trPr>
          <w:trHeight w:val="21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8,950,077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8,935,084</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11,044,063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10,988,421</w:t>
            </w: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Note: The amount of unbilled accounts receivable included within accounts receivable, net on the condensed consolidated balance sheets was $85.2 million and $118.5 million as of July 31, 2025 and January 31, 2025, respectively.</w:t>
      </w:r>
    </w:p>
    <w:p>
      <w:pPr>
        <w:sectPr>
          <w:pgSz w:w="11900" w:h="16838" w:orient="portrait"/>
          <w:cols w:equalWidth="0" w:num="1">
            <w:col w:w="11240"/>
          </w:cols>
          <w:pgMar w:left="320" w:top="856"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 in thousands, except share and per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00" w:type="dxa"/>
            <w:vAlign w:val="bottom"/>
          </w:tcPr>
          <w:p>
            <w:pPr>
              <w:spacing w:after="0"/>
              <w:rPr>
                <w:sz w:val="15"/>
                <w:szCs w:val="15"/>
                <w:color w:val="auto"/>
              </w:rPr>
            </w:pPr>
          </w:p>
        </w:tc>
        <w:tc>
          <w:tcPr>
            <w:tcW w:w="268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1"/>
        </w:trPr>
        <w:tc>
          <w:tcPr>
            <w:tcW w:w="5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1,217,227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1,162,520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2,391,942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2,303,754</w:t>
            </w:r>
          </w:p>
        </w:tc>
      </w:tr>
      <w:tr>
        <w:trPr>
          <w:trHeight w:val="22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273,165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285,089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551,567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558,391</w:t>
            </w:r>
          </w:p>
        </w:tc>
      </w:tr>
      <w:tr>
        <w:trPr>
          <w:trHeight w:val="21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944,062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877,431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1,840,375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1,745,363</w:t>
            </w:r>
          </w:p>
        </w:tc>
      </w:tr>
      <w:tr>
        <w:trPr>
          <w:trHeight w:val="200"/>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206,447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206,756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411,863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412,314</w:t>
            </w:r>
          </w:p>
        </w:tc>
      </w:tr>
      <w:tr>
        <w:trPr>
          <w:trHeight w:val="220"/>
        </w:trPr>
        <w:tc>
          <w:tcPr>
            <w:tcW w:w="5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338,995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358,770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685,965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706,778</w:t>
            </w:r>
          </w:p>
        </w:tc>
      </w:tr>
      <w:tr>
        <w:trPr>
          <w:trHeight w:val="22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76,885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179,220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220,879</w:t>
            </w:r>
          </w:p>
        </w:tc>
      </w:tr>
      <w:tr>
        <w:trPr>
          <w:trHeight w:val="213"/>
        </w:trPr>
        <w:tc>
          <w:tcPr>
            <w:tcW w:w="51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622,327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675,061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1,277,048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1,339,971</w:t>
            </w:r>
          </w:p>
        </w:tc>
      </w:tr>
      <w:tr>
        <w:trPr>
          <w:trHeight w:val="21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321,735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563,327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405,392</w:t>
            </w:r>
          </w:p>
        </w:tc>
      </w:tr>
      <w:tr>
        <w:trPr>
          <w:trHeight w:val="220"/>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 on strategic investments,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20,461</w:t>
            </w:r>
          </w:p>
        </w:tc>
      </w:tr>
      <w:tr>
        <w:trPr>
          <w:trHeight w:val="22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159,000</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448,162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292,889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763,927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584,853</w:t>
            </w:r>
          </w:p>
        </w:tc>
      </w:tr>
      <w:tr>
        <w:trPr>
          <w:trHeight w:val="22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149,530</w:t>
            </w:r>
          </w:p>
        </w:tc>
      </w:tr>
      <w:tr>
        <w:trPr>
          <w:trHeight w:val="187"/>
        </w:trPr>
        <w:tc>
          <w:tcPr>
            <w:tcW w:w="5160" w:type="dxa"/>
            <w:vAlign w:val="bottom"/>
          </w:tcPr>
          <w:p>
            <w:pPr>
              <w:ind w:left="20"/>
              <w:spacing w:after="0" w:line="187" w:lineRule="exact"/>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358,592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219,015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613,195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435,323</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5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0"/>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share:</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5"/>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516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Diluted</w:t>
            </w: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1.16</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0.70</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1.97</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1.38</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5"/>
        </w:trPr>
        <w:tc>
          <w:tcPr>
            <w:tcW w:w="51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Weighted-average shares used in computing net income per share:</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0"/>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301,779,114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309,137,807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303,354,835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308,921,610</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6"/>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308,224,372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314,027,192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310,515,069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314,696,351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856"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60" w:type="dxa"/>
            <w:vAlign w:val="bottom"/>
          </w:tcPr>
          <w:p>
            <w:pPr>
              <w:spacing w:after="0"/>
              <w:rPr>
                <w:sz w:val="15"/>
                <w:szCs w:val="15"/>
                <w:color w:val="auto"/>
              </w:rPr>
            </w:pPr>
          </w:p>
        </w:tc>
        <w:tc>
          <w:tcPr>
            <w:tcW w:w="2680" w:type="dxa"/>
            <w:vAlign w:val="bottom"/>
            <w:gridSpan w:val="4"/>
          </w:tcPr>
          <w:p>
            <w:pPr>
              <w:jc w:val="right"/>
              <w:ind w:right="643"/>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3"/>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0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358,592</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219,015</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613,195</w:t>
            </w:r>
          </w:p>
        </w:tc>
        <w:tc>
          <w:tcPr>
            <w:tcW w:w="120" w:type="dxa"/>
            <w:vAlign w:val="bottom"/>
          </w:tcPr>
          <w:p>
            <w:pPr>
              <w:spacing w:after="0"/>
              <w:rPr>
                <w:sz w:val="17"/>
                <w:szCs w:val="17"/>
                <w:color w:val="auto"/>
              </w:rPr>
            </w:pP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435,323</w:t>
            </w:r>
          </w:p>
        </w:tc>
        <w:tc>
          <w:tcPr>
            <w:tcW w:w="0" w:type="dxa"/>
            <w:vAlign w:val="bottom"/>
          </w:tcPr>
          <w:p>
            <w:pPr>
              <w:spacing w:after="0"/>
              <w:rPr>
                <w:sz w:val="1"/>
                <w:szCs w:val="1"/>
                <w:color w:val="auto"/>
              </w:rPr>
            </w:pPr>
          </w:p>
        </w:tc>
      </w:tr>
      <w:tr>
        <w:trPr>
          <w:trHeight w:val="159"/>
        </w:trPr>
        <w:tc>
          <w:tcPr>
            <w:tcW w:w="50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Adjustments to reconcile net income to net cash provided by operating</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188,699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237,950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390,268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467,375</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deferred contract acquisition costs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139,563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139,813</w:t>
            </w:r>
          </w:p>
        </w:tc>
        <w:tc>
          <w:tcPr>
            <w:tcW w:w="0" w:type="dxa"/>
            <w:vAlign w:val="bottom"/>
          </w:tcPr>
          <w:p>
            <w:pPr>
              <w:spacing w:after="0"/>
              <w:rPr>
                <w:sz w:val="1"/>
                <w:szCs w:val="1"/>
                <w:color w:val="auto"/>
              </w:rPr>
            </w:pPr>
          </w:p>
        </w:tc>
      </w:tr>
      <w:tr>
        <w:trPr>
          <w:trHeight w:val="204"/>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32,163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29,084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67,479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55,751</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(53,271)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(57,866)</w:t>
            </w:r>
          </w:p>
        </w:tc>
        <w:tc>
          <w:tcPr>
            <w:tcW w:w="0" w:type="dxa"/>
            <w:vAlign w:val="bottom"/>
          </w:tcPr>
          <w:p>
            <w:pPr>
              <w:spacing w:after="0"/>
              <w:rPr>
                <w:sz w:val="1"/>
                <w:szCs w:val="1"/>
                <w:color w:val="auto"/>
              </w:rPr>
            </w:pPr>
          </w:p>
        </w:tc>
      </w:tr>
      <w:tr>
        <w:trPr>
          <w:trHeight w:val="204"/>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Gains on strategic investments, net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(45,056)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(20,461)</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Provision for accounts receivable allowances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12,518</w:t>
            </w:r>
          </w:p>
        </w:tc>
        <w:tc>
          <w:tcPr>
            <w:tcW w:w="0" w:type="dxa"/>
            <w:vAlign w:val="bottom"/>
          </w:tcPr>
          <w:p>
            <w:pPr>
              <w:spacing w:after="0"/>
              <w:rPr>
                <w:sz w:val="1"/>
                <w:szCs w:val="1"/>
                <w:color w:val="auto"/>
              </w:rPr>
            </w:pPr>
          </w:p>
        </w:tc>
      </w:tr>
      <w:tr>
        <w:trPr>
          <w:trHeight w:val="204"/>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Unrealized foreign exchange (gains) losses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7,229</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operating lease cost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11,957</w:t>
            </w:r>
          </w:p>
        </w:tc>
        <w:tc>
          <w:tcPr>
            <w:tcW w:w="0" w:type="dxa"/>
            <w:vAlign w:val="bottom"/>
          </w:tcPr>
          <w:p>
            <w:pPr>
              <w:spacing w:after="0"/>
              <w:rPr>
                <w:sz w:val="1"/>
                <w:szCs w:val="1"/>
                <w:color w:val="auto"/>
              </w:rPr>
            </w:pPr>
          </w:p>
        </w:tc>
      </w:tr>
      <w:tr>
        <w:trPr>
          <w:trHeight w:val="204"/>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discount/premium on marketable securities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(35,840)</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0" w:type="dxa"/>
            <w:vAlign w:val="bottom"/>
          </w:tcPr>
          <w:p>
            <w:pPr>
              <w:spacing w:after="0"/>
              <w:rPr>
                <w:sz w:val="1"/>
                <w:szCs w:val="1"/>
                <w:color w:val="auto"/>
              </w:rPr>
            </w:pPr>
          </w:p>
        </w:tc>
      </w:tr>
      <w:tr>
        <w:trPr>
          <w:trHeight w:val="204"/>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7,637</w:t>
            </w:r>
          </w:p>
        </w:tc>
        <w:tc>
          <w:tcPr>
            <w:tcW w:w="0" w:type="dxa"/>
            <w:vAlign w:val="bottom"/>
          </w:tcPr>
          <w:p>
            <w:pPr>
              <w:spacing w:after="0"/>
              <w:rPr>
                <w:sz w:val="1"/>
                <w:szCs w:val="1"/>
                <w:color w:val="auto"/>
              </w:rPr>
            </w:pPr>
          </w:p>
        </w:tc>
      </w:tr>
      <w:tr>
        <w:trPr>
          <w:trHeight w:val="204"/>
        </w:trPr>
        <w:tc>
          <w:tcPr>
            <w:tcW w:w="50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61,035</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Deferred contract acquisition costs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(129,552)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(110,719)</w:t>
            </w:r>
          </w:p>
        </w:tc>
        <w:tc>
          <w:tcPr>
            <w:tcW w:w="0" w:type="dxa"/>
            <w:vAlign w:val="bottom"/>
          </w:tcPr>
          <w:p>
            <w:pPr>
              <w:spacing w:after="0"/>
              <w:rPr>
                <w:sz w:val="1"/>
                <w:szCs w:val="1"/>
                <w:color w:val="auto"/>
              </w:rPr>
            </w:pPr>
          </w:p>
        </w:tc>
      </w:tr>
      <w:tr>
        <w:trPr>
          <w:trHeight w:val="204"/>
        </w:trPr>
        <w:tc>
          <w:tcPr>
            <w:tcW w:w="50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(81,985)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(53,967)</w:t>
            </w:r>
          </w:p>
        </w:tc>
        <w:tc>
          <w:tcPr>
            <w:tcW w:w="0" w:type="dxa"/>
            <w:vAlign w:val="bottom"/>
          </w:tcPr>
          <w:p>
            <w:pPr>
              <w:spacing w:after="0"/>
              <w:rPr>
                <w:sz w:val="1"/>
                <w:szCs w:val="1"/>
                <w:color w:val="auto"/>
              </w:rPr>
            </w:pPr>
          </w:p>
        </w:tc>
      </w:tr>
      <w:tr>
        <w:trPr>
          <w:trHeight w:val="204"/>
        </w:trPr>
        <w:tc>
          <w:tcPr>
            <w:tcW w:w="50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52,874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55,665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125,015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133,629</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Operating lease liabilities, net</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(14,931)</w:t>
            </w:r>
          </w:p>
        </w:tc>
        <w:tc>
          <w:tcPr>
            <w:tcW w:w="0" w:type="dxa"/>
            <w:vAlign w:val="bottom"/>
          </w:tcPr>
          <w:p>
            <w:pPr>
              <w:spacing w:after="0"/>
              <w:rPr>
                <w:sz w:val="1"/>
                <w:szCs w:val="1"/>
                <w:color w:val="auto"/>
              </w:rPr>
            </w:pPr>
          </w:p>
        </w:tc>
      </w:tr>
      <w:tr>
        <w:trPr>
          <w:trHeight w:val="197"/>
        </w:trPr>
        <w:tc>
          <w:tcPr>
            <w:tcW w:w="50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515,940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449,334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1,005,201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1,037,525</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(1,092,019)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(1,313,404)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(2,227,043)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(2,181,315)</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1,054,802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867,228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2,088,081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1,644,169</w:t>
            </w:r>
          </w:p>
        </w:tc>
        <w:tc>
          <w:tcPr>
            <w:tcW w:w="0" w:type="dxa"/>
            <w:vAlign w:val="bottom"/>
          </w:tcPr>
          <w:p>
            <w:pPr>
              <w:spacing w:after="0"/>
              <w:rPr>
                <w:sz w:val="1"/>
                <w:szCs w:val="1"/>
                <w:color w:val="auto"/>
              </w:rPr>
            </w:pPr>
          </w:p>
        </w:tc>
      </w:tr>
      <w:tr>
        <w:trPr>
          <w:trHeight w:val="204"/>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of marketable securities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(102,742)</w:t>
            </w:r>
          </w:p>
        </w:tc>
        <w:tc>
          <w:tcPr>
            <w:tcW w:w="0" w:type="dxa"/>
            <w:vAlign w:val="bottom"/>
          </w:tcPr>
          <w:p>
            <w:pPr>
              <w:spacing w:after="0"/>
              <w:rPr>
                <w:sz w:val="1"/>
                <w:szCs w:val="1"/>
                <w:color w:val="auto"/>
              </w:rPr>
            </w:pPr>
          </w:p>
        </w:tc>
      </w:tr>
      <w:tr>
        <w:trPr>
          <w:trHeight w:val="204"/>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strategic investments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(27,495)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(27,495)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strategic investments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4,654</w:t>
            </w:r>
          </w:p>
        </w:tc>
        <w:tc>
          <w:tcPr>
            <w:tcW w:w="0" w:type="dxa"/>
            <w:vAlign w:val="bottom"/>
          </w:tcPr>
          <w:p>
            <w:pPr>
              <w:spacing w:after="0"/>
              <w:rPr>
                <w:sz w:val="1"/>
                <w:szCs w:val="1"/>
                <w:color w:val="auto"/>
              </w:rPr>
            </w:pPr>
          </w:p>
        </w:tc>
      </w:tr>
      <w:tr>
        <w:trPr>
          <w:trHeight w:val="204"/>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5060" w:type="dxa"/>
            <w:vAlign w:val="bottom"/>
            <w:tcBorders>
              <w:top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(60,673)</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(540,910)</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(185,803)</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(648,734)</w:t>
            </w:r>
          </w:p>
        </w:tc>
        <w:tc>
          <w:tcPr>
            <w:tcW w:w="0" w:type="dxa"/>
            <w:vAlign w:val="bottom"/>
          </w:tcPr>
          <w:p>
            <w:pPr>
              <w:spacing w:after="0"/>
              <w:rPr>
                <w:sz w:val="1"/>
                <w:szCs w:val="1"/>
                <w:color w:val="auto"/>
              </w:rPr>
            </w:pPr>
          </w:p>
        </w:tc>
      </w:tr>
      <w:tr>
        <w:trPr>
          <w:trHeight w:val="205"/>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1,855</w:t>
            </w:r>
          </w:p>
        </w:tc>
        <w:tc>
          <w:tcPr>
            <w:tcW w:w="0" w:type="dxa"/>
            <w:vAlign w:val="bottom"/>
          </w:tcPr>
          <w:p>
            <w:pPr>
              <w:spacing w:after="0"/>
              <w:rPr>
                <w:sz w:val="1"/>
                <w:szCs w:val="1"/>
                <w:color w:val="auto"/>
              </w:rPr>
            </w:pPr>
          </w:p>
        </w:tc>
      </w:tr>
      <w:tr>
        <w:trPr>
          <w:trHeight w:val="204"/>
        </w:trPr>
        <w:tc>
          <w:tcPr>
            <w:tcW w:w="50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9"/>
              </w:rPr>
              <w:t>Proceeds from issuance of common stock for employee stock purchase plan</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36,057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36,057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34,263</w:t>
            </w:r>
          </w:p>
        </w:tc>
        <w:tc>
          <w:tcPr>
            <w:tcW w:w="0" w:type="dxa"/>
            <w:vAlign w:val="bottom"/>
          </w:tcPr>
          <w:p>
            <w:pPr>
              <w:spacing w:after="0"/>
              <w:rPr>
                <w:sz w:val="1"/>
                <w:szCs w:val="1"/>
                <w:color w:val="auto"/>
              </w:rPr>
            </w:pPr>
          </w:p>
        </w:tc>
      </w:tr>
      <w:tr>
        <w:trPr>
          <w:trHeight w:val="159"/>
        </w:trPr>
        <w:tc>
          <w:tcPr>
            <w:tcW w:w="506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6"/>
                <w:szCs w:val="16"/>
                <w:color w:val="auto"/>
              </w:rPr>
              <w:t>Proceeds from employee equity transactions (remitted) to be remitted to</w:t>
            </w: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2,859</w:t>
            </w:r>
          </w:p>
        </w:tc>
        <w:tc>
          <w:tcPr>
            <w:tcW w:w="0" w:type="dxa"/>
            <w:vAlign w:val="bottom"/>
          </w:tcPr>
          <w:p>
            <w:pPr>
              <w:spacing w:after="0"/>
              <w:rPr>
                <w:sz w:val="1"/>
                <w:szCs w:val="1"/>
                <w:color w:val="auto"/>
              </w:rPr>
            </w:pPr>
          </w:p>
        </w:tc>
      </w:tr>
      <w:tr>
        <w:trPr>
          <w:trHeight w:val="20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employees and tax authorities, net</w:t>
            </w:r>
          </w:p>
        </w:tc>
        <w:tc>
          <w:tcPr>
            <w:tcW w:w="3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repurchases of common stock, including excise taxes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(465,263)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(287,645)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(883,284)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(437,693)</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(137,457)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506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(494,862)</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(256,265)</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(985,392)</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(398,716)</w:t>
            </w:r>
          </w:p>
        </w:tc>
        <w:tc>
          <w:tcPr>
            <w:tcW w:w="0" w:type="dxa"/>
            <w:vAlign w:val="bottom"/>
          </w:tcPr>
          <w:p>
            <w:pPr>
              <w:spacing w:after="0"/>
              <w:rPr>
                <w:sz w:val="1"/>
                <w:szCs w:val="1"/>
                <w:color w:val="auto"/>
              </w:rPr>
            </w:pPr>
          </w:p>
        </w:tc>
      </w:tr>
      <w:tr>
        <w:trPr>
          <w:trHeight w:val="20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13,276</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(6,146)</w:t>
            </w:r>
          </w:p>
        </w:tc>
        <w:tc>
          <w:tcPr>
            <w:tcW w:w="0" w:type="dxa"/>
            <w:vAlign w:val="bottom"/>
          </w:tcPr>
          <w:p>
            <w:pPr>
              <w:spacing w:after="0"/>
              <w:rPr>
                <w:sz w:val="1"/>
                <w:szCs w:val="1"/>
                <w:color w:val="auto"/>
              </w:rPr>
            </w:pPr>
          </w:p>
        </w:tc>
      </w:tr>
      <w:tr>
        <w:trPr>
          <w:trHeight w:val="197"/>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(347,135)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(152,718)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(16,071)</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1,246,872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1,896,444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1,361,417</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1,565,380</w:t>
            </w:r>
          </w:p>
        </w:tc>
        <w:tc>
          <w:tcPr>
            <w:tcW w:w="0" w:type="dxa"/>
            <w:vAlign w:val="bottom"/>
          </w:tcPr>
          <w:p>
            <w:pPr>
              <w:spacing w:after="0"/>
              <w:rPr>
                <w:sz w:val="1"/>
                <w:szCs w:val="1"/>
                <w:color w:val="auto"/>
              </w:rPr>
            </w:pPr>
          </w:p>
        </w:tc>
      </w:tr>
      <w:tr>
        <w:trPr>
          <w:trHeight w:val="202"/>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1,208,699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1,549,309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1,208,699</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1,549,309</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340" w:top="610"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Reconciliation of GAAP to Non-GAAP Measures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 in thousands, except share and per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60" w:type="dxa"/>
            <w:vAlign w:val="bottom"/>
          </w:tcPr>
          <w:p>
            <w:pPr>
              <w:spacing w:after="0"/>
              <w:rPr>
                <w:sz w:val="15"/>
                <w:szCs w:val="15"/>
                <w:color w:val="auto"/>
              </w:rPr>
            </w:pPr>
          </w:p>
        </w:tc>
        <w:tc>
          <w:tcPr>
            <w:tcW w:w="286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3"/>
        </w:trPr>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8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8"/>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income from operations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321,735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202,370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563,327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405,392</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 and related payroll taxes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195,782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244,111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412,512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486,985</w:t>
            </w:r>
          </w:p>
        </w:tc>
        <w:tc>
          <w:tcPr>
            <w:tcW w:w="0" w:type="dxa"/>
            <w:vAlign w:val="bottom"/>
          </w:tcPr>
          <w:p>
            <w:pPr>
              <w:spacing w:after="0"/>
              <w:rPr>
                <w:sz w:val="1"/>
                <w:szCs w:val="1"/>
                <w:color w:val="auto"/>
              </w:rPr>
            </w:pPr>
          </w:p>
        </w:tc>
      </w:tr>
      <w:tr>
        <w:trPr>
          <w:trHeight w:val="220"/>
        </w:trPr>
        <w:tc>
          <w:tcPr>
            <w:tcW w:w="4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Litigation settlements, net</w:t>
            </w:r>
          </w:p>
        </w:tc>
        <w:tc>
          <w:tcPr>
            <w:tcW w:w="280" w:type="dxa"/>
            <w:vAlign w:val="bottom"/>
          </w:tcPr>
          <w:p>
            <w:pPr>
              <w:spacing w:after="0"/>
              <w:rPr>
                <w:sz w:val="19"/>
                <w:szCs w:val="19"/>
                <w:color w:val="auto"/>
              </w:rPr>
            </w:pPr>
          </w:p>
        </w:tc>
        <w:tc>
          <w:tcPr>
            <w:tcW w:w="124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(18,000)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(1,750)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(18,000)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(1,750)</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Acquisition-related expenses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3,709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10,811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12,713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21,512</w:t>
            </w:r>
          </w:p>
        </w:tc>
        <w:tc>
          <w:tcPr>
            <w:tcW w:w="0" w:type="dxa"/>
            <w:vAlign w:val="bottom"/>
          </w:tcPr>
          <w:p>
            <w:pPr>
              <w:spacing w:after="0"/>
              <w:rPr>
                <w:sz w:val="1"/>
                <w:szCs w:val="1"/>
                <w:color w:val="auto"/>
              </w:rPr>
            </w:pP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income from operations</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503,226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455,542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970,552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912,139</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operating margin</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17.6 %</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operating margin</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39.6 %</w:t>
            </w:r>
          </w:p>
        </w:tc>
        <w:tc>
          <w:tcPr>
            <w:tcW w:w="0" w:type="dxa"/>
            <w:vAlign w:val="bottom"/>
          </w:tcPr>
          <w:p>
            <w:pPr>
              <w:spacing w:after="0"/>
              <w:rPr>
                <w:sz w:val="1"/>
                <w:szCs w:val="1"/>
                <w:color w:val="auto"/>
              </w:rPr>
            </w:pPr>
          </w:p>
        </w:tc>
      </w:tr>
      <w:tr>
        <w:trPr>
          <w:trHeight w:val="258"/>
        </w:trPr>
        <w:tc>
          <w:tcPr>
            <w:tcW w:w="48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GAAP net income</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358,592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219,015</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613,195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435,323</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 and related payroll taxes</w:t>
            </w:r>
          </w:p>
        </w:tc>
        <w:tc>
          <w:tcPr>
            <w:tcW w:w="28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195,782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244,111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412,512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486,985</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Litigation settlements, net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(18,000)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(1,750)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(18,000)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(1,750)</w:t>
            </w:r>
          </w:p>
        </w:tc>
        <w:tc>
          <w:tcPr>
            <w:tcW w:w="0" w:type="dxa"/>
            <w:vAlign w:val="bottom"/>
          </w:tcPr>
          <w:p>
            <w:pPr>
              <w:spacing w:after="0"/>
              <w:rPr>
                <w:sz w:val="1"/>
                <w:szCs w:val="1"/>
                <w:color w:val="auto"/>
              </w:rPr>
            </w:pPr>
          </w:p>
        </w:tc>
      </w:tr>
      <w:tr>
        <w:trPr>
          <w:trHeight w:val="220"/>
        </w:trPr>
        <w:tc>
          <w:tcPr>
            <w:tcW w:w="4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Gains on strategic investments, net</w:t>
            </w:r>
          </w:p>
        </w:tc>
        <w:tc>
          <w:tcPr>
            <w:tcW w:w="280" w:type="dxa"/>
            <w:vAlign w:val="bottom"/>
          </w:tcPr>
          <w:p>
            <w:pPr>
              <w:spacing w:after="0"/>
              <w:rPr>
                <w:sz w:val="19"/>
                <w:szCs w:val="19"/>
                <w:color w:val="auto"/>
              </w:rPr>
            </w:pPr>
          </w:p>
        </w:tc>
        <w:tc>
          <w:tcPr>
            <w:tcW w:w="124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(45,056)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(3,107)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(31,437)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(20,461)</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Acquisition-related expenses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3,709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10,811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12,713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21,512</w:t>
            </w:r>
          </w:p>
        </w:tc>
        <w:tc>
          <w:tcPr>
            <w:tcW w:w="0" w:type="dxa"/>
            <w:vAlign w:val="bottom"/>
          </w:tcPr>
          <w:p>
            <w:pPr>
              <w:spacing w:after="0"/>
              <w:rPr>
                <w:sz w:val="1"/>
                <w:szCs w:val="1"/>
                <w:color w:val="auto"/>
              </w:rPr>
            </w:pPr>
          </w:p>
        </w:tc>
      </w:tr>
      <w:tr>
        <w:trPr>
          <w:trHeight w:val="220"/>
        </w:trPr>
        <w:tc>
          <w:tcPr>
            <w:tcW w:w="4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Tax effects on non-GAAP adjustments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rPr>
              <w:t>(23,708)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(32,659)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(69,371)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(58,870)</w:t>
            </w:r>
          </w:p>
        </w:tc>
        <w:tc>
          <w:tcPr>
            <w:tcW w:w="0" w:type="dxa"/>
            <w:vAlign w:val="bottom"/>
          </w:tcPr>
          <w:p>
            <w:pPr>
              <w:spacing w:after="0"/>
              <w:rPr>
                <w:sz w:val="1"/>
                <w:szCs w:val="1"/>
                <w:color w:val="auto"/>
              </w:rPr>
            </w:pPr>
          </w:p>
        </w:tc>
      </w:tr>
      <w:tr>
        <w:trPr>
          <w:trHeight w:val="23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Non-GAAP net income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471,319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436,421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919,612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862,739</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share - basic and diluted:</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GAAP net income per share - basic</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0.71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Non-GAAP net income per share - basic</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3.03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2.79</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80" w:type="dxa"/>
            <w:vAlign w:val="bottom"/>
          </w:tcPr>
          <w:p>
            <w:pPr>
              <w:ind w:left="200"/>
              <w:spacing w:after="0" w:line="191" w:lineRule="exact"/>
              <w:rPr>
                <w:sz w:val="20"/>
                <w:szCs w:val="20"/>
                <w:color w:val="auto"/>
              </w:rPr>
            </w:pPr>
            <w:r>
              <w:rPr>
                <w:rFonts w:ascii="Times New Roman" w:cs="Times New Roman" w:eastAsia="Times New Roman" w:hAnsi="Times New Roman"/>
                <w:sz w:val="17"/>
                <w:szCs w:val="17"/>
                <w:color w:val="auto"/>
              </w:rPr>
              <w:t>GAAP net income per share - diluted</w:t>
            </w:r>
          </w:p>
        </w:tc>
        <w:tc>
          <w:tcPr>
            <w:tcW w:w="280" w:type="dxa"/>
            <w:vAlign w:val="bottom"/>
            <w:tcBorders>
              <w:bottom w:val="single" w:sz="8" w:color="auto"/>
            </w:tcBorders>
          </w:tcPr>
          <w:p>
            <w:pPr>
              <w:jc w:val="right"/>
              <w:ind w:right="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6"/>
              <w:spacing w:after="0" w:line="191" w:lineRule="exact"/>
              <w:rPr>
                <w:sz w:val="20"/>
                <w:szCs w:val="20"/>
                <w:color w:val="auto"/>
              </w:rPr>
            </w:pPr>
            <w:r>
              <w:rPr>
                <w:rFonts w:ascii="Times New Roman" w:cs="Times New Roman" w:eastAsia="Times New Roman" w:hAnsi="Times New Roman"/>
                <w:sz w:val="17"/>
                <w:szCs w:val="17"/>
                <w:color w:val="auto"/>
              </w:rPr>
              <w:t>1.16</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115"/>
              <w:spacing w:after="0" w:line="191" w:lineRule="exact"/>
              <w:rPr>
                <w:sz w:val="20"/>
                <w:szCs w:val="20"/>
                <w:color w:val="auto"/>
              </w:rPr>
            </w:pPr>
            <w:r>
              <w:rPr>
                <w:rFonts w:ascii="Times New Roman" w:cs="Times New Roman" w:eastAsia="Times New Roman" w:hAnsi="Times New Roman"/>
                <w:sz w:val="17"/>
                <w:szCs w:val="17"/>
                <w:color w:val="auto"/>
              </w:rPr>
              <w:t>0.70</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rPr>
              <w:t>1.97</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ind w:right="135"/>
              <w:spacing w:after="0" w:line="191" w:lineRule="exact"/>
              <w:rPr>
                <w:sz w:val="20"/>
                <w:szCs w:val="20"/>
                <w:color w:val="auto"/>
              </w:rPr>
            </w:pPr>
            <w:r>
              <w:rPr>
                <w:rFonts w:ascii="Times New Roman" w:cs="Times New Roman" w:eastAsia="Times New Roman" w:hAnsi="Times New Roman"/>
                <w:sz w:val="17"/>
                <w:szCs w:val="17"/>
                <w:color w:val="auto"/>
              </w:rPr>
              <w:t>1.38</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Non-GAAP net income per share - diluted</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2.96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2.74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8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GAAP and non-GAAP weighted-average shares used to compute net</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per share - basic</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301,779,114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309,137,807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303,354,835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308,921,610</w:t>
            </w:r>
          </w:p>
        </w:tc>
        <w:tc>
          <w:tcPr>
            <w:tcW w:w="0" w:type="dxa"/>
            <w:vAlign w:val="bottom"/>
          </w:tcPr>
          <w:p>
            <w:pPr>
              <w:spacing w:after="0"/>
              <w:rPr>
                <w:sz w:val="1"/>
                <w:szCs w:val="1"/>
                <w:color w:val="auto"/>
              </w:rPr>
            </w:pPr>
          </w:p>
        </w:tc>
      </w:tr>
      <w:tr>
        <w:trPr>
          <w:trHeight w:val="177"/>
        </w:trPr>
        <w:tc>
          <w:tcPr>
            <w:tcW w:w="488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GAAP and non-GAAP weighted-average shares used to compute net</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per share - diluted</w:t>
            </w:r>
          </w:p>
        </w:tc>
        <w:tc>
          <w:tcPr>
            <w:tcW w:w="28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308,224,372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314,027,192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310,515,069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314,696,351</w:t>
            </w:r>
          </w:p>
        </w:tc>
        <w:tc>
          <w:tcPr>
            <w:tcW w:w="0" w:type="dxa"/>
            <w:vAlign w:val="bottom"/>
          </w:tcPr>
          <w:p>
            <w:pPr>
              <w:spacing w:after="0"/>
              <w:rPr>
                <w:sz w:val="1"/>
                <w:szCs w:val="1"/>
                <w:color w:val="auto"/>
              </w:rPr>
            </w:pPr>
          </w:p>
        </w:tc>
      </w:tr>
      <w:tr>
        <w:trPr>
          <w:trHeight w:val="258"/>
        </w:trPr>
        <w:tc>
          <w:tcPr>
            <w:tcW w:w="48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515,940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449,334</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1,005,201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1,037,525</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Less: Purchases of property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(7,966)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(84,234)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(33,876)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(102,742)</w:t>
            </w:r>
          </w:p>
        </w:tc>
        <w:tc>
          <w:tcPr>
            <w:tcW w:w="0" w:type="dxa"/>
            <w:vAlign w:val="bottom"/>
          </w:tcPr>
          <w:p>
            <w:pPr>
              <w:spacing w:after="0"/>
              <w:rPr>
                <w:sz w:val="1"/>
                <w:szCs w:val="1"/>
                <w:color w:val="auto"/>
              </w:rPr>
            </w:pPr>
          </w:p>
        </w:tc>
      </w:tr>
      <w:tr>
        <w:trPr>
          <w:trHeight w:val="213"/>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Free cash flow (non-GAAP)</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507,974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365,100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971,325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934,783</w:t>
            </w:r>
          </w:p>
        </w:tc>
        <w:tc>
          <w:tcPr>
            <w:tcW w:w="0" w:type="dxa"/>
            <w:vAlign w:val="bottom"/>
          </w:tcPr>
          <w:p>
            <w:pPr>
              <w:spacing w:after="0"/>
              <w:rPr>
                <w:sz w:val="1"/>
                <w:szCs w:val="1"/>
                <w:color w:val="auto"/>
              </w:rPr>
            </w:pPr>
          </w:p>
        </w:tc>
      </w:tr>
      <w:tr>
        <w:trPr>
          <w:trHeight w:val="21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(60,673)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(540,910)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(185,803)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(648,734)</w:t>
            </w:r>
          </w:p>
        </w:tc>
        <w:tc>
          <w:tcPr>
            <w:tcW w:w="0" w:type="dxa"/>
            <w:vAlign w:val="bottom"/>
          </w:tcPr>
          <w:p>
            <w:pPr>
              <w:spacing w:after="0"/>
              <w:rPr>
                <w:sz w:val="1"/>
                <w:szCs w:val="1"/>
                <w:color w:val="auto"/>
              </w:rPr>
            </w:pPr>
          </w:p>
        </w:tc>
      </w:tr>
      <w:tr>
        <w:trPr>
          <w:trHeight w:val="213"/>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rPr>
              <w:t>(494,862)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(256,265)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(985,392)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(398,716)</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cash flow margin (GAAP)</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45.0 %</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Free cash flow margin (non-GAAP)</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40.6 %</w:t>
            </w:r>
          </w:p>
        </w:tc>
        <w:tc>
          <w:tcPr>
            <w:tcW w:w="0" w:type="dxa"/>
            <w:vAlign w:val="bottom"/>
          </w:tcPr>
          <w:p>
            <w:pPr>
              <w:spacing w:after="0"/>
              <w:rPr>
                <w:sz w:val="1"/>
                <w:szCs w:val="1"/>
                <w:color w:val="auto"/>
              </w:rPr>
            </w:pPr>
          </w:p>
        </w:tc>
      </w:tr>
      <w:tr>
        <w:trPr>
          <w:trHeight w:val="258"/>
        </w:trPr>
        <w:tc>
          <w:tcPr>
            <w:tcW w:w="48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600" w:type="dxa"/>
            <w:vAlign w:val="bottom"/>
            <w:gridSpan w:val="3"/>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620" w:type="dxa"/>
            <w:vAlign w:val="bottom"/>
            <w:gridSpan w:val="3"/>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60" w:type="dxa"/>
            <w:vAlign w:val="bottom"/>
          </w:tcPr>
          <w:p>
            <w:pPr>
              <w:spacing w:after="0"/>
              <w:rPr>
                <w:sz w:val="16"/>
                <w:szCs w:val="16"/>
                <w:color w:val="auto"/>
              </w:rPr>
            </w:pPr>
          </w:p>
        </w:tc>
        <w:tc>
          <w:tcPr>
            <w:tcW w:w="286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192"/>
        </w:trPr>
        <w:tc>
          <w:tcPr>
            <w:tcW w:w="48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2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0"/>
                <w:szCs w:val="10"/>
                <w:color w:val="auto"/>
              </w:rPr>
            </w:pPr>
          </w:p>
        </w:tc>
        <w:tc>
          <w:tcPr>
            <w:tcW w:w="1400" w:type="dxa"/>
            <w:vAlign w:val="bottom"/>
          </w:tcPr>
          <w:p>
            <w:pPr>
              <w:jc w:val="right"/>
              <w:ind w:right="15"/>
              <w:spacing w:after="0" w:line="124" w:lineRule="exact"/>
              <w:rPr>
                <w:sz w:val="20"/>
                <w:szCs w:val="20"/>
                <w:color w:val="auto"/>
              </w:rPr>
            </w:pPr>
            <w:r>
              <w:rPr>
                <w:rFonts w:ascii="Times New Roman" w:cs="Times New Roman" w:eastAsia="Times New Roman" w:hAnsi="Times New Roman"/>
                <w:sz w:val="14"/>
                <w:szCs w:val="14"/>
                <w:b w:val="1"/>
                <w:bCs w:val="1"/>
                <w:color w:val="auto"/>
                <w:w w:val="96"/>
              </w:rPr>
              <w:t>YoY Revenue Growth</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0"/>
                <w:szCs w:val="10"/>
                <w:color w:val="auto"/>
              </w:rPr>
            </w:pPr>
          </w:p>
        </w:tc>
        <w:tc>
          <w:tcPr>
            <w:tcW w:w="1420" w:type="dxa"/>
            <w:vAlign w:val="bottom"/>
          </w:tcPr>
          <w:p>
            <w:pPr>
              <w:jc w:val="right"/>
              <w:ind w:right="35"/>
              <w:spacing w:after="0" w:line="124" w:lineRule="exact"/>
              <w:rPr>
                <w:sz w:val="20"/>
                <w:szCs w:val="20"/>
                <w:color w:val="auto"/>
              </w:rPr>
            </w:pPr>
            <w:r>
              <w:rPr>
                <w:rFonts w:ascii="Times New Roman" w:cs="Times New Roman" w:eastAsia="Times New Roman" w:hAnsi="Times New Roman"/>
                <w:sz w:val="14"/>
                <w:szCs w:val="14"/>
                <w:b w:val="1"/>
                <w:bCs w:val="1"/>
                <w:color w:val="auto"/>
                <w:w w:val="96"/>
              </w:rPr>
              <w:t>YoY Revenue Growth</w:t>
            </w:r>
          </w:p>
        </w:tc>
        <w:tc>
          <w:tcPr>
            <w:tcW w:w="0" w:type="dxa"/>
            <w:vAlign w:val="bottom"/>
          </w:tcPr>
          <w:p>
            <w:pPr>
              <w:spacing w:after="0"/>
              <w:rPr>
                <w:sz w:val="1"/>
                <w:szCs w:val="1"/>
                <w:color w:val="auto"/>
              </w:rPr>
            </w:pPr>
          </w:p>
        </w:tc>
      </w:tr>
      <w:tr>
        <w:trPr>
          <w:trHeight w:val="188"/>
        </w:trPr>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7"/>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revenue</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1,217,227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2,391,942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0" w:type="dxa"/>
            <w:vAlign w:val="bottom"/>
          </w:tcPr>
          <w:p>
            <w:pPr>
              <w:spacing w:after="0"/>
              <w:rPr>
                <w:sz w:val="1"/>
                <w:szCs w:val="1"/>
                <w:color w:val="auto"/>
              </w:rPr>
            </w:pPr>
          </w:p>
        </w:tc>
      </w:tr>
      <w:tr>
        <w:trPr>
          <w:trHeight w:val="220"/>
        </w:trPr>
        <w:tc>
          <w:tcPr>
            <w:tcW w:w="4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Add: Constant currency impact</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rPr>
              <w:t>(3,641)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1,122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0" w:type="dxa"/>
            <w:vAlign w:val="bottom"/>
          </w:tcPr>
          <w:p>
            <w:pPr>
              <w:spacing w:after="0"/>
              <w:rPr>
                <w:sz w:val="1"/>
                <w:szCs w:val="1"/>
                <w:color w:val="auto"/>
              </w:rPr>
            </w:pPr>
          </w:p>
        </w:tc>
      </w:tr>
      <w:tr>
        <w:trPr>
          <w:trHeight w:val="23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in constant currency (non-GAAP)</w:t>
            </w: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1,213,586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2,393,064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6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2025-08-21T15:19:04Z</dcterms:created>
  <dcterms:modified xsi:type="dcterms:W3CDTF">2025-08-21T15:19:04Z</dcterms:modified>
</cp:coreProperties>
</file>