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2555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445770"/>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ZOOM VIDEO COMMUNICATIONS, INC.: ZOOM-0002</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Jon C. Avina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+1 650 843 5307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javina@cooley.com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00341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488950"/>
                    </a:xfrm>
                    <a:prstGeom prst="rect">
                      <a:avLst/>
                    </a:prstGeom>
                    <a:noFill/>
                  </pic:spPr>
                </pic:pic>
              </a:graphicData>
            </a:graphic>
          </wp:anchor>
        </w:drawing>
      </w:r>
    </w:p>
    <w:p>
      <w:pPr>
        <w:spacing w:after="0" w:line="268" w:lineRule="exact"/>
        <w:rPr>
          <w:sz w:val="24"/>
          <w:szCs w:val="24"/>
          <w:color w:val="auto"/>
        </w:rPr>
      </w:pPr>
    </w:p>
    <w:p>
      <w:pPr>
        <w:ind w:left="160" w:right="26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March 25,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Mitchell Austin, Staff Attorney</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Jan Woo, Legal Branch Chief</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Kathleen Collins, Accounting Branch Chief</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Zoom Video Communications,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333-230444</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00" w:firstLine="440"/>
        <w:spacing w:after="0" w:line="259" w:lineRule="auto"/>
        <w:rPr>
          <w:sz w:val="20"/>
          <w:szCs w:val="20"/>
          <w:color w:val="auto"/>
        </w:rPr>
      </w:pPr>
      <w:r>
        <w:rPr>
          <w:rFonts w:ascii="Arial" w:cs="Arial" w:eastAsia="Arial" w:hAnsi="Arial"/>
          <w:sz w:val="18"/>
          <w:szCs w:val="18"/>
          <w:color w:val="auto"/>
        </w:rPr>
        <w:t>On behalf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providing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with information regarding the proposed preliminary price range of the shares of Class A common stock to be offered in the Company’s proposed initial public offering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pursuant to the Company’s Registration Statement on Form S-1 (File No. 333-230444), initially filed with the Commission on March 22, 2019.</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ind w:right="60" w:firstLine="440"/>
        <w:spacing w:after="0" w:line="270" w:lineRule="auto"/>
        <w:rPr>
          <w:sz w:val="20"/>
          <w:szCs w:val="20"/>
          <w:color w:val="auto"/>
        </w:rPr>
      </w:pPr>
      <w:r>
        <w:rPr>
          <w:rFonts w:ascii="Arial" w:cs="Arial" w:eastAsia="Arial" w:hAnsi="Arial"/>
          <w:sz w:val="17"/>
          <w:szCs w:val="17"/>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sent to the Commission a separate copy of this letter, marked to show the portions redacted from the version confidentially submitted via EDGAR and for which the Company is requesting confidential treatment.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10 business days’ advance notice of any intended release so that the Company may, if it deems it to be necessary or appropriate, pursue any remedies available to it. In such event, we request that you telephone the undersigned at (650) 843-5307 rather than rely on the U.S. mail for such notice.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pacing w:after="0" w:line="207" w:lineRule="exact"/>
        <w:rPr>
          <w:sz w:val="24"/>
          <w:szCs w:val="24"/>
          <w:color w:val="auto"/>
        </w:rPr>
      </w:pPr>
    </w:p>
    <w:p>
      <w:pPr>
        <w:ind w:right="660"/>
        <w:spacing w:after="0" w:line="282" w:lineRule="auto"/>
        <w:rPr>
          <w:sz w:val="20"/>
          <w:szCs w:val="20"/>
          <w:color w:val="auto"/>
        </w:rPr>
      </w:pPr>
      <w:r>
        <w:rPr>
          <w:rFonts w:ascii="Arial" w:cs="Arial" w:eastAsia="Arial" w:hAnsi="Arial"/>
          <w:sz w:val="18"/>
          <w:szCs w:val="18"/>
          <w:b w:val="1"/>
          <w:bCs w:val="1"/>
          <w:color w:val="auto"/>
        </w:rPr>
        <w:t>Zoom Video Communications, Inc. requests that the information contained in this letter, marked by brackets, be treated as confidential information pursuant to 17 C.F.R. §200.83.</w:t>
      </w:r>
    </w:p>
    <w:p>
      <w:pPr>
        <w:sectPr>
          <w:pgSz w:w="11900" w:h="16838" w:orient="portrait"/>
          <w:cols w:equalWidth="0" w:num="1">
            <w:col w:w="11020"/>
          </w:cols>
          <w:pgMar w:left="440" w:top="229"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2555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4457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ZOOM VIDEO COMMUNICATIONS, INC.: ZOOM-0002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Price Range</w:t>
      </w:r>
    </w:p>
    <w:p>
      <w:pPr>
        <w:spacing w:after="0" w:line="121"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The Company supplementally advises the Staff that, on March 21, 2019, representatives of Morgan Stanley &amp; Co. LLC, J. P. Morgan Securities LLC, Goldman Sachs &amp; Co. LLC and Credit Suisse (USA) LLC, the lead underwriters of the IPO and on behalf of the underwriters, recommended a preliminary price range of [***] per share of Class A common stock (“</w:t>
      </w:r>
      <w:r>
        <w:rPr>
          <w:rFonts w:ascii="Arial" w:cs="Arial" w:eastAsia="Arial" w:hAnsi="Arial"/>
          <w:sz w:val="17"/>
          <w:szCs w:val="17"/>
          <w:b w:val="1"/>
          <w:bCs w:val="1"/>
          <w:i w:val="1"/>
          <w:iCs w:val="1"/>
          <w:color w:val="auto"/>
        </w:rPr>
        <w:t>Preliminary Price Range</w:t>
      </w:r>
      <w:r>
        <w:rPr>
          <w:rFonts w:ascii="Arial" w:cs="Arial" w:eastAsia="Arial" w:hAnsi="Arial"/>
          <w:sz w:val="17"/>
          <w:szCs w:val="17"/>
          <w:color w:val="auto"/>
        </w:rPr>
        <w:t>”). The proposed Preliminary Price Range is informed by current market conditions, the Company’s financial condition and prospects, the performance of recent initial public offerings in the technology industry and the current market valuations of other high-growth SaaS companies, regardless of the comparability of such companies’ products and services with the Company’s video-first communications platform.</w:t>
      </w:r>
    </w:p>
    <w:p>
      <w:pPr>
        <w:spacing w:after="0" w:line="178"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The primary differences in the valuation methodology used to estimate the Preliminary Price Range and the methodology used to determine the fair value of the Company’s Class B common stock for purposes of measuring the grant date fair value of the Company’s equity awards as of January 31, 2019 (as described in the Company’s response to the Staff’s comment no. 10 on March 19, 2019) are as follows:</w:t>
      </w:r>
    </w:p>
    <w:p>
      <w:pPr>
        <w:spacing w:after="0" w:line="71" w:lineRule="exact"/>
        <w:rPr>
          <w:sz w:val="20"/>
          <w:szCs w:val="20"/>
          <w:color w:val="auto"/>
        </w:rPr>
      </w:pPr>
    </w:p>
    <w:p>
      <w:pPr>
        <w:ind w:left="860" w:right="80" w:hanging="324"/>
        <w:spacing w:after="0" w:line="296"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Market Dynamics</w:t>
      </w:r>
      <w:r>
        <w:rPr>
          <w:rFonts w:ascii="Arial" w:cs="Arial" w:eastAsia="Arial" w:hAnsi="Arial"/>
          <w:sz w:val="16"/>
          <w:szCs w:val="16"/>
          <w:color w:val="auto"/>
        </w:rPr>
        <w:t>. The valuation considerations for estimating the Preliminary Price Range were informed by current conditions in the U.S. equity markets, including a lack of supply for new issues of enterprise software companies since October 2018, the relative stability in the equity markets since January 2019 due, in part, to the end of the U.S. government shutdown, recent pronouncements from the Federal Reserve regarding current monetary policy, and market expectations regarding trade relations between the United States and China. As a result of these broader market factors, investors are seeking investment opportunities in high-growth technology companies.</w:t>
      </w:r>
    </w:p>
    <w:p>
      <w:pPr>
        <w:spacing w:after="0" w:line="66" w:lineRule="exact"/>
        <w:rPr>
          <w:rFonts w:ascii="Arial" w:cs="Arial" w:eastAsia="Arial" w:hAnsi="Arial"/>
          <w:sz w:val="16"/>
          <w:szCs w:val="16"/>
          <w:color w:val="auto"/>
        </w:rPr>
      </w:pPr>
    </w:p>
    <w:p>
      <w:pPr>
        <w:ind w:left="860" w:right="60" w:hanging="324"/>
        <w:spacing w:after="0" w:line="290"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Comparable Companies</w:t>
      </w:r>
      <w:r>
        <w:rPr>
          <w:rFonts w:ascii="Arial" w:cs="Arial" w:eastAsia="Arial" w:hAnsi="Arial"/>
          <w:sz w:val="16"/>
          <w:szCs w:val="16"/>
          <w:color w:val="auto"/>
        </w:rPr>
        <w:t>. The Company, in consultation with the lead underwriters, compared the Company’s performance with the growth rates and profitability metrics of other high-growth software companies, including SaaS companies that had recently consummated their own IPOs, such as Docusign, Elastic, MongoDB, Smartsheet and Zscaler, as well as SaaS companies with growth rates and profitability indicators that are similar to the Company, such as Twilio, Okta, Shopify, Workday, Atlassian and ServiceNow. The cohort used by the lead underwriters represents an expansion of comparable companies as several but not all of these companies were included as guideline public companies in the valuation prepared as of January 31, 2019, which, as discussed in the response to Comment No. 10 in the Company’s letter to the Staff dated March 19, 2019, also included companies that were not industry specific but had been identified by the Company’s investment bankers during their initial meetings with the Company’s management as comparable companies. The Company considered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pacing w:after="0" w:line="20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Zoom Video Communications, Inc. requests that the information contained in this letter, marked by brackets, be treated as confidential information pursuant to 17 C.F.R. §200.83.</w:t>
      </w:r>
    </w:p>
    <w:p>
      <w:pPr>
        <w:sectPr>
          <w:pgSz w:w="11900" w:h="16838" w:orient="portrait"/>
          <w:cols w:equalWidth="0" w:num="1">
            <w:col w:w="11020"/>
          </w:cols>
          <w:pgMar w:left="440" w:top="270"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2555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4457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ZOOM VIDEO COMMUNICATIONS, INC.: ZOOM-0002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880" w:right="120"/>
        <w:spacing w:after="0" w:line="259" w:lineRule="auto"/>
        <w:rPr>
          <w:sz w:val="20"/>
          <w:szCs w:val="20"/>
          <w:color w:val="auto"/>
        </w:rPr>
      </w:pPr>
      <w:r>
        <w:rPr>
          <w:rFonts w:ascii="Arial" w:cs="Arial" w:eastAsia="Arial" w:hAnsi="Arial"/>
          <w:sz w:val="18"/>
          <w:szCs w:val="18"/>
          <w:color w:val="auto"/>
        </w:rPr>
        <w:t>data from the lead underwriters demonstrating that each of these companies have experienced significant expansion in their respective valuation multiples based on the market’s estimate of their future expected revenues and operating performance. In fact, the recent expansion for these software companies has significantly outpaced the expansion in the valuation multiples for the broader mix of software companies, which itself is reaching near historical highs.</w:t>
      </w:r>
    </w:p>
    <w:p>
      <w:pPr>
        <w:spacing w:after="0" w:line="92" w:lineRule="exact"/>
        <w:rPr>
          <w:sz w:val="20"/>
          <w:szCs w:val="20"/>
          <w:color w:val="auto"/>
        </w:rPr>
      </w:pPr>
    </w:p>
    <w:p>
      <w:pPr>
        <w:ind w:left="860" w:right="20" w:hanging="324"/>
        <w:spacing w:after="0" w:line="289"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Valuation Methodology</w:t>
      </w:r>
      <w:r>
        <w:rPr>
          <w:rFonts w:ascii="Arial" w:cs="Arial" w:eastAsia="Arial" w:hAnsi="Arial"/>
          <w:sz w:val="16"/>
          <w:szCs w:val="16"/>
          <w:color w:val="auto"/>
        </w:rPr>
        <w:t>. The valuation methodology applied to the Preliminary Price Range assumes a successful IPO in April 2019 with no weighting placed on any other outcome of the Company, such as an acquisition or remaining private. Therefore, the Preliminary Price Range effectively weighs a near-term IPO outcome at 100%. In contrast, the methodology used to determine the fair value of the Company’s Class B common stock for purposes of measuring the grant date fair value of the Company’s equity awards as of January 31, 2019 considered a number of different exit scenarios and timing assumptions, resulting in a weighting of a near-term IPO at less than 100% and, thus, a lower fair value determination of the Company’s Class B common stock due to factors such as the liquidation preference of the Company’s preferred stock and the discount for lack of marketability of the Company’s Class B common stock. The methodology used as of January 31, 2019 also considered the latest secondary sale transaction of capital stock by existing investors in November 2018 which included a small number of shares of the Company’s Class B common stock and Series A preferred stock at $17.86 per share.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Option Grants</w:t>
      </w:r>
    </w:p>
    <w:p>
      <w:pPr>
        <w:spacing w:after="0" w:line="12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In addition, the Company supplementally advises the Staff that, on March 21, 2019, it granted 439,250 options to purchase shares of Class A common stock with an exercise price of [***] per share, which reflects the midpoint of the Preliminary Price Range.</w:t>
      </w:r>
    </w:p>
    <w:p>
      <w:pPr>
        <w:spacing w:after="0" w:line="170" w:lineRule="exact"/>
        <w:rPr>
          <w:sz w:val="20"/>
          <w:szCs w:val="20"/>
          <w:color w:val="auto"/>
        </w:rPr>
      </w:pPr>
    </w:p>
    <w:p>
      <w:pPr>
        <w:ind w:left="4620"/>
        <w:spacing w:after="0"/>
        <w:tabs>
          <w:tab w:leader="none" w:pos="542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pacing w:after="0" w:line="20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Zoom Video Communications, Inc. requests that the information contained in this letter, marked by brackets, be treated as confidential information pursuant to 17 C.F.R. §200.83.</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22555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4457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ZOOM VIDEO COMMUNICATIONS, INC.: ZOOM-0002</w:t>
      </w:r>
    </w:p>
    <w:p>
      <w:pPr>
        <w:spacing w:after="0" w:line="200" w:lineRule="exact"/>
        <w:rPr>
          <w:sz w:val="20"/>
          <w:szCs w:val="20"/>
          <w:color w:val="auto"/>
        </w:rPr>
      </w:pP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25,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contact me at (650) 843-5307 with any questions or further comments regarding our responses to the Staff’s Comments.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Jon C. Avina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Jon C. Avina</w:t>
      </w:r>
    </w:p>
    <w:p>
      <w:pPr>
        <w:spacing w:after="0" w:line="252" w:lineRule="exact"/>
        <w:rPr>
          <w:sz w:val="20"/>
          <w:szCs w:val="20"/>
          <w:color w:val="auto"/>
        </w:rPr>
      </w:pPr>
    </w:p>
    <w:p>
      <w:pPr>
        <w:ind w:left="444" w:right="6720" w:hanging="444"/>
        <w:spacing w:after="0" w:line="269" w:lineRule="auto"/>
        <w:tabs>
          <w:tab w:leader="none" w:pos="43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Eric S. Yuan, </w:t>
      </w:r>
      <w:r>
        <w:rPr>
          <w:rFonts w:ascii="Arial" w:cs="Arial" w:eastAsia="Arial" w:hAnsi="Arial"/>
          <w:sz w:val="17"/>
          <w:szCs w:val="17"/>
          <w:i w:val="1"/>
          <w:iCs w:val="1"/>
          <w:color w:val="auto"/>
        </w:rPr>
        <w:t>Zoom Video Communications, Inc.</w:t>
      </w:r>
      <w:r>
        <w:rPr>
          <w:rFonts w:ascii="Arial" w:cs="Arial" w:eastAsia="Arial" w:hAnsi="Arial"/>
          <w:sz w:val="17"/>
          <w:szCs w:val="17"/>
          <w:color w:val="auto"/>
        </w:rPr>
        <w:t xml:space="preserve"> Kelly Steckelberg, </w:t>
      </w:r>
      <w:r>
        <w:rPr>
          <w:rFonts w:ascii="Arial" w:cs="Arial" w:eastAsia="Arial" w:hAnsi="Arial"/>
          <w:sz w:val="17"/>
          <w:szCs w:val="17"/>
          <w:i w:val="1"/>
          <w:iCs w:val="1"/>
          <w:color w:val="auto"/>
        </w:rPr>
        <w:t>Zoom Video Communications, Inc.</w:t>
      </w:r>
      <w:r>
        <w:rPr>
          <w:rFonts w:ascii="Arial" w:cs="Arial" w:eastAsia="Arial" w:hAnsi="Arial"/>
          <w:sz w:val="17"/>
          <w:szCs w:val="17"/>
          <w:color w:val="auto"/>
        </w:rPr>
        <w:t xml:space="preserve"> Aparna Bawa, </w:t>
      </w:r>
      <w:r>
        <w:rPr>
          <w:rFonts w:ascii="Arial" w:cs="Arial" w:eastAsia="Arial" w:hAnsi="Arial"/>
          <w:sz w:val="17"/>
          <w:szCs w:val="17"/>
          <w:i w:val="1"/>
          <w:iCs w:val="1"/>
          <w:color w:val="auto"/>
        </w:rPr>
        <w:t>Zoom Video Communications, Inc.</w:t>
      </w:r>
      <w:r>
        <w:rPr>
          <w:rFonts w:ascii="Arial" w:cs="Arial" w:eastAsia="Arial" w:hAnsi="Arial"/>
          <w:sz w:val="17"/>
          <w:szCs w:val="17"/>
          <w:color w:val="auto"/>
        </w:rPr>
        <w:t xml:space="preserve"> Calise Y. Cheng, </w:t>
      </w:r>
      <w:r>
        <w:rPr>
          <w:rFonts w:ascii="Arial" w:cs="Arial" w:eastAsia="Arial" w:hAnsi="Arial"/>
          <w:sz w:val="17"/>
          <w:szCs w:val="17"/>
          <w:i w:val="1"/>
          <w:iCs w:val="1"/>
          <w:color w:val="auto"/>
        </w:rPr>
        <w:t>Cooley LLP</w:t>
      </w:r>
    </w:p>
    <w:p>
      <w:pPr>
        <w:spacing w:after="0" w:line="1" w:lineRule="exact"/>
        <w:rPr>
          <w:rFonts w:ascii="Arial" w:cs="Arial" w:eastAsia="Arial" w:hAnsi="Arial"/>
          <w:sz w:val="17"/>
          <w:szCs w:val="17"/>
          <w:color w:val="auto"/>
        </w:rPr>
      </w:pPr>
    </w:p>
    <w:p>
      <w:pPr>
        <w:ind w:left="444" w:right="832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Bradley M. Libuit, </w:t>
      </w:r>
      <w:r>
        <w:rPr>
          <w:rFonts w:ascii="Arial" w:cs="Arial" w:eastAsia="Arial" w:hAnsi="Arial"/>
          <w:sz w:val="18"/>
          <w:szCs w:val="18"/>
          <w:i w:val="1"/>
          <w:iCs w:val="1"/>
          <w:color w:val="auto"/>
        </w:rPr>
        <w:t>Cooley LLP</w:t>
      </w:r>
      <w:r>
        <w:rPr>
          <w:rFonts w:ascii="Arial" w:cs="Arial" w:eastAsia="Arial" w:hAnsi="Arial"/>
          <w:sz w:val="18"/>
          <w:szCs w:val="18"/>
          <w:color w:val="auto"/>
        </w:rPr>
        <w:t xml:space="preserve"> Alex K. Kassai, </w:t>
      </w:r>
      <w:r>
        <w:rPr>
          <w:rFonts w:ascii="Arial" w:cs="Arial" w:eastAsia="Arial" w:hAnsi="Arial"/>
          <w:sz w:val="18"/>
          <w:szCs w:val="18"/>
          <w:i w:val="1"/>
          <w:iCs w:val="1"/>
          <w:color w:val="auto"/>
        </w:rPr>
        <w:t>Cooley LLP</w:t>
      </w:r>
      <w:r>
        <w:rPr>
          <w:rFonts w:ascii="Arial" w:cs="Arial" w:eastAsia="Arial" w:hAnsi="Arial"/>
          <w:sz w:val="18"/>
          <w:szCs w:val="18"/>
          <w:color w:val="auto"/>
        </w:rPr>
        <w:t xml:space="preserve"> Allison Spinner, </w:t>
      </w:r>
      <w:r>
        <w:rPr>
          <w:rFonts w:ascii="Arial" w:cs="Arial" w:eastAsia="Arial" w:hAnsi="Arial"/>
          <w:sz w:val="18"/>
          <w:szCs w:val="18"/>
          <w:i w:val="1"/>
          <w:iCs w:val="1"/>
          <w:color w:val="auto"/>
        </w:rPr>
        <w:t>WSGR</w:t>
      </w:r>
      <w:r>
        <w:rPr>
          <w:rFonts w:ascii="Arial" w:cs="Arial" w:eastAsia="Arial" w:hAnsi="Arial"/>
          <w:sz w:val="18"/>
          <w:szCs w:val="18"/>
          <w:color w:val="auto"/>
        </w:rPr>
        <w:t xml:space="preserve"> Shannon Delahaye, </w:t>
      </w:r>
      <w:r>
        <w:rPr>
          <w:rFonts w:ascii="Arial" w:cs="Arial" w:eastAsia="Arial" w:hAnsi="Arial"/>
          <w:sz w:val="18"/>
          <w:szCs w:val="18"/>
          <w:i w:val="1"/>
          <w:iCs w:val="1"/>
          <w:color w:val="auto"/>
        </w:rPr>
        <w:t>WSGR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(650) 843-5000 f: (650) 849-7400 cooley.com</w:t>
      </w:r>
    </w:p>
    <w:p>
      <w:pPr>
        <w:spacing w:after="0" w:line="207" w:lineRule="exact"/>
        <w:rPr>
          <w:sz w:val="20"/>
          <w:szCs w:val="20"/>
          <w:color w:val="auto"/>
        </w:rPr>
      </w:pPr>
    </w:p>
    <w:p>
      <w:pPr>
        <w:ind w:left="4" w:right="660"/>
        <w:spacing w:after="0" w:line="282" w:lineRule="auto"/>
        <w:rPr>
          <w:sz w:val="20"/>
          <w:szCs w:val="20"/>
          <w:color w:val="auto"/>
        </w:rPr>
      </w:pPr>
      <w:r>
        <w:rPr>
          <w:rFonts w:ascii="Arial" w:cs="Arial" w:eastAsia="Arial" w:hAnsi="Arial"/>
          <w:sz w:val="18"/>
          <w:szCs w:val="18"/>
          <w:b w:val="1"/>
          <w:bCs w:val="1"/>
          <w:color w:val="auto"/>
        </w:rPr>
        <w:t>Zoom Video Communications, Inc. requests that the information contained in this letter, marked by brackets, be treated as confidential information pursuant to 17 C.F.R. §200.83.</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2020-10-07T23:36:33Z</dcterms:created>
  <dcterms:modified xsi:type="dcterms:W3CDTF">2020-10-07T23:36:33Z</dcterms:modified>
</cp:coreProperties>
</file>