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81915</wp:posOffset>
            </wp:positionV>
            <wp:extent cx="18516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81915</wp:posOffset>
            </wp:positionV>
            <wp:extent cx="986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364" w:lineRule="exact"/>
        <w:rPr>
          <w:sz w:val="24"/>
          <w:szCs w:val="24"/>
          <w:color w:val="auto"/>
        </w:rPr>
      </w:pPr>
    </w:p>
    <w:p>
      <w:pPr>
        <w:spacing w:after="0"/>
        <w:tabs>
          <w:tab w:leader="none" w:pos="20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6"/>
          <w:szCs w:val="16"/>
          <w:color w:val="auto"/>
        </w:rPr>
        <w:t>Filed by a Party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right="4540" w:hanging="434"/>
        <w:spacing w:after="0" w:line="359"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Confidential, for Use of the Commission Only (as permitted by Rule 14a-6(e)(2)) </w:t>
      </w:r>
      <w:r>
        <w:rPr>
          <w:rFonts w:ascii="Arial" w:cs="Arial" w:eastAsia="Arial" w:hAnsi="Arial"/>
          <w:sz w:val="18"/>
          <w:szCs w:val="18"/>
          <w:color w:val="auto"/>
        </w:rPr>
        <w:t>Definitive Proxy Statement</w:t>
      </w:r>
    </w:p>
    <w:p>
      <w:pPr>
        <w:spacing w:after="0" w:line="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48895</wp:posOffset>
            </wp:positionV>
            <wp:extent cx="986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85"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Zoom Video Communications, Inc.</w:t>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81915</wp:posOffset>
            </wp:positionV>
            <wp:extent cx="986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63"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480"/>
        <w:spacing w:after="0"/>
        <w:rPr>
          <w:sz w:val="20"/>
          <w:szCs w:val="20"/>
          <w:color w:val="auto"/>
        </w:rPr>
      </w:pPr>
      <w:r>
        <w:rPr>
          <w:rFonts w:ascii="Arial" w:cs="Arial" w:eastAsia="Arial" w:hAnsi="Arial"/>
          <w:sz w:val="18"/>
          <w:szCs w:val="18"/>
          <w:color w:val="auto"/>
        </w:rPr>
        <w:t>No fee required.</w:t>
      </w:r>
    </w:p>
    <w:p>
      <w:pPr>
        <w:spacing w:after="0" w:line="75" w:lineRule="exact"/>
        <w:rPr>
          <w:sz w:val="24"/>
          <w:szCs w:val="24"/>
          <w:color w:val="auto"/>
        </w:rPr>
      </w:pPr>
    </w:p>
    <w:p>
      <w:pPr>
        <w:ind w:left="20"/>
        <w:spacing w:after="0" w:line="181" w:lineRule="exact"/>
        <w:rPr>
          <w:sz w:val="20"/>
          <w:szCs w:val="20"/>
          <w:color w:val="auto"/>
        </w:rPr>
      </w:pPr>
      <w:r>
        <w:rPr>
          <w:rFonts w:ascii="MS PGothic" w:cs="MS PGothic" w:eastAsia="MS PGothic" w:hAnsi="MS PGothic"/>
          <w:sz w:val="18"/>
          <w:szCs w:val="18"/>
          <w:color w:val="auto"/>
        </w:rPr>
        <w:t>☐</w:t>
      </w:r>
    </w:p>
    <w:p>
      <w:pPr>
        <w:ind w:left="480"/>
        <w:spacing w:after="0"/>
        <w:rPr>
          <w:sz w:val="20"/>
          <w:szCs w:val="20"/>
          <w:color w:val="auto"/>
        </w:rPr>
      </w:pPr>
      <w:r>
        <w:rPr>
          <w:rFonts w:ascii="Arial" w:cs="Arial" w:eastAsia="Arial" w:hAnsi="Arial"/>
          <w:sz w:val="18"/>
          <w:szCs w:val="18"/>
          <w:color w:val="auto"/>
        </w:rPr>
        <w:t>Fee computed on table below per Exchange Act Rules 14a-6(i)(1) and 0-11.</w:t>
      </w:r>
    </w:p>
    <w:p>
      <w:pPr>
        <w:spacing w:after="0" w:line="32" w:lineRule="exact"/>
        <w:rPr>
          <w:sz w:val="24"/>
          <w:szCs w:val="24"/>
          <w:color w:val="auto"/>
        </w:rPr>
      </w:pPr>
    </w:p>
    <w:p>
      <w:pPr>
        <w:ind w:left="480"/>
        <w:spacing w:after="0"/>
        <w:rPr>
          <w:sz w:val="20"/>
          <w:szCs w:val="20"/>
          <w:color w:val="auto"/>
        </w:rPr>
      </w:pPr>
      <w:r>
        <w:rPr>
          <w:rFonts w:ascii="Arial" w:cs="Arial" w:eastAsia="Arial" w:hAnsi="Arial"/>
          <w:sz w:val="18"/>
          <w:szCs w:val="18"/>
          <w:color w:val="auto"/>
        </w:rPr>
        <w:t>(1)</w:t>
      </w:r>
    </w:p>
    <w:p>
      <w:pPr>
        <w:ind w:left="900"/>
        <w:spacing w:after="0"/>
        <w:rPr>
          <w:sz w:val="20"/>
          <w:szCs w:val="20"/>
          <w:color w:val="auto"/>
        </w:rPr>
      </w:pPr>
      <w:r>
        <w:rPr>
          <w:rFonts w:ascii="Arial" w:cs="Arial" w:eastAsia="Arial" w:hAnsi="Arial"/>
          <w:sz w:val="18"/>
          <w:szCs w:val="18"/>
          <w:color w:val="auto"/>
        </w:rPr>
        <w:t>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158750</wp:posOffset>
            </wp:positionV>
            <wp:extent cx="6317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7615" cy="8255"/>
                    </a:xfrm>
                    <a:prstGeom prst="rect">
                      <a:avLst/>
                    </a:prstGeom>
                    <a:noFill/>
                  </pic:spPr>
                </pic:pic>
              </a:graphicData>
            </a:graphic>
          </wp:anchor>
        </w:drawing>
      </w:r>
    </w:p>
    <w:p>
      <w:pPr>
        <w:spacing w:after="0" w:line="297" w:lineRule="exact"/>
        <w:rPr>
          <w:sz w:val="24"/>
          <w:szCs w:val="24"/>
          <w:color w:val="auto"/>
        </w:rPr>
      </w:pPr>
    </w:p>
    <w:p>
      <w:pPr>
        <w:ind w:left="900" w:hanging="429"/>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29"/>
        <w:spacing w:after="0" w:line="277" w:lineRule="auto"/>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900" w:hanging="429"/>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29"/>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160" w:hanging="454"/>
        <w:spacing w:after="0" w:line="308" w:lineRule="auto"/>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7"/>
          <w:szCs w:val="17"/>
          <w:color w:val="auto"/>
        </w:rPr>
      </w:pPr>
    </w:p>
    <w:p>
      <w:pPr>
        <w:ind w:left="900" w:hanging="42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2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2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29"/>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168910</wp:posOffset>
            </wp:positionV>
            <wp:extent cx="6317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-173355</wp:posOffset>
            </wp:positionV>
            <wp:extent cx="6317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-516255</wp:posOffset>
            </wp:positionV>
            <wp:extent cx="6317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-859155</wp:posOffset>
            </wp:positionV>
            <wp:extent cx="6317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7615" cy="8890"/>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-1750695</wp:posOffset>
            </wp:positionV>
            <wp:extent cx="6317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-2093595</wp:posOffset>
            </wp:positionV>
            <wp:extent cx="6317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-2436495</wp:posOffset>
            </wp:positionV>
            <wp:extent cx="6317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7615" cy="8255"/>
                    </a:xfrm>
                    <a:prstGeom prst="rect">
                      <a:avLst/>
                    </a:prstGeom>
                    <a:noFill/>
                  </pic:spPr>
                </pic:pic>
              </a:graphicData>
            </a:graphic>
          </wp:anchor>
        </w:drawing>
        <w:drawing>
          <wp:anchor simplePos="0" relativeHeight="251657728" behindDoc="1" locked="0" layoutInCell="0" allowOverlap="1">
            <wp:simplePos x="0" y="0"/>
            <wp:positionH relativeFrom="column">
              <wp:posOffset>819150</wp:posOffset>
            </wp:positionH>
            <wp:positionV relativeFrom="paragraph">
              <wp:posOffset>-2916555</wp:posOffset>
            </wp:positionV>
            <wp:extent cx="6317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7615" cy="8255"/>
                    </a:xfrm>
                    <a:prstGeom prst="rect">
                      <a:avLst/>
                    </a:prstGeom>
                    <a:noFill/>
                  </pic:spPr>
                </pic:pic>
              </a:graphicData>
            </a:graphic>
          </wp:anchor>
        </w:drawing>
      </w:r>
    </w:p>
    <w:p>
      <w:pPr>
        <w:sectPr>
          <w:pgSz w:w="11900" w:h="16838" w:orient="portrait"/>
          <w:cols w:equalWidth="0" w:num="1">
            <w:col w:w="11140"/>
          </w:cols>
          <w:pgMar w:left="320" w:top="814"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3122930</wp:posOffset>
            </wp:positionH>
            <wp:positionV relativeFrom="page">
              <wp:posOffset>88900</wp:posOffset>
            </wp:positionV>
            <wp:extent cx="1311275"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608330"/>
                    </a:xfrm>
                    <a:prstGeom prst="rect">
                      <a:avLst/>
                    </a:prstGeom>
                    <a:noFill/>
                  </pic:spPr>
                </pic:pic>
              </a:graphicData>
            </a:graphic>
          </wp:anchor>
        </w:drawing>
        <w:t>ZOOM VIDEO COMMUNICATIONS, INC.</w:t>
      </w:r>
    </w:p>
    <w:p>
      <w:pPr>
        <w:spacing w:after="0" w:line="19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55 ALMADEN BLVD., 6</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FLOOR</w:t>
      </w:r>
    </w:p>
    <w:p>
      <w:pPr>
        <w:ind w:left="4320"/>
        <w:spacing w:after="0"/>
        <w:rPr>
          <w:sz w:val="20"/>
          <w:szCs w:val="20"/>
          <w:color w:val="auto"/>
        </w:rPr>
      </w:pPr>
      <w:r>
        <w:rPr>
          <w:rFonts w:ascii="Arial" w:cs="Arial" w:eastAsia="Arial" w:hAnsi="Arial"/>
          <w:sz w:val="18"/>
          <w:szCs w:val="18"/>
          <w:b w:val="1"/>
          <w:bCs w:val="1"/>
          <w:color w:val="auto"/>
        </w:rPr>
        <w:t>SAN JOSE, CALIFORNIA 95113</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10:00 A.M. PACIFIC TIME ON THURSDAY, JUNE 18,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 of Zoom Video Communications, Inc.:</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cordially invite you to attend the 2020 annual meeting of stockholders (the “Annual Meeting”) of Zoom Video Communications, Inc., a Delaware corporation, which will be held as a virtual meeting on </w:t>
      </w:r>
      <w:r>
        <w:rPr>
          <w:rFonts w:ascii="Arial" w:cs="Arial" w:eastAsia="Arial" w:hAnsi="Arial"/>
          <w:sz w:val="18"/>
          <w:szCs w:val="18"/>
          <w:b w:val="1"/>
          <w:bCs w:val="1"/>
          <w:color w:val="auto"/>
        </w:rPr>
        <w:t>Thursday, June 18, 2020 at 10:00 a.m. Pacific Time</w:t>
      </w:r>
      <w:r>
        <w:rPr>
          <w:rFonts w:ascii="Arial" w:cs="Arial" w:eastAsia="Arial" w:hAnsi="Arial"/>
          <w:sz w:val="18"/>
          <w:szCs w:val="18"/>
          <w:color w:val="auto"/>
        </w:rPr>
        <w:t>. You can attend the Annual Meeting via a live interactive webcast on the internet at www.virtualshareholdermeeting.com/ZM2020 where you will be able to view the meeting live, submit questions (before and during the meeting) and vote online.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holding the Annual Meeting for the following purposes, as more fully described in the accompanying proxy statement:</w:t>
      </w:r>
    </w:p>
    <w:p>
      <w:pPr>
        <w:spacing w:after="0" w:line="198"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three nominees for Class I directors to serve until the 2023 annual meeting of stockholders and until their successors are duly elected and qualified;</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our fiscal year ending January 31, 2021; 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transact such other business that may properly come before the Annual Meeting or any adjournments or postponements thereof.</w:t>
      </w:r>
    </w:p>
    <w:p>
      <w:pPr>
        <w:spacing w:after="0" w:line="2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fixed the close of business on April 20, 2020 as the record date for the Annual Meeting (the “Record Date”). Only stockholders of record on April 20, 2020 are entitled to notice of and to vote at the Annual Meeting. Further information regarding voting rights and the matters to be voted upon is presented in the accompanying proxy statement.</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or about May 7, 2020, we expect to mail to our stockholders a Notice of Internet Availability of Proxy Materials (the “Notice”) containing instructions on how to access our proxy statement and annual report. The Notice provides instructions on how to vote via the Internet or by telephone and includes instructions on how to receive a paper copy of our proxy materials by mail.</w:t>
      </w:r>
    </w:p>
    <w:p>
      <w:pPr>
        <w:spacing w:after="0" w:line="1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virtual Annual Meeting and to vote your shares at the Annual Meeting.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appreciate your continued support of Zoom.</w:t>
      </w:r>
    </w:p>
    <w:p>
      <w:pPr>
        <w:spacing w:after="0" w:line="23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Eric S. Yuan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San Jose, California</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May 7, 2020</w:t>
      </w:r>
    </w:p>
    <w:p>
      <w:pPr>
        <w:sectPr>
          <w:pgSz w:w="11900" w:h="16838" w:orient="portrait"/>
          <w:cols w:equalWidth="0" w:num="1">
            <w:col w:w="11240"/>
          </w:cols>
          <w:pgMar w:left="320" w:top="14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6960" w:type="dxa"/>
            <w:vAlign w:val="bottom"/>
          </w:tcPr>
          <w:p>
            <w:pPr>
              <w:ind w:left="98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r>
      <w:tr>
        <w:trPr>
          <w:trHeight w:val="486"/>
        </w:trPr>
        <w:tc>
          <w:tcPr>
            <w:tcW w:w="36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
        </w:trPr>
        <w:tc>
          <w:tcPr>
            <w:tcW w:w="36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425"/>
        </w:trPr>
        <w:tc>
          <w:tcPr>
            <w:tcW w:w="10620" w:type="dxa"/>
            <w:vAlign w:val="bottom"/>
            <w:gridSpan w:val="2"/>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BOARD OF DIRECTORS AND CORPORATE GOVERNANCE</w:t>
              </w:r>
            </w:hyperlink>
          </w:p>
        </w:tc>
        <w:tc>
          <w:tcPr>
            <w:tcW w:w="60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Nominees for Director</w:t>
              </w:r>
            </w:hyperlink>
          </w:p>
        </w:tc>
        <w:tc>
          <w:tcPr>
            <w:tcW w:w="60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7</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Continuing Directors</w:t>
              </w:r>
            </w:hyperlink>
          </w:p>
        </w:tc>
        <w:tc>
          <w:tcPr>
            <w:tcW w:w="60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10</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Director Independence</w:t>
              </w:r>
            </w:hyperlink>
          </w:p>
        </w:tc>
        <w:tc>
          <w:tcPr>
            <w:tcW w:w="60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10</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Board Leadership Structure</w:t>
              </w:r>
            </w:hyperlink>
          </w:p>
        </w:tc>
        <w:tc>
          <w:tcPr>
            <w:tcW w:w="60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10</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Lead Independent Director</w:t>
              </w:r>
            </w:hyperlink>
          </w:p>
        </w:tc>
        <w:tc>
          <w:tcPr>
            <w:tcW w:w="60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11</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Board and Stockholder Meetings and Committees</w:t>
              </w:r>
            </w:hyperlink>
          </w:p>
        </w:tc>
        <w:tc>
          <w:tcPr>
            <w:tcW w:w="600" w:type="dxa"/>
            <w:vAlign w:val="bottom"/>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11</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Compensation Committee Interlocks and Insider Participation</w:t>
              </w:r>
            </w:hyperlink>
          </w:p>
        </w:tc>
        <w:tc>
          <w:tcPr>
            <w:tcW w:w="60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13</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Considerations in Evaluating Director Nominees</w:t>
              </w:r>
            </w:hyperlink>
          </w:p>
        </w:tc>
        <w:tc>
          <w:tcPr>
            <w:tcW w:w="60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13</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Stockholder Recommendations for Nominations to the Board of Directors</w:t>
              </w:r>
            </w:hyperlink>
          </w:p>
        </w:tc>
        <w:tc>
          <w:tcPr>
            <w:tcW w:w="60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13</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Communications with the Board of Directors</w:t>
              </w:r>
            </w:hyperlink>
          </w:p>
        </w:tc>
        <w:tc>
          <w:tcPr>
            <w:tcW w:w="60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14</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Corporate Governance Guidelines and Code of Business Conduct and Ethics</w:t>
              </w:r>
            </w:hyperlink>
          </w:p>
        </w:tc>
        <w:tc>
          <w:tcPr>
            <w:tcW w:w="60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14</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Risk Management</w:t>
              </w:r>
            </w:hyperlink>
          </w:p>
        </w:tc>
        <w:tc>
          <w:tcPr>
            <w:tcW w:w="60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14</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Environmental, Social, and Governance (“ESG”)</w:t>
              </w:r>
            </w:hyperlink>
          </w:p>
        </w:tc>
        <w:tc>
          <w:tcPr>
            <w:tcW w:w="60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15</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Non-Employee Director Compensation</w:t>
              </w:r>
            </w:hyperlink>
          </w:p>
        </w:tc>
        <w:tc>
          <w:tcPr>
            <w:tcW w:w="60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15</w:t>
              </w:r>
            </w:hyperlink>
          </w:p>
        </w:tc>
      </w:tr>
      <w:tr>
        <w:trPr>
          <w:trHeight w:val="190"/>
        </w:trPr>
        <w:tc>
          <w:tcPr>
            <w:tcW w:w="3660" w:type="dxa"/>
            <w:vAlign w:val="bottom"/>
            <w:tcBorders>
              <w:bottom w:val="single" w:sz="8" w:color="0000FF"/>
            </w:tcBorders>
          </w:tcPr>
          <w:p>
            <w:pPr>
              <w:spacing w:after="0" w:line="190" w:lineRule="exact"/>
              <w:rPr>
                <w:rFonts w:ascii="Arial" w:cs="Arial" w:eastAsia="Arial" w:hAnsi="Arial"/>
                <w:sz w:val="18"/>
                <w:szCs w:val="18"/>
                <w:color w:val="0000FF"/>
                <w:w w:val="94"/>
              </w:rPr>
            </w:pPr>
            <w:hyperlink w:anchor="page21">
              <w:r>
                <w:rPr>
                  <w:rFonts w:ascii="Arial" w:cs="Arial" w:eastAsia="Arial" w:hAnsi="Arial"/>
                  <w:sz w:val="18"/>
                  <w:szCs w:val="18"/>
                  <w:color w:val="0000FF"/>
                  <w:w w:val="94"/>
                </w:rPr>
                <w:t>PROPOSAL NO. 1 ELECTION OF DIRECTORS</w:t>
              </w:r>
            </w:hyperlink>
          </w:p>
        </w:tc>
        <w:tc>
          <w:tcPr>
            <w:tcW w:w="6960" w:type="dxa"/>
            <w:vAlign w:val="bottom"/>
          </w:tcPr>
          <w:p>
            <w:pPr>
              <w:spacing w:after="0"/>
              <w:rPr>
                <w:sz w:val="16"/>
                <w:szCs w:val="16"/>
                <w:color w:val="auto"/>
              </w:rPr>
            </w:pPr>
          </w:p>
        </w:tc>
        <w:tc>
          <w:tcPr>
            <w:tcW w:w="600" w:type="dxa"/>
            <w:vAlign w:val="bottom"/>
          </w:tcPr>
          <w:p>
            <w:pPr>
              <w:jc w:val="right"/>
              <w:spacing w:after="0" w:line="190" w:lineRule="exact"/>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tc>
      </w:tr>
      <w:tr>
        <w:trPr>
          <w:trHeight w:val="24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Nominees</w:t>
              </w:r>
            </w:hyperlink>
          </w:p>
        </w:tc>
        <w:tc>
          <w:tcPr>
            <w:tcW w:w="60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19</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Vote Required</w:t>
              </w:r>
            </w:hyperlink>
          </w:p>
        </w:tc>
        <w:tc>
          <w:tcPr>
            <w:tcW w:w="60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19</w:t>
              </w:r>
            </w:hyperlink>
          </w:p>
        </w:tc>
      </w:tr>
      <w:tr>
        <w:trPr>
          <w:trHeight w:val="229"/>
        </w:trPr>
        <w:tc>
          <w:tcPr>
            <w:tcW w:w="10620" w:type="dxa"/>
            <w:vAlign w:val="bottom"/>
            <w:gridSpan w:val="2"/>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PROPOSAL NO. 2 RATIFICATION OF APPOINTMENT OF INDEPENDENT REGISTERED PUBLIC ACCOUNTING FIRM</w:t>
              </w:r>
            </w:hyperlink>
          </w:p>
        </w:tc>
        <w:tc>
          <w:tcPr>
            <w:tcW w:w="60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20</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Fees Paid to the Independent Registered Public Accounting Firm</w:t>
              </w:r>
            </w:hyperlink>
          </w:p>
        </w:tc>
        <w:tc>
          <w:tcPr>
            <w:tcW w:w="60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20</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Auditor Independence</w:t>
              </w:r>
            </w:hyperlink>
          </w:p>
        </w:tc>
        <w:tc>
          <w:tcPr>
            <w:tcW w:w="60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20</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w w:val="95"/>
              </w:rPr>
            </w:pPr>
            <w:hyperlink w:anchor="page23">
              <w:r>
                <w:rPr>
                  <w:rFonts w:ascii="Arial" w:cs="Arial" w:eastAsia="Arial" w:hAnsi="Arial"/>
                  <w:sz w:val="18"/>
                  <w:szCs w:val="18"/>
                  <w:u w:val="single" w:color="auto"/>
                  <w:color w:val="0000FF"/>
                  <w:w w:val="95"/>
                </w:rPr>
                <w:t>Audit Committee Policy on Pre-Approval of Audit and Permissible Non-Audit Services of Independent Registered Public Accounting Firm</w:t>
              </w:r>
            </w:hyperlink>
          </w:p>
        </w:tc>
        <w:tc>
          <w:tcPr>
            <w:tcW w:w="60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21</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Vote Required</w:t>
              </w:r>
            </w:hyperlink>
          </w:p>
        </w:tc>
        <w:tc>
          <w:tcPr>
            <w:tcW w:w="60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21</w:t>
              </w:r>
            </w:hyperlink>
          </w:p>
        </w:tc>
      </w:tr>
      <w:tr>
        <w:trPr>
          <w:trHeight w:val="230"/>
        </w:trPr>
        <w:tc>
          <w:tcPr>
            <w:tcW w:w="10620" w:type="dxa"/>
            <w:vAlign w:val="bottom"/>
            <w:gridSpan w:val="2"/>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REPORT OF THE AUDIT COMMITTEE</w:t>
              </w:r>
            </w:hyperlink>
          </w:p>
        </w:tc>
        <w:tc>
          <w:tcPr>
            <w:tcW w:w="60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30"/>
        </w:trPr>
        <w:tc>
          <w:tcPr>
            <w:tcW w:w="10620" w:type="dxa"/>
            <w:vAlign w:val="bottom"/>
            <w:gridSpan w:val="2"/>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EXECUTIVE OFFICERS</w:t>
              </w:r>
            </w:hyperlink>
          </w:p>
        </w:tc>
        <w:tc>
          <w:tcPr>
            <w:tcW w:w="60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tc>
      </w:tr>
      <w:tr>
        <w:trPr>
          <w:trHeight w:val="230"/>
        </w:trPr>
        <w:tc>
          <w:tcPr>
            <w:tcW w:w="10620" w:type="dxa"/>
            <w:vAlign w:val="bottom"/>
            <w:gridSpan w:val="2"/>
          </w:tcPr>
          <w:p>
            <w:pPr>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EXECUTIVE COMPENSATION</w:t>
              </w:r>
            </w:hyperlink>
          </w:p>
        </w:tc>
        <w:tc>
          <w:tcPr>
            <w:tcW w:w="60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Executive Officers</w:t>
              </w:r>
            </w:hyperlink>
          </w:p>
        </w:tc>
        <w:tc>
          <w:tcPr>
            <w:tcW w:w="60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24</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Processes and Procedures for Compensation Decisions</w:t>
              </w:r>
            </w:hyperlink>
          </w:p>
        </w:tc>
        <w:tc>
          <w:tcPr>
            <w:tcW w:w="60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24</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Summary Compensation Table for Fiscal Year 2020</w:t>
              </w:r>
            </w:hyperlink>
          </w:p>
        </w:tc>
        <w:tc>
          <w:tcPr>
            <w:tcW w:w="60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24</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Employment, Severance and Change in Control Agreements</w:t>
              </w:r>
            </w:hyperlink>
          </w:p>
        </w:tc>
        <w:tc>
          <w:tcPr>
            <w:tcW w:w="60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26</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Potential Payments upon Termination or Change of Control</w:t>
              </w:r>
            </w:hyperlink>
          </w:p>
        </w:tc>
        <w:tc>
          <w:tcPr>
            <w:tcW w:w="60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27</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Outstanding Equity Awards at 2020 Fiscal Year-End</w:t>
              </w:r>
            </w:hyperlink>
          </w:p>
        </w:tc>
        <w:tc>
          <w:tcPr>
            <w:tcW w:w="6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Other Compensation and Benefits</w:t>
              </w:r>
            </w:hyperlink>
          </w:p>
        </w:tc>
        <w:tc>
          <w:tcPr>
            <w:tcW w:w="6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27</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Clawback Policy</w:t>
              </w:r>
            </w:hyperlink>
          </w:p>
        </w:tc>
        <w:tc>
          <w:tcPr>
            <w:tcW w:w="60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28</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Equity Plans</w:t>
              </w:r>
            </w:hyperlink>
          </w:p>
        </w:tc>
        <w:tc>
          <w:tcPr>
            <w:tcW w:w="60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29</w:t>
              </w:r>
            </w:hyperlink>
          </w:p>
        </w:tc>
      </w:tr>
      <w:tr>
        <w:trPr>
          <w:trHeight w:val="230"/>
        </w:trPr>
        <w:tc>
          <w:tcPr>
            <w:tcW w:w="10620" w:type="dxa"/>
            <w:vAlign w:val="bottom"/>
            <w:gridSpan w:val="2"/>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EQUITY COMPENSATION PLAN INFORMATION</w:t>
              </w:r>
            </w:hyperlink>
          </w:p>
        </w:tc>
        <w:tc>
          <w:tcPr>
            <w:tcW w:w="60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33</w:t>
              </w:r>
            </w:hyperlink>
          </w:p>
        </w:tc>
      </w:tr>
      <w:tr>
        <w:trPr>
          <w:trHeight w:val="230"/>
        </w:trPr>
        <w:tc>
          <w:tcPr>
            <w:tcW w:w="10620" w:type="dxa"/>
            <w:vAlign w:val="bottom"/>
            <w:gridSpan w:val="2"/>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SECURITY OWNERSHIP OF CERTAIN BENEFICIAL OWNERS AND MANAGEMENT</w:t>
              </w:r>
            </w:hyperlink>
          </w:p>
        </w:tc>
        <w:tc>
          <w:tcPr>
            <w:tcW w:w="600" w:type="dxa"/>
            <w:vAlign w:val="bottom"/>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34</w:t>
              </w:r>
            </w:hyperlink>
          </w:p>
        </w:tc>
      </w:tr>
      <w:tr>
        <w:trPr>
          <w:trHeight w:val="230"/>
        </w:trPr>
        <w:tc>
          <w:tcPr>
            <w:tcW w:w="10620" w:type="dxa"/>
            <w:vAlign w:val="bottom"/>
            <w:gridSpan w:val="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CERTAIN RELATIONSHIPS AND RELATED PERSON TRANSACTIONS</w:t>
              </w:r>
            </w:hyperlink>
          </w:p>
        </w:tc>
        <w:tc>
          <w:tcPr>
            <w:tcW w:w="60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37</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Policies and Procedures for Related Party Transactions</w:t>
              </w:r>
            </w:hyperlink>
          </w:p>
        </w:tc>
        <w:tc>
          <w:tcPr>
            <w:tcW w:w="60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37</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Certain Related Person Transactions</w:t>
              </w:r>
            </w:hyperlink>
          </w:p>
        </w:tc>
        <w:tc>
          <w:tcPr>
            <w:tcW w:w="60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37</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Investor's Rights Agreement</w:t>
              </w:r>
            </w:hyperlink>
          </w:p>
        </w:tc>
        <w:tc>
          <w:tcPr>
            <w:tcW w:w="60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37</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Transactions with Veeva Systems, Inc.</w:t>
              </w:r>
            </w:hyperlink>
          </w:p>
        </w:tc>
        <w:tc>
          <w:tcPr>
            <w:tcW w:w="60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37</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Indemnification Agreements</w:t>
              </w:r>
            </w:hyperlink>
          </w:p>
        </w:tc>
        <w:tc>
          <w:tcPr>
            <w:tcW w:w="60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r>
      <w:tr>
        <w:trPr>
          <w:trHeight w:val="230"/>
        </w:trPr>
        <w:tc>
          <w:tcPr>
            <w:tcW w:w="10620" w:type="dxa"/>
            <w:vAlign w:val="bottom"/>
            <w:gridSpan w:val="2"/>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OTHER MATTERS</w:t>
              </w:r>
            </w:hyperlink>
          </w:p>
        </w:tc>
        <w:tc>
          <w:tcPr>
            <w:tcW w:w="60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r>
      <w:tr>
        <w:trPr>
          <w:trHeight w:val="229"/>
        </w:trPr>
        <w:tc>
          <w:tcPr>
            <w:tcW w:w="10620" w:type="dxa"/>
            <w:vAlign w:val="bottom"/>
            <w:gridSpan w:val="2"/>
          </w:tcPr>
          <w:p>
            <w:pPr>
              <w:ind w:left="2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Delinquent Section 16(a) Reports</w:t>
              </w:r>
            </w:hyperlink>
          </w:p>
        </w:tc>
        <w:tc>
          <w:tcPr>
            <w:tcW w:w="60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39</w:t>
              </w:r>
            </w:hyperlink>
          </w:p>
        </w:tc>
      </w:tr>
      <w:tr>
        <w:trPr>
          <w:trHeight w:val="230"/>
        </w:trPr>
        <w:tc>
          <w:tcPr>
            <w:tcW w:w="10620" w:type="dxa"/>
            <w:vAlign w:val="bottom"/>
            <w:gridSpan w:val="2"/>
          </w:tcPr>
          <w:p>
            <w:pPr>
              <w:ind w:left="2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Fiscal Year 2020 Annual Report and SEC Filings</w:t>
              </w:r>
            </w:hyperlink>
          </w:p>
        </w:tc>
        <w:tc>
          <w:tcPr>
            <w:tcW w:w="60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39</w:t>
              </w:r>
            </w:hyperlink>
          </w:p>
        </w:tc>
      </w:tr>
    </w:tbl>
    <w:p>
      <w:pPr>
        <w:spacing w:after="0" w:line="200" w:lineRule="exact"/>
        <w:rPr>
          <w:sz w:val="20"/>
          <w:szCs w:val="20"/>
          <w:color w:val="auto"/>
        </w:rPr>
      </w:pPr>
    </w:p>
    <w:p>
      <w:pPr>
        <w:sectPr>
          <w:pgSz w:w="11900" w:h="16838" w:orient="portrait"/>
          <w:cols w:equalWidth="0" w:num="1">
            <w:col w:w="11220"/>
          </w:cols>
          <w:pgMar w:left="340" w:top="13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309"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2020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10:00 A.M. PACIFIC TIME ON THURSDAY, JUNE 18, 2020</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proxy statement and the enclosed form of proxy are being provided to you in connection with the solicitation of proxies by our board of directors (the “Board of Directors”) for use at the 2020 annual meeting of stockholders of Zoom Video Communications, Inc., a Delaware corporation, and any postponements, adjournments or continuations thereof (the “Annual Meeting”). The Annual Meeting will be held as a virtual meeting on Thursday, June 18, 2020 at 10:00 a.m. Pacific Time via a live interactive webcast on the internet at www.virtualshareholdermeeting.com/ZM2020 where you will be able to listen to the meeting live, submit questions (before and during the meeting) and vote online. The Notice of Internet Availability of Proxy Materials (the “Notice”) containing instructions on how to access this proxy statement and our annual report is first being mailed on or about May 7, 2020 to all stockholders entitled to vote at the Annual Meeting.</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list of stockholders entitled to vote will be available for 10 days prior to the Annual Meeting at our headquarters, 55 Almaden Blvd., 6th Floor, San Jose, California 95113. If you would like to view the stockholder list, please contact our Investor Relations department with an electronic mail message to investors@zoom.us or at 1-888-799-9666 to schedule an appointment or for alternative arrangements to the extent office access is impracticable due to the recent COVID-19 pandemic. In addition, a list of stockholders of record will be available during the Annual Meeting for inspection by stockholders of record for any legally valid purpose related to the Annual Meeting at www.virtualshareholdermeeting.com/ZM2020.</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QUESTIONS AND ANSWERS REGARDING THIS SOLICITATION AND VOTING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Annual Meeting will be held solely in a virtual format, which will be conducted via a live video webcast and online stockholder tools. We have created and implemented the virtual format in order to facilitate stockholder attendance and participation by enabling stockholders to participate fully and equally from any location around the world, at no cost. However, you will bear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will increase stockholder communication. For example, the virtual format allows stockholders to communicate with us in advance of, and during, the Annual Meeting so they can ask questions of our board of directors or management. During the live Q&amp;A session of the Annual Meeting, we may answer questions as they come in and address those asked in advance, to the extent relevant to the business of the Annual Meeting and as time permits.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voting on:</w:t>
      </w:r>
    </w:p>
    <w:p>
      <w:pPr>
        <w:spacing w:after="0" w:line="225" w:lineRule="exact"/>
        <w:rPr>
          <w:sz w:val="20"/>
          <w:szCs w:val="20"/>
          <w:color w:val="auto"/>
        </w:rPr>
      </w:pPr>
    </w:p>
    <w:p>
      <w:pPr>
        <w:ind w:left="98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the three nominees for Class I directors to serve until our 2023 annual meeting of stockholders and until their successors are duly elected and qualified;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4" w:name="page5"/>
    <w:bookmarkEnd w:id="4"/>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ratify the appointment of KPMG LLP as our independent registered public accounting firm for our fiscal year ending January 31, 2021;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Annual Meeting or any adjournments or postponements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recommends a vote:</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Peter Gassner, Lieut. Gen. H.R. McMaster and Eric S. Yuan as Class I directors; and</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KPMG LLP as our independent registered public accounting firm for our fiscal year ending January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Holders of either class of our common stock as of the close of business on April 20, 2020 (the “Record Date”) may vote at the Annual Meeting. As of the Record Date, there were 167,556,598 shares of our Class A common stock outstanding and 114,398,145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Our Class A common stock is referred to in this proxy statement as our common stock.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shares of our common stock are registered directly in your name with our transfer agent,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shares of our common stock are held on your behalf in a brokerage account or by a bank or other nominee,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to be the beneficial owner of shares that are held in “street name,” and the Notice was forwarded to you by your broker, bank or other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 bank or other nominee’s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229" w:lineRule="exact"/>
        <w:rPr>
          <w:sz w:val="20"/>
          <w:szCs w:val="20"/>
          <w:color w:val="auto"/>
        </w:rPr>
      </w:pPr>
    </w:p>
    <w:p>
      <w:pPr>
        <w:jc w:val="both"/>
        <w:ind w:left="980" w:hanging="324"/>
        <w:spacing w:after="0" w:line="255"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Proposal No. 1</w:t>
      </w:r>
      <w:r>
        <w:rPr>
          <w:rFonts w:ascii="Arial" w:cs="Arial" w:eastAsia="Arial" w:hAnsi="Arial"/>
          <w:sz w:val="18"/>
          <w:szCs w:val="18"/>
          <w:color w:val="auto"/>
        </w:rPr>
        <w:t>: The election of directors requires a plurality of the voting power of the shares of our common stock present in person or by</w:t>
      </w:r>
      <w:r>
        <w:rPr>
          <w:rFonts w:ascii="Arial" w:cs="Arial" w:eastAsia="Arial" w:hAnsi="Arial"/>
          <w:sz w:val="18"/>
          <w:szCs w:val="18"/>
          <w:i w:val="1"/>
          <w:iCs w:val="1"/>
          <w:color w:val="auto"/>
        </w:rPr>
        <w:t xml:space="preserve"> </w:t>
      </w:r>
      <w:r>
        <w:rPr>
          <w:rFonts w:ascii="Arial" w:cs="Arial" w:eastAsia="Arial" w:hAnsi="Arial"/>
          <w:sz w:val="18"/>
          <w:szCs w:val="18"/>
          <w:color w:val="auto"/>
        </w:rPr>
        <w:t>proxy at the Annual Meeting and entitled to vote thereon to be approved. “Plurality” means that the nominees who receive the largest number of votes cast “For” such nominees are elected as directors. As a result,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 Withheld votes and broker non-votes will have no effect on the outcome of this proposal.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21" w:right="339" w:bottom="1440" w:gutter="0" w:footer="0" w:header="0"/>
        </w:sectPr>
      </w:pPr>
    </w:p>
    <w:bookmarkStart w:id="5" w:name="page6"/>
    <w:bookmarkEnd w:id="5"/>
    <w:p>
      <w:pPr>
        <w:jc w:val="both"/>
        <w:ind w:left="980" w:hanging="324"/>
        <w:spacing w:after="0" w:line="25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Proposal No. 2</w:t>
      </w:r>
      <w:r>
        <w:rPr>
          <w:rFonts w:ascii="Arial" w:cs="Arial" w:eastAsia="Arial" w:hAnsi="Arial"/>
          <w:sz w:val="18"/>
          <w:szCs w:val="18"/>
          <w:color w:val="auto"/>
        </w:rPr>
        <w:t>: The ratification of the appointment of KPMG LLP as our independent registered public accounting firm for our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January 31, 2021, requires the affirmative vote of a majority of the voting power of the shares of our common stock present in person or by proxy at the Annual Meeting and entitled to vote thereon to be approved. Abstentions are considered votes present and entitled to vote on this proposal, and thus, will have the same effect as a vote “Against” this proposal. Broker non-votes will have no effect on the outcome of this proposal.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quorum is the minimum number of shares required to be present at the Annual Meeting to properly hold an annual meeting of stockholders and conduct business under our amended and restated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are a stockholder of record, there are four ways to vote:</w:t>
      </w:r>
    </w:p>
    <w:p>
      <w:pPr>
        <w:spacing w:after="0" w:line="225" w:lineRule="exact"/>
        <w:rPr>
          <w:sz w:val="20"/>
          <w:szCs w:val="20"/>
          <w:color w:val="auto"/>
        </w:rPr>
      </w:pPr>
    </w:p>
    <w:p>
      <w:pPr>
        <w:ind w:left="980" w:right="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Internet at www.proxyvote.com, 24 hours a day, seven days a week, until 11:59 p.m. Eastern Time on June 17, 2020 (have your Notice or proxy card in hand when you visit the website);</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toll-free telephone until 11:59 p.m. Eastern Time on June 17, 2020 at 1-800-690-6903 (be sure to have your Notice or proxy card in hand when you call);</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completing and mailing your proxy card so it is received prior to the Annual Meeting (if you received printed proxy materials); or</w:t>
      </w:r>
    </w:p>
    <w:p>
      <w:pPr>
        <w:spacing w:after="0" w:line="128" w:lineRule="exact"/>
        <w:rPr>
          <w:rFonts w:ascii="Arial" w:cs="Arial" w:eastAsia="Arial" w:hAnsi="Arial"/>
          <w:sz w:val="17"/>
          <w:szCs w:val="17"/>
          <w:color w:val="auto"/>
        </w:rPr>
      </w:pPr>
    </w:p>
    <w:p>
      <w:pPr>
        <w:ind w:left="980" w:hanging="324"/>
        <w:spacing w:after="0" w:line="308" w:lineRule="auto"/>
        <w:tabs>
          <w:tab w:leader="none" w:pos="9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by attending and voting at the virtual Annual Meeting by visiting www.virtualshareholdermeeting.com/ZM2020, where stockholders may vote and submit questions (before and during) the Annual Meeting (have your proxy card in hand when you visit the website).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Even if you plan to attend the Annual Meeting online, we recommend that you also vote by proxy prior to the Annual Meeting so that your vote will be counted if you later decide not to attend the Annual Meeting.</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Yes. If you are a stockholder of record, you can change your vote or revoke your proxy any time before the Annual Meeting by:</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and returning a later-dated proxy card;</w:t>
      </w:r>
    </w:p>
    <w:p>
      <w:pPr>
        <w:spacing w:after="0" w:line="117" w:lineRule="exact"/>
        <w:rPr>
          <w:rFonts w:ascii="Arial" w:cs="Arial" w:eastAsia="Arial" w:hAnsi="Arial"/>
          <w:sz w:val="18"/>
          <w:szCs w:val="18"/>
          <w:color w:val="auto"/>
        </w:rPr>
      </w:pPr>
    </w:p>
    <w:p>
      <w:pPr>
        <w:ind w:left="980" w:hanging="324"/>
        <w:spacing w:after="0" w:line="22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notifying the Secretary of Zoom Video Communications, Inc., in writing, at Zoom Video Communications, Inc., 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San Jose, California 95113; 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1" w:right="339" w:bottom="1440" w:gutter="0" w:footer="0" w:header="0"/>
        </w:sectPr>
      </w:pPr>
    </w:p>
    <w:bookmarkStart w:id="6" w:name="page7"/>
    <w:bookmarkEnd w:id="6"/>
    <w:p>
      <w:pPr>
        <w:jc w:val="both"/>
        <w:ind w:left="660" w:right="820" w:hanging="4"/>
        <w:spacing w:after="0" w:line="483" w:lineRule="auto"/>
        <w:tabs>
          <w:tab w:leader="none" w:pos="97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attending and voting at the virtual Annual Meeting (although attendance at the Annual Meeting will not, by itself, revoke a proxy). If you are a street name stockholder, your broker, bank or other nominee can provide you with instructions on how to change your vote.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You will be able to attend the virtual Annual Meeting online, submit your questions during the meeting and vote your shares electronically at the virtual meeting by visiting www.virtualshareholdermeeting.com/ZM2020. To participate in the Annual Meeting online, you will need the control number included on your proxy card. The Annual Meeting webcast will begin promptly at 10:00 a.m. Pacific Time. We encourage you to access the meeting prior to the start time. Online check-in will begin at 9:55 a.m. Pacific Time and you should allow sufficient time for the check-in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Proxies are solicited by and on behalf of our Board of Directors. Eric S. Yuan, Kelly Steckelberg, and Aparna Bawa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accordance with the rules of the Securities and Exchange Commission (“SEC”), we have elected to furnish our proxy materials, including this proxy statement and our annual report, primarily via the Internet. The Notice containing instructions on how to access our proxy materials is first being mailed on or about May 7, 2020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of Directors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KPMG LLP as our independent registered public accounting firm for our fiscal year ending January 31, 2021. Your broker will not have discretion to vote on any other proposals, which are “non-routine” matters, absent direction from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21" w:right="339" w:bottom="1440" w:gutter="0" w:footer="0" w:header="0"/>
        </w:sectPr>
      </w:pPr>
    </w:p>
    <w:bookmarkStart w:id="7" w:name="page8"/>
    <w:bookmarkEnd w:id="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 the following address: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Legal Department</w:t>
      </w:r>
    </w:p>
    <w:p>
      <w:pPr>
        <w:jc w:val="center"/>
        <w:spacing w:after="0" w:line="205" w:lineRule="auto"/>
        <w:rPr>
          <w:sz w:val="20"/>
          <w:szCs w:val="20"/>
          <w:color w:val="auto"/>
        </w:rPr>
      </w:pPr>
      <w:r>
        <w:rPr>
          <w:rFonts w:ascii="Arial" w:cs="Arial" w:eastAsia="Arial" w:hAnsi="Arial"/>
          <w:sz w:val="18"/>
          <w:szCs w:val="18"/>
          <w:color w:val="auto"/>
        </w:rPr>
        <w:t>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95113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1-888-799-9666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legal@zoom.us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22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Secretary in a timely manner. For a stockholder proposal to be considered for inclusion in our proxy statement for the 2021 annual meeting of stockholders, our Secretary must receive the written proposal at our principal executive offices not later than January 7, 2021.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Secretary</w:t>
      </w:r>
    </w:p>
    <w:p>
      <w:pPr>
        <w:jc w:val="center"/>
        <w:spacing w:after="0" w:line="205" w:lineRule="auto"/>
        <w:rPr>
          <w:sz w:val="20"/>
          <w:szCs w:val="20"/>
          <w:color w:val="auto"/>
        </w:rPr>
      </w:pPr>
      <w:r>
        <w:rPr>
          <w:rFonts w:ascii="Arial" w:cs="Arial" w:eastAsia="Arial" w:hAnsi="Arial"/>
          <w:sz w:val="18"/>
          <w:szCs w:val="18"/>
          <w:color w:val="auto"/>
        </w:rPr>
        <w:t>55 Almaden Blvd.,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Jose, California 95113</w:t>
      </w:r>
    </w:p>
    <w:p>
      <w:pPr>
        <w:spacing w:after="0" w:line="2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or (iii) properly brought before such meeting by a stockholder of record entitled to vote at such annual meeting who has delivered timely written notice to our Secretary, which notice must contain the information specified in our amended and restated bylaws. To be timely for our 2021 annual meeting of stockholders, our Secretary must receive the written notice at our principal executive offices:</w:t>
      </w:r>
    </w:p>
    <w:p>
      <w:pPr>
        <w:spacing w:after="0" w:line="18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earlier than February 18, 2021;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later than the close of business on March 20, 2021.</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the event that we hold the 2021 annual meeting of stockholders more than 30 days before or after the one-year anniversary of the Annual Meeting, notice of a stockholder proposal that is not intended to be included in our proxy statement must be received no earlier than the close of business on the 120th day before the 2021 annual meeting of stockholders and no later than the close of business on the later of the following two dates:</w:t>
      </w:r>
    </w:p>
    <w:p>
      <w:pPr>
        <w:spacing w:after="0" w:line="149"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90th day prior to the 2021 annual meeting of stockholders;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10th day following the day on which public announcement of the date of our 2021 annual meeting of stockholders is first made.</w:t>
      </w:r>
    </w:p>
    <w:p>
      <w:pPr>
        <w:spacing w:after="0" w:line="1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Holders of our common stock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the section titled “Board of Directors and Corporate Governance—Stockholder Recommendations for Nominations to the Board of Directors.”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periods described above under the section titled “Stockholder Proposals” for stockholder proposals that are not intended to be included in a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may contact our Secretary at the address set forth above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1" w:right="339" w:bottom="1440" w:gutter="0" w:footer="0" w:header="0"/>
        </w:sectPr>
      </w:pPr>
    </w:p>
    <w:bookmarkStart w:id="9" w:name="page10"/>
    <w:bookmarkEnd w:id="9"/>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nine members. Eight of our directors are independent within the meaning of the listing standards of The Nasdaq Stock Market. Our Board of Directors is divided into three staggered classes of directors. At each annual meeting of stockholders, a class of directors will be elected for a three-year term to succeed the same class whose term is then expiring.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the names, ages as of May 7, 2020, and certain other information for each of the members of our Board of Directors with terms expiring at the Annual Meeting (who are also nominees for election as a director at the Annual Meeting) and for each of the continuing members of our Board of Directors: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Directors with Terms Expiring at</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7"/>
              </w:rPr>
              <w:t>Class</w:t>
            </w:r>
          </w:p>
        </w:tc>
        <w:tc>
          <w:tcPr>
            <w:tcW w:w="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Age</w:t>
            </w:r>
          </w:p>
        </w:tc>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34"/>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the Annual Meeting/Nominees</w:t>
            </w:r>
          </w:p>
        </w:tc>
        <w:tc>
          <w:tcPr>
            <w:tcW w:w="90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6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20"/>
              <w:spacing w:after="0"/>
              <w:rPr>
                <w:sz w:val="20"/>
                <w:szCs w:val="20"/>
                <w:color w:val="auto"/>
              </w:rPr>
            </w:pPr>
            <w:r>
              <w:rPr>
                <w:rFonts w:ascii="Arial" w:cs="Arial" w:eastAsia="Arial" w:hAnsi="Arial"/>
                <w:sz w:val="18"/>
                <w:szCs w:val="18"/>
                <w:color w:val="auto"/>
              </w:rPr>
              <w:t>Peter Gassner</w:t>
            </w:r>
          </w:p>
        </w:tc>
        <w:tc>
          <w:tcPr>
            <w:tcW w:w="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I</w:t>
            </w:r>
          </w:p>
        </w:tc>
        <w:tc>
          <w:tcPr>
            <w:tcW w:w="10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24"/>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Lieut. Gen. H.R. McMaster</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rPr>
              <w:t>I</w:t>
            </w:r>
          </w:p>
        </w:tc>
        <w:tc>
          <w:tcPr>
            <w:tcW w:w="800" w:type="dxa"/>
            <w:vAlign w:val="bottom"/>
          </w:tcPr>
          <w:p>
            <w:pPr>
              <w:ind w:lef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Eric S. Yuan</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rPr>
              <w:t>I</w:t>
            </w:r>
          </w:p>
        </w:tc>
        <w:tc>
          <w:tcPr>
            <w:tcW w:w="800" w:type="dxa"/>
            <w:vAlign w:val="bottom"/>
          </w:tcPr>
          <w:p>
            <w:pPr>
              <w:ind w:left="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7"/>
              </w:rPr>
              <w:t>President, Chief Executive Officer</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and Chairman of the Board</w:t>
            </w:r>
          </w:p>
        </w:tc>
        <w:tc>
          <w:tcPr>
            <w:tcW w:w="0" w:type="dxa"/>
            <w:vAlign w:val="bottom"/>
          </w:tcPr>
          <w:p>
            <w:pPr>
              <w:spacing w:after="0"/>
              <w:rPr>
                <w:sz w:val="1"/>
                <w:szCs w:val="1"/>
                <w:color w:val="auto"/>
              </w:rPr>
            </w:pPr>
          </w:p>
        </w:tc>
      </w:tr>
      <w:tr>
        <w:trPr>
          <w:trHeight w:val="310"/>
        </w:trPr>
        <w:tc>
          <w:tcPr>
            <w:tcW w:w="27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Continuing Directors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Jonathan Chadwick</w:t>
            </w:r>
            <w:r>
              <w:rPr>
                <w:rFonts w:ascii="Arial" w:cs="Arial" w:eastAsia="Arial" w:hAnsi="Arial"/>
                <w:sz w:val="23"/>
                <w:szCs w:val="23"/>
                <w:color w:val="auto"/>
                <w:vertAlign w:val="superscript"/>
              </w:rPr>
              <w:t>(1)</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rPr>
              <w:t>II</w:t>
            </w:r>
          </w:p>
        </w:tc>
        <w:tc>
          <w:tcPr>
            <w:tcW w:w="800" w:type="dxa"/>
            <w:vAlign w:val="bottom"/>
          </w:tcPr>
          <w:p>
            <w:pPr>
              <w:ind w:left="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4"/>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23"/>
                <w:szCs w:val="23"/>
                <w:color w:val="auto"/>
                <w:vertAlign w:val="superscript"/>
              </w:rPr>
              <w:t>(3)</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rPr>
              <w:t>II</w:t>
            </w:r>
          </w:p>
        </w:tc>
        <w:tc>
          <w:tcPr>
            <w:tcW w:w="800" w:type="dxa"/>
            <w:vAlign w:val="bottom"/>
          </w:tcPr>
          <w:p>
            <w:pPr>
              <w:ind w:left="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5"/>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Dan Scheinman</w:t>
            </w:r>
            <w:r>
              <w:rPr>
                <w:rFonts w:ascii="Arial" w:cs="Arial" w:eastAsia="Arial" w:hAnsi="Arial"/>
                <w:sz w:val="23"/>
                <w:szCs w:val="23"/>
                <w:color w:val="auto"/>
                <w:vertAlign w:val="superscript"/>
              </w:rPr>
              <w:t>(1)(2)(4)</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rPr>
              <w:t>II</w:t>
            </w:r>
          </w:p>
        </w:tc>
        <w:tc>
          <w:tcPr>
            <w:tcW w:w="800" w:type="dxa"/>
            <w:vAlign w:val="bottom"/>
          </w:tcPr>
          <w:p>
            <w:pPr>
              <w:ind w:lef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0" w:type="dxa"/>
            <w:vAlign w:val="bottom"/>
          </w:tcPr>
          <w:p>
            <w:pPr>
              <w:spacing w:after="0"/>
              <w:rPr>
                <w:sz w:val="1"/>
                <w:szCs w:val="1"/>
                <w:color w:val="auto"/>
              </w:rPr>
            </w:pPr>
          </w:p>
        </w:tc>
      </w:tr>
      <w:tr>
        <w:trPr>
          <w:trHeight w:val="364"/>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Carl M. Eschenbach</w:t>
            </w:r>
            <w:r>
              <w:rPr>
                <w:rFonts w:ascii="Arial" w:cs="Arial" w:eastAsia="Arial" w:hAnsi="Arial"/>
                <w:sz w:val="23"/>
                <w:szCs w:val="23"/>
                <w:color w:val="auto"/>
                <w:vertAlign w:val="superscript"/>
              </w:rPr>
              <w:t>(1)</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rPr>
              <w:t>III</w:t>
            </w:r>
          </w:p>
        </w:tc>
        <w:tc>
          <w:tcPr>
            <w:tcW w:w="800" w:type="dxa"/>
            <w:vAlign w:val="bottom"/>
          </w:tcPr>
          <w:p>
            <w:pPr>
              <w:ind w:left="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5"/>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Santiago Subotovsky</w:t>
            </w:r>
            <w:r>
              <w:rPr>
                <w:rFonts w:ascii="Arial" w:cs="Arial" w:eastAsia="Arial" w:hAnsi="Arial"/>
                <w:sz w:val="23"/>
                <w:szCs w:val="23"/>
                <w:color w:val="auto"/>
                <w:vertAlign w:val="superscript"/>
              </w:rPr>
              <w:t>(2)(3)</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rPr>
              <w:t>III</w:t>
            </w:r>
          </w:p>
        </w:tc>
        <w:tc>
          <w:tcPr>
            <w:tcW w:w="80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4"/>
        </w:trPr>
        <w:tc>
          <w:tcPr>
            <w:tcW w:w="2740" w:type="dxa"/>
            <w:vAlign w:val="bottom"/>
            <w:gridSpan w:val="2"/>
          </w:tcPr>
          <w:p>
            <w:pPr>
              <w:ind w:left="20"/>
              <w:spacing w:after="0"/>
              <w:rPr>
                <w:sz w:val="20"/>
                <w:szCs w:val="20"/>
                <w:color w:val="auto"/>
              </w:rPr>
            </w:pPr>
            <w:r>
              <w:rPr>
                <w:rFonts w:ascii="Arial" w:cs="Arial" w:eastAsia="Arial" w:hAnsi="Arial"/>
                <w:sz w:val="18"/>
                <w:szCs w:val="18"/>
                <w:color w:val="auto"/>
              </w:rPr>
              <w:t>Bart Swanson</w:t>
            </w:r>
            <w:r>
              <w:rPr>
                <w:rFonts w:ascii="Arial" w:cs="Arial" w:eastAsia="Arial" w:hAnsi="Arial"/>
                <w:sz w:val="23"/>
                <w:szCs w:val="23"/>
                <w:color w:val="auto"/>
                <w:vertAlign w:val="superscript"/>
              </w:rPr>
              <w:t>(2)(3)</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rPr>
              <w:t>III</w:t>
            </w:r>
          </w:p>
        </w:tc>
        <w:tc>
          <w:tcPr>
            <w:tcW w:w="800" w:type="dxa"/>
            <w:vAlign w:val="bottom"/>
          </w:tcPr>
          <w:p>
            <w:pPr>
              <w:ind w:lef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-2272030</wp:posOffset>
            </wp:positionV>
            <wp:extent cx="71323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-1885950</wp:posOffset>
            </wp:positionV>
            <wp:extent cx="713232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-1363345</wp:posOffset>
            </wp:positionV>
            <wp:extent cx="7132320"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-900430</wp:posOffset>
            </wp:positionV>
            <wp:extent cx="7132320"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231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our Nominating and Corporate Governance Committee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Expiration of</w:t>
            </w: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Current Term</w:t>
            </w:r>
          </w:p>
        </w:tc>
        <w:tc>
          <w:tcPr>
            <w:tcW w:w="12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Term For</w:t>
            </w:r>
          </w:p>
        </w:tc>
        <w:tc>
          <w:tcPr>
            <w:tcW w:w="0" w:type="dxa"/>
            <w:vAlign w:val="bottom"/>
          </w:tcPr>
          <w:p>
            <w:pPr>
              <w:spacing w:after="0"/>
              <w:rPr>
                <w:sz w:val="1"/>
                <w:szCs w:val="1"/>
                <w:color w:val="auto"/>
              </w:rPr>
            </w:pPr>
          </w:p>
        </w:tc>
      </w:tr>
      <w:tr>
        <w:trPr>
          <w:trHeight w:val="176"/>
        </w:trPr>
        <w:tc>
          <w:tcPr>
            <w:tcW w:w="1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Director Since</w:t>
            </w:r>
          </w:p>
        </w:tc>
        <w:tc>
          <w:tcPr>
            <w:tcW w:w="1340" w:type="dxa"/>
            <w:vAlign w:val="bottom"/>
            <w:gridSpan w:val="2"/>
            <w:vMerge w:val="continue"/>
          </w:tcPr>
          <w:p>
            <w:pPr>
              <w:spacing w:after="0"/>
              <w:rPr>
                <w:sz w:val="15"/>
                <w:szCs w:val="15"/>
                <w:color w:val="auto"/>
              </w:rPr>
            </w:pPr>
          </w:p>
        </w:tc>
        <w:tc>
          <w:tcPr>
            <w:tcW w:w="12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Which</w:t>
            </w:r>
          </w:p>
        </w:tc>
        <w:tc>
          <w:tcPr>
            <w:tcW w:w="0" w:type="dxa"/>
            <w:vAlign w:val="bottom"/>
          </w:tcPr>
          <w:p>
            <w:pPr>
              <w:spacing w:after="0"/>
              <w:rPr>
                <w:sz w:val="1"/>
                <w:szCs w:val="1"/>
                <w:color w:val="auto"/>
              </w:rPr>
            </w:pPr>
          </w:p>
        </w:tc>
      </w:tr>
      <w:tr>
        <w:trPr>
          <w:trHeight w:val="234"/>
        </w:trPr>
        <w:tc>
          <w:tcPr>
            <w:tcW w:w="1360" w:type="dxa"/>
            <w:vAlign w:val="bottom"/>
            <w:gridSpan w:val="2"/>
            <w:vMerge w:val="continue"/>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Expires</w:t>
            </w: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rPr>
              <w:t>Nominated</w:t>
            </w:r>
          </w:p>
        </w:tc>
        <w:tc>
          <w:tcPr>
            <w:tcW w:w="0" w:type="dxa"/>
            <w:vAlign w:val="bottom"/>
          </w:tcPr>
          <w:p>
            <w:pPr>
              <w:spacing w:after="0"/>
              <w:rPr>
                <w:sz w:val="1"/>
                <w:szCs w:val="1"/>
                <w:color w:val="auto"/>
              </w:rPr>
            </w:pPr>
          </w:p>
        </w:tc>
      </w:tr>
      <w:tr>
        <w:trPr>
          <w:trHeight w:val="90"/>
        </w:trPr>
        <w:tc>
          <w:tcPr>
            <w:tcW w:w="12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26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324"/>
        </w:trPr>
        <w:tc>
          <w:tcPr>
            <w:tcW w:w="126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70"/>
        </w:trPr>
        <w:tc>
          <w:tcPr>
            <w:tcW w:w="1260" w:type="dxa"/>
            <w:vAlign w:val="bottom"/>
          </w:tcPr>
          <w:p>
            <w:pPr>
              <w:ind w:left="2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3"/>
                <w:szCs w:val="23"/>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824"/>
        </w:trPr>
        <w:tc>
          <w:tcPr>
            <w:tcW w:w="126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126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26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1260" w:type="dxa"/>
            <w:vAlign w:val="bottom"/>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260" w:type="dxa"/>
            <w:vAlign w:val="bottom"/>
          </w:tcPr>
          <w:p>
            <w:pPr>
              <w:ind w:left="2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26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14" w:lineRule="exact"/>
        <w:rPr>
          <w:sz w:val="20"/>
          <w:szCs w:val="20"/>
          <w:color w:val="auto"/>
        </w:rPr>
      </w:pPr>
    </w:p>
    <w:p>
      <w:pPr>
        <w:sectPr>
          <w:pgSz w:w="11900" w:h="16838" w:orient="portrait"/>
          <w:cols w:equalWidth="0" w:num="2">
            <w:col w:w="7180" w:space="100"/>
            <w:col w:w="3960"/>
          </w:cols>
          <w:pgMar w:left="320" w:top="1440" w:right="339" w:bottom="1440" w:gutter="0" w:footer="0" w:header="0"/>
          <w:type w:val="continuous"/>
        </w:sectPr>
      </w:pPr>
    </w:p>
    <w:p>
      <w:pPr>
        <w:spacing w:after="0" w:line="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Eric S. Yuan. </w:t>
      </w:r>
      <w:r>
        <w:rPr>
          <w:rFonts w:ascii="Arial" w:cs="Arial" w:eastAsia="Arial" w:hAnsi="Arial"/>
          <w:sz w:val="17"/>
          <w:szCs w:val="17"/>
          <w:color w:val="auto"/>
        </w:rPr>
        <w:t>Mr. Yuan is the founder of our company and has served as the Chairman of our board directors,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Bachelor’s degree in Applied Math from Shandong University of Science &amp; Technology and a Master’s degree in engineering from China University of Mining &amp; Technology.</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Yuan was selected to serve on our board of directors because of the perspective and experience he brings as our founder, as well as his extensive experience with technology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Peter Gassner. </w:t>
      </w:r>
      <w:r>
        <w:rPr>
          <w:rFonts w:ascii="Arial" w:cs="Arial" w:eastAsia="Arial" w:hAnsi="Arial"/>
          <w:sz w:val="17"/>
          <w:szCs w:val="17"/>
          <w:color w:val="auto"/>
        </w:rPr>
        <w:t>Mr. Gassner has served as a member of our board of directors since October 2015. Since January 2007, Mr. Gassner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and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previously served on the board of directors of Guidewire Software, Inc., a software publisher. Mr. Gassner holds a B.S. in Computer Science from Oregon State University.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17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i w:val="1"/>
          <w:iCs w:val="1"/>
          <w:color w:val="auto"/>
        </w:rPr>
        <w:t>Lieut. Gen. H.R. McMaster, U.S. Army, retired</w:t>
      </w:r>
      <w:r>
        <w:rPr>
          <w:rFonts w:ascii="Arial" w:cs="Arial" w:eastAsia="Arial" w:hAnsi="Arial"/>
          <w:sz w:val="18"/>
          <w:szCs w:val="18"/>
          <w:color w:val="auto"/>
        </w:rPr>
        <w:t>. General McMaster has served as a member of our board of directors since May 2020. Since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2018, he has served at Stanford University as the Fouad and Michelle Ajami Senior Fellow at the Hoover Institution, the Susan and Bernard Liautaud Fellow at the Freeman Spogli Institute and as lecturer at the Graduate School of Business. He served as a commissioned officer in the United States Army for thirty-four years until his retirement in June 2018. From February 2017 to April 2018, McMaster was the 26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Assistant to the President for National Security Affairs. General McMaster holds a B.S. from the United States Military Academy at West Point and a M.A. and Ph.D. in History from the University of North Carolina at Chapel Hill.</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General McMaster is qualified to serve as a member of our board of directors because of his significant experience in leading large organizations, his knowledge of foreign affairs, and his expertise in strategic assessment and planning.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Jonathan Chadwick. </w:t>
      </w:r>
      <w:r>
        <w:rPr>
          <w:rFonts w:ascii="Arial" w:cs="Arial" w:eastAsia="Arial" w:hAnsi="Arial"/>
          <w:sz w:val="17"/>
          <w:szCs w:val="17"/>
          <w:color w:val="auto"/>
        </w:rPr>
        <w:t>Mr. Chadwick has served as a member of our board of directors since September 2017. Since April 2016, Mr. Chadwick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as a Corporate Vice President of Microsoft Corporation, a technology company, after its acquisition of Skype Communication S.a.r.l. from October 2011 until November 2012.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He also worked for Coopers &amp; Lybrand, an accounting firm (now PricewaterhouseCoopers) in various roles in the United States and United Kingdom. He currently serves on the boards of directors of Elastic N.V., a search and data analysis company, ServiceNow, Inc., a cloud computing company, and various private companies. He previously served on the board of directors of Cognizant Technology Solutions Corporation, an IT business services provider, and F5 Networks, Inc., an application networking delivery company. Mr. Chadwick is a Chartered Accountant in England and holds a B.Sc. degree in Electrical and Electronic Engineering from the University of Bath.</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1" w:right="339" w:bottom="1440" w:gutter="0" w:footer="0" w:header="0"/>
        </w:sectPr>
      </w:pPr>
    </w:p>
    <w:bookmarkStart w:id="11" w:name="page12"/>
    <w:bookmarkEnd w:id="11"/>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Kimberly L. Hammonds. </w:t>
      </w:r>
      <w:r>
        <w:rPr>
          <w:rFonts w:ascii="Arial" w:cs="Arial" w:eastAsia="Arial" w:hAnsi="Arial"/>
          <w:sz w:val="17"/>
          <w:szCs w:val="17"/>
          <w:color w:val="auto"/>
        </w:rPr>
        <w:t>Kimberly Hammonds has served as a member of our board of directors since September 2018. Ms. Hammonds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Group Chief Operating Officer at Deutsche Bank AG, a global financial services company and as a member of the Deutsche Bank Management Board from November 2015 to May 2018. She joined Deutsche Bank as Chief Information Officer and Global Co-Head Technology and Operations in November 2013 from The Boeing Company, a global aerospace company. Ms. Hammonds joined The Boeing Company in 2008 and served in a number of capacities, including most recently as Chief Information Officer/Vice President, Global Infrastructure, Global Business Systems from January 2011 to November 2013. Ms. Hammonds joined The Boeing Company from Dell Incorporated, a technology company, where she led IT systems development for manufacturing operations in the Americas, and directed global IT reliability and factory systems since 2007. Ms. Hammonds currently serves on the boards of directors of Box, Inc., an enterprise cloud content and file sharing provider, and Tenable Holdings, Inc., a provider of cybersecurity solutions. Ms. Hammonds previously served on the boards of directors of Cloudera, Inc., a data management, machine learning and advance analytics platform provider, and Red Hat, a provider of open source solutions. Ms. Hammonds holds a B.S.E. from the University of Michigan at Ann Arbor and an MBA from Western Michigan University.</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Ms. Hammonds is qualified to serve as a member of our board of directors because of her significant market and financial expertise and service on the boards of directs of various public companies.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Dan Scheinman. </w:t>
      </w:r>
      <w:r>
        <w:rPr>
          <w:rFonts w:ascii="Arial" w:cs="Arial" w:eastAsia="Arial" w:hAnsi="Arial"/>
          <w:sz w:val="16"/>
          <w:szCs w:val="16"/>
          <w:color w:val="auto"/>
        </w:rPr>
        <w:t>Mr. Scheinman has served as a member of our board of directors since January 2013. Since April 2011, Mr. Scheinman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an angel investor. From January 1997 to April 2011, Mr. Scheinman served in various roles at Cisco Systems, Inc., most recently as Senior Vice President, Cisco Media Solutions Group. He currently serves on the boards of directors of Arista Networks, Inc., a cloud networking company, and several private companies. Mr. Scheinman holds a B.A. degree in Politics from Brandeis University and a J.D. from the Duke University School of Law.</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Scheinman is qualified to serve as a member of our board of directors because of his significant knowledge of our company and the technology industry.</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Carl M. Eschenbach. </w:t>
      </w:r>
      <w:r>
        <w:rPr>
          <w:rFonts w:ascii="Arial" w:cs="Arial" w:eastAsia="Arial" w:hAnsi="Arial"/>
          <w:sz w:val="18"/>
          <w:szCs w:val="18"/>
          <w:color w:val="auto"/>
        </w:rPr>
        <w:t>Mr. Eschenbach has served as a member of our board of directors since November 2016. Since April 2016, Mr. Eschenbach</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a general partner at Sequoia Capital Operations, LLC, a venture capital firm. Prior to joining Sequoia Capital Operations, LLC, Mr. Eschenbach spent 14 years at VMware, Inc., most recently as its President and Chief Operating Officer, a role he held from December 2012 to March 2016. He served as VMware, Inc.’s Co-President and Chief Operating Officer from April 2012 to December 2012, as Co-President, Customer Operations from January 2011 to April 2012, and as Executive Vice President of Worldwide Field Operations from May 2005 to January 2011. Prior to joining VMware, Inc. in 2002, Mr. Eschenbach held various sales management positions with Inktomi Corporation, 3Com Corporation, Lucent Technologies Inc., and Dell EMC. He currently serves on the boards of directors of Palo Alto Networks, Inc., a global cybersecurity company, and Workday, Inc., a leading provider of enterprise cloud applications. Mr. Eschenbach is also a director of several private companies. Mr. Eschenbach received an electronics technician diploma from DeVry University.</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Eschenbach is qualified to serve as a member of our board of directors because of his significant expertise in the technology industry and service on the boards of directors of various public companies.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Santiago Subotovsky. </w:t>
      </w:r>
      <w:r>
        <w:rPr>
          <w:rFonts w:ascii="Arial" w:cs="Arial" w:eastAsia="Arial" w:hAnsi="Arial"/>
          <w:sz w:val="18"/>
          <w:szCs w:val="18"/>
          <w:color w:val="auto"/>
        </w:rPr>
        <w:t>Mr. Subotovsky has served as a member of our board of directors since December 2014. Mr. Subotovsky is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Emergence Capital, a venture capital firm, and has been with the firm since 2010.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Santiago is qualified to serve on our board of directors because of his experience in the venture capital industry and market knowledge and his experience serving as a director of various private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12" w:name="page13"/>
    <w:bookmarkEnd w:id="12"/>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Bart Swanson. </w:t>
      </w:r>
      <w:r>
        <w:rPr>
          <w:rFonts w:ascii="Arial" w:cs="Arial" w:eastAsia="Arial" w:hAnsi="Arial"/>
          <w:sz w:val="18"/>
          <w:szCs w:val="18"/>
          <w:color w:val="auto"/>
        </w:rPr>
        <w:t>Mr. Swanson has served as a member of our board of directors since August 2013. Since March 2013, Mr. Swanson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an advisor at Horizons Ventures Limited, a venture capital firm. Previously, Mr. Swanson served as Chairman and President of Summly Ltd., a mobile news app acquired by Yahoo Inc., the Chief Operating Officer of Badoo Ltd., a social discovery network, the Managing Director and Vice President International at GSI Commerce, an e-commerce corporation acquired by eBay Inc., and a General Manager at Amazon.com, Inc., a multinational technology company. Mr. Swanson currently serves on the boards of directors of several private companies. Mr. Swanson previously served as a director of the Modern Times Group (MTG), a digital entertainment company. Mr. Swanson holds a B.A. in History and Political Science from the University of Southern California, an M.A. in International Studies from the University of Pennsylvania, and an MBA from The Wharton School of the University of Pennsylvania.</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Mr. Swanson is qualified to serve as a member of our board of directors because of his experience in the venture capital industry and market knowledge and his experience serving as a director of various private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Class A common stock is listed on the Nasdaq Global Select Market. Under the listing standards of The Nasdaq Stock Market, independent directors must comprise a majority of a listed company’s board of directors. In addition, the Nasdaq rules require that, subject to specified exceptions, each member of a listed company’s audit, compensation, and nominating and corporate governance committees be independent. Under the Nasdaq listing standards, a director will only qualify as an “independent director” if, in the opinion of that listed company’s board of directors, that director does not have a relationship that would interfere with the exercise of independent judgment in carrying out the responsibilities of a director. Audit committee members must also satisfy the additional independence criteria set forth in Rule 10A-3 under the Exchange Act, and the listing standards of The Nasdaq Stock Market. Compensation committee members must also satisfy the additional independence criteria set forth in Rule 10C-1 under the Exchange Act and the listing standards of The Nasdaq Stock Market.</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has undertaken a review of the independence of each of our directors. Based on information provided by each director concerning his or her background, employment and affiliations, our Board of Directors has determined that each of Ms. Hammonds, General McMaster, and Messrs. Chadwick, Eschenbach, Gassner, Scheinman, Subotovsky and Swanson do not have a material relationship with the company (either directly or as a partner, stockholder or officer of an organization that has a relationship within the company) that could compromise his or her ability to exercise independent judgment in carrying out his or her responsibilities, and that each of these directors is “independent” as that term is defined under the applicable rules and regulations of the SEC and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“Related Person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Eric S. Yuan currently serves as both the Chairman of our Board of Directors and as our Chief Executive Officer. Our independent directors bring experience, oversight and expertise from outside of our company, while Mr. Yuan brings company-specific experience and expertise. As our founder, Mr. Yuan is best positioned to identify strategic priorities, lead critical discussion and execute our business plans. We believe that the structure of our Board of Directors and its committees provides effective independent oversight of management while Mr. Yuan’s combined role enables strong leadership, creates clear accountability and enhances our ability to communicate our message and strategy clearly and consistently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13" w:name="page14"/>
    <w:bookmarkEnd w:id="1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Corporate Governance Guidelines provide that if the Chairman of our Board of Directors is not an independent director, our independent directors will designate one of the independent directors to serve as Lead Independent Director. Because Mr. Yuan is our Chairman and Chief Executive Officer, our Board of Directors, including the independent directors, has appointed Dan Scheinman to serve as our Lead Independent Director. As Lead Independent Director, Mr. Scheinman presides over regularly scheduled executive sessions of our independent directors, coordinate activities of the independent directors, presides over any portions of meetings of our Board of Directors at which the performance of our Board of Directors is presented or discussed, and performs such additional duties as our Board of Directors otherwise determines and delegates.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Stockholder Meetings and Committees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our fiscal year ended January 31, 2020, our Board of Directors held ten meetings (including regularly scheduled and special meetings), and, except for Mr. Gassner, each incumbent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encourage our directors to attend our annual meeting of stockholders. We became a public company in April 2019 and did not have an annual meeting of our stockholders in 2019.</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otherwise determined by our Board of Directors.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audit committee consists of Messrs. Chadwick, Eschenbach and Scheinman.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8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14" w:name="page15"/>
    <w:bookmarkEnd w:id="14"/>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to be performed by the independent registered public accounting firm.</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the listing standards of The Nasdaq Stock Market. A copy of the charter of our Audit Committee is available on our website at https://investors.zoom.us/corporate-governance. During our fiscal year ended January 31, 2020, our Audit Committee held nine meetings.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compensation committee consists of Messrs. Scheinman, Subotovsky and Swanson. The chair of our compensation committee is Mr. Scheinman. Our board of directors has determined that each member of the compensation committee is independent under the listing standards of The Nasdaq Stock Market, and a “non-employee director” as defined in Rule 16b-3 promulgated under the Exchange Act.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84" w:lineRule="exact"/>
        <w:rPr>
          <w:rFonts w:ascii="Arial" w:cs="Arial" w:eastAsia="Arial" w:hAnsi="Arial"/>
          <w:sz w:val="18"/>
          <w:szCs w:val="18"/>
          <w:color w:val="auto"/>
        </w:rPr>
      </w:pPr>
    </w:p>
    <w:p>
      <w:pPr>
        <w:ind w:left="980" w:right="20" w:hanging="324"/>
        <w:spacing w:after="0" w:line="342"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83"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Compensation Committee operates under a written charter that satisfies the applicable rules and regulations of the SEC and the listing standards of The Nasdaq Stock Market. A copy of the charter of our Compensation Committee is available on our website at https://investors.zoom.us/corporate-governance. During our fiscal year ended January 31, 2020, our Compensation Committee held six meetings.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nominating and corporate governance committee consists of Ms. Hammonds and Messrs. Subotovsky and Swanson. The chair of our nominating and corporate governance committee is Mr. Subotovsky. Our board of directors has determined that each member of the nominating and corporate governance committee is independent under the listing standards of The Nasdaq Stock 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25" w:lineRule="exact"/>
        <w:rPr>
          <w:sz w:val="20"/>
          <w:szCs w:val="20"/>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related matters; and</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listing standards of The Nasdaq Stock Market. A copy of the charter of our Nominating and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Governance Committee is available on our website at https://investors.zoom.us/corporate-governance. During our fiscal year ended January 31, 2020, our Nominating and Corporate Governance Committee held four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Nominating and Corporate Governance Committee uses a variety of methods for identifying and evaluating director nominees. In its evaluation of director candidates, including director candidates nominated by stockholders, our Nominating and Corporate Governance Committee will consider the current size and composition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Nominating and Corporate Governance Committee to perform all Board of Directors and committee responsibilities. Members of our Board of Directors are expected to prepare for, attend, and participate in all Board of Directors and applicable committee meetings. Other than the foregoing, there are no stated minimum criteria for director nominees, although our Nominating and Corporate Governance Committee may also consider such other factors as it may deem, from time to time, are in our and our stockholders’ best interests.</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our Board of Directors does not maintain a specific policy with respect to board diversity, our Board of Directors believes that our Board of Directors should be a diverse body, and our Nominating and Corporate Governance Committee considers a broad range of backgrounds and experiences. In making determinations regarding nominations of directors, our Nominating and Corporate Governance Committee may take into account the benefits of diverse viewpoints. Our Nominating and Corporate Governance Committee also considers these and other factors as it oversees the annual Board of Directors and committee evaluations. After completing its review and evaluation of director candidates, our Nominating and Corporate Governance Committee recommends to our full Board of Directors the director nominees for selection.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Nominating and Corporate Governance Committee will consider candidates for director recommended by stockholders holding at least one percent (1%) of the fully diluted capitalization of our company continuously for at least twelve (12) months prior to the date of the submission of the recommendation, so long as such recommendations comply with our amended and restated certificate of incorporation and amended and restated bylaws and applicable laws, rules and regulations, including those promulgated by the SEC. Our Nominating and Corporate Governance Committee will evaluate such recommendations in accordance with its charter, our amended and restated bylaws,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General Counsel or our Legal Department in writing. Such recommendations must include information about the candidate, a statement of support by the recommending stockholder, evidence of the recommending stockholder’s ownership of our common stock and a signed letter from the candidate confirming willingness to serve on our Board of Directors. Our Nominating and Corporate Governance Committee has discretion to decide which individuals to recommend for nomination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21" w:right="339" w:bottom="1440" w:gutter="0" w:footer="0" w:header="0"/>
        </w:sectPr>
      </w:pPr>
    </w:p>
    <w:bookmarkStart w:id="16" w:name="page17"/>
    <w:bookmarkEnd w:id="16"/>
    <w:p>
      <w:pPr>
        <w:jc w:val="both"/>
        <w:ind w:firstLine="648"/>
        <w:spacing w:after="0" w:line="281" w:lineRule="auto"/>
        <w:rPr>
          <w:sz w:val="20"/>
          <w:szCs w:val="20"/>
          <w:color w:val="auto"/>
        </w:rPr>
      </w:pPr>
      <w:r>
        <w:rPr>
          <w:rFonts w:ascii="Arial" w:cs="Arial" w:eastAsia="Arial" w:hAnsi="Arial"/>
          <w:sz w:val="16"/>
          <w:szCs w:val="16"/>
          <w:color w:val="auto"/>
        </w:rPr>
        <w:t>Under our amended and restated bylaws, stockholders may also nominate persons for our Board of Directors. Any nomination must comply with the requirements set forth in our amended and restated bylaws and should be sent in writing to our Chief Legal Officer or our Legal Department at Zoom Video Communications, Inc., 55 Almaden Blvd.,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San Jose, California 95113. To be timely for our 2021 annual meeting of stockholders, our Chief Legal Officer or Legal Department must receive the nomination no earlier than February 18, 2021 and no later than March 20,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Interested parties wishing to communicate with our Board of Directors or with an individual member or members of our Board of Directors may do so by writing to our Board of Directors or to the particular member or members of our Board of Directors, and mailing the correspondence to our Chief Legal Officer at Zoom Video Communications, Inc., 55 Almaden Blvd., 6th Floor, San Jose, California 95113. If an interested party wishes to contact the independent members of our Board of Directors, the interested party should address such communication to the attention of the Lead Independent Director at the address above. Our Chief Legal Officer, in consultation with appropriate members of our Board of Directors as necessary, will review all incoming communications and, if appropriate, all such communications will be forwarded to the appropriate member or members of our Board of Directors, or if none is specified, to the Chairman of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the Corporate Governance portion of our website at https://investors.zoom.us/corporate-governance. We will post amendments to our Code of Business Conduct and Ethics or waivers of our Code of Business Conduct and Ethics for directors and executive officers on the same website.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Risk is inherent with every business, and we face a number of risks, including strategic, financial, business and operational, cyber security,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believes that open communication between management and our Board of Directors is essential for effective risk management and oversight. Our Board of Directors meets with our Chief Executive Officer and other members of our senior management team at quarterly meetings of our Board of Directors, where, among other topics, they discuss strategy and risks facing the company, as well at such other times as they deem appropriate.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While our Board of Directors is ultimately responsible for risk oversight, our board committees assist our Board of Directors in fulfilling its oversight responsibilities in certain areas of risk. Our Audit Committee assists our Board of Directors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Our Audit Committee also monitors certain key risks on a regular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1"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basis throughout the fiscal year, such as risk associated with internal control over financial reporting and liquidity risk. Our Nominating and Corporate Governance Committee assists our Board of Directors in fulfilling its oversight responsibilities with respect to the management of risk associated with board organization, membership and structure, and corporate governance. Our Compensation Committee assesses risks created by the incentives inherent in our compensation policies.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its reviews of the operations of our business, our Audit Committee and our Board of Directors address the primary risks associated with our business including, for example, strategic planning and cybersecurity. Our Board of Directors appreciates the evolving nature of our business and industry and is actively involved with monitoring new threats and risks as they emerge. In particular, our Board of Directors is committed to the identification, timely detection, protection against, appropriate response to, and mitigation of the effects of cybersecurity threats or incidents on Zoom. Our Audit Committee actively engages in such activities as (a) considering input from the Zoom cybersecurity team and others to better understand the threats to the security of Zoom's services and their impact on Zoom’s business, (b) evaluating methods for validating the effectiveness of Zoom’s cybersecurity efforts, and (c) engaging in cybersecurity education and training. Further, our Board of Directors has been monitoring the rapidly evolving COVID-19 pandemic, its potential effects on our business, its impact on the Company with respect to data security and privacy, and risk mitigation strategies.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periodic meetings of our Board of Directors and its committees, management reports to and seeks guidance from our board and its committees with respect to the most significant risks that could affect our business, such as legal risks, information security and privacy risks, and financial, tax and compliance related risks. In addition, among other matters, management provides our audit committee periodic reports on our compliance programs and investment policy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Hedging, Short Sales and Pledging</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Board of Directors has adopted an insider trading policy, which prohibits hedging or monetization transactions, including through the use of financial instruments such as prepaid variable forwards, equity swaps, collars, and exchange funds. In addition, our insider trading policy prohibits trading in derivative securities related to our Class A common stock, which include publicly traded call and put options, engaging in short selling of our Class A common stock, purchasing our Class A common stock on margin or holding it in a margin account and pledging our shares as collateral for a loan. Further, our insider trading policy provides that our directors and executive officers may only trade in our securities through a 10b5-1 trading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Caring for our community is a core value for Zoom and we are conscious of our impact on the environment and our social responsibility as members of the global community.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video-first, unified communications platform inherently reduces carbon emissions through travel reduction. This reduction in travel has downstream and upstream effects for us, our suppliers and vendors, our customers, and their vendors and customers. In fiscal year 2020, we proudly announced our top ten Green Leader customers, who were estimated to avoid the most carbon dioxide emissions by replacing in-person meetings with Zoom video meetings. In a 90-day period, the top ten customers were estimated to have avoided the equivalent of the annual carbon dioxide emissions of 149,000 cars.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Beyond reducing the carbon footprints, we are also committed to good governance for long-term sustainability. We are just getting started on our ESG efforts and we look forward to updating you on our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21" w:right="339" w:bottom="1440" w:gutter="0" w:footer="0" w:header="0"/>
        </w:sectPr>
      </w:pPr>
    </w:p>
    <w:bookmarkStart w:id="18" w:name="page19"/>
    <w:bookmarkEnd w:id="1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Our Board of Directors adopted a Non-Employee Director Compensation Policy effective May 1, 2019 (the “Effective Date”) which provides for the following compensation to directors who are not also serving as an employee or consultant to us (each an “Eligible Director”):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cash compensation</w:t>
      </w:r>
    </w:p>
    <w:p>
      <w:pPr>
        <w:spacing w:after="0" w:line="225" w:lineRule="exact"/>
        <w:rPr>
          <w:sz w:val="20"/>
          <w:szCs w:val="20"/>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Board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Eligible Directors: $30,000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Chairman or Lead Independent Director: $43,500 (in lieu of above)</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Committee Member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Member of the Audit Committee: $10,000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Member of the Compensation Committee: $7,000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$3,500</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Committee Chair Service Retainer (in lieu of Committee Member Service Retainer):</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Chairman of the Audit Committee: $20,000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Chairman of the Compensation Committee: $14,000</w:t>
      </w:r>
    </w:p>
    <w:p>
      <w:pPr>
        <w:spacing w:after="0" w:line="117" w:lineRule="exact"/>
        <w:rPr>
          <w:rFonts w:ascii="Arial" w:cs="Arial" w:eastAsia="Arial" w:hAnsi="Arial"/>
          <w:sz w:val="18"/>
          <w:szCs w:val="18"/>
          <w:color w:val="auto"/>
        </w:rPr>
      </w:pPr>
    </w:p>
    <w:p>
      <w:pPr>
        <w:ind w:left="1140" w:hanging="160"/>
        <w:spacing w:after="0"/>
        <w:tabs>
          <w:tab w:leader="none" w:pos="11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 $7,000</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Eligible Director will be eligible to receive the annual cash compensation amounts set forth above effective upon (i) such Eligible Director’s first election or appointment to the Board, in the case of an Eligible Director not serving on the Board as of the Effective Date; (ii) the Effective Date, in the case of an Eligible Director serving on the Board on the Effective Date who holds an unvested Company equity award on the Effective Date; or (iii) such Eligible Director’s first re-election to the Board after the Effective Date, in the case of an Eligible Director serving on the Board on the Effective Date who does not hold an unvested Company equity award on the Effective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Initial Grant. </w:t>
      </w:r>
      <w:r>
        <w:rPr>
          <w:rFonts w:ascii="Arial" w:cs="Arial" w:eastAsia="Arial" w:hAnsi="Arial"/>
          <w:sz w:val="16"/>
          <w:szCs w:val="16"/>
          <w:color w:val="auto"/>
        </w:rPr>
        <w:t>Each new Eligible Director who joins the Board after the Effective Date will be granted a restricted stock unit award under our 2019</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Incentive Plan (the “2019 Plan”) with an aggregate grant date fair value equal to $450,000, provided that if the expected term of the director’s initial election or appointment to the Board (such period, the “initial term”) is less than three years, the $450,000 aggregate grant date fair value will be pro-rated by the percentage obtained by dividing the total number of expected calendar days in the director’s initial term by the total number of calendar days following the date of the Eligible Director’s initial election or appointment through and including the third anniversary of such date.</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Interim Grant</w:t>
      </w:r>
      <w:r>
        <w:rPr>
          <w:rFonts w:ascii="Arial" w:cs="Arial" w:eastAsia="Arial" w:hAnsi="Arial"/>
          <w:sz w:val="18"/>
          <w:szCs w:val="18"/>
          <w:color w:val="auto"/>
        </w:rPr>
        <w:t>. For each Eligible Director serving on the Board as of the Effective Date who held an unvested equity award as of such date,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immediately following the final vesting date of each such award, the director will be granted an interim restricted stock unit award under the 2019 Plan. The interim grant will have an aggregate grant date fair value of $450,000 multiplied by the percentage obtained by dividing the total number of expected calendar days that remain in the director’s term (such period, the interim term) by the total number of calendar days following the final vesting date through and including the third anniversary of such date.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Refresher Grant. </w:t>
      </w:r>
      <w:r>
        <w:rPr>
          <w:rFonts w:ascii="Arial" w:cs="Arial" w:eastAsia="Arial" w:hAnsi="Arial"/>
          <w:sz w:val="18"/>
          <w:szCs w:val="18"/>
          <w:color w:val="auto"/>
        </w:rPr>
        <w:t>On the date of each of our annual meeting of stockholders, each Eligible Director who is (i) nominated to be re-elected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to serve a three-year term (such period, the re-elected term), (ii) continues to serve as a non-employee member of the Board and (iii) does not hold any outstanding unvested equity award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date of such meeting, will be granted a restricted stock unit award with an aggregate grant date fair value of $450,000.</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Vesting. </w:t>
      </w:r>
      <w:r>
        <w:rPr>
          <w:rFonts w:ascii="Arial" w:cs="Arial" w:eastAsia="Arial" w:hAnsi="Arial"/>
          <w:sz w:val="18"/>
          <w:szCs w:val="18"/>
          <w:color w:val="auto"/>
        </w:rPr>
        <w:t>All of the restricted stock unit awards granted under the policy will vest in substantially equal quarterly installments over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applicable term (e.g., the initial term for the initial grant, the interim term for the interim grant and the re-elected term for the refresher grant), provided that if our annual meeting of stockholders at which the scheduled term ends occurs prior to the last vesting date, the award will become fully vested as of the day immediately preceding the annual meeting date, subject to the Eligible Director’s continuous service (as defined in the 2019 Plan) through each such applicable vesting date. All restricted stock unit awards granted pursuant to the policy will accelerate and vest in full upon (i) the Eligible Director’s death or disability (as defined in the 2019 Plan) or (ii) a change in control (as defined in the 2019 Plan), subject to the Eligible Director’s continuous service through such date.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Non-Employee Director Compensation for Fiscal Year 2020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information regarding the total compensation that was earned by each of our non-employee directors in our fiscal year ended January 31, 2020.</w:t>
      </w:r>
    </w:p>
    <w:p>
      <w:pPr>
        <w:sectPr>
          <w:pgSz w:w="11900" w:h="16838" w:orient="portrait"/>
          <w:cols w:equalWidth="0" w:num="1">
            <w:col w:w="11240"/>
          </w:cols>
          <w:pgMar w:left="320" w:top="1421"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Jonathan Chadwick</w:t>
      </w:r>
      <w:r>
        <w:rPr>
          <w:rFonts w:ascii="Arial" w:cs="Arial" w:eastAsia="Arial" w:hAnsi="Arial"/>
          <w:sz w:val="21"/>
          <w:szCs w:val="21"/>
          <w:color w:val="auto"/>
          <w:vertAlign w:val="superscript"/>
        </w:rPr>
        <w:t>(3)</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Carl Eschenbach</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Gassner</w:t>
      </w:r>
      <w:r>
        <w:rPr>
          <w:rFonts w:ascii="Arial" w:cs="Arial" w:eastAsia="Arial" w:hAnsi="Arial"/>
          <w:sz w:val="21"/>
          <w:szCs w:val="21"/>
          <w:color w:val="auto"/>
          <w:vertAlign w:val="superscript"/>
        </w:rPr>
        <w:t>(4)</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5"/>
          <w:szCs w:val="15"/>
          <w:color w:val="auto"/>
        </w:rPr>
        <w:t>Kimberly L. Hammonds</w:t>
      </w:r>
      <w:r>
        <w:rPr>
          <w:rFonts w:ascii="Arial" w:cs="Arial" w:eastAsia="Arial" w:hAnsi="Arial"/>
          <w:sz w:val="19"/>
          <w:szCs w:val="19"/>
          <w:color w:val="auto"/>
          <w:vertAlign w:val="superscript"/>
        </w:rPr>
        <w:t>(5)</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Dan Scheinman</w:t>
      </w:r>
      <w:r>
        <w:rPr>
          <w:rFonts w:ascii="Arial" w:cs="Arial" w:eastAsia="Arial" w:hAnsi="Arial"/>
          <w:sz w:val="21"/>
          <w:szCs w:val="21"/>
          <w:color w:val="auto"/>
          <w:vertAlign w:val="superscript"/>
        </w:rPr>
        <w:t>(6)</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Bart Swanson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Santiago Subotovsky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Fees Earned or Paid in Cash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87630</wp:posOffset>
            </wp:positionV>
            <wp:extent cx="71323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30"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$37,500</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78105</wp:posOffset>
            </wp:positionV>
            <wp:extent cx="713232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$22,500</w:t>
      </w:r>
    </w:p>
    <w:p>
      <w:pPr>
        <w:spacing w:after="0" w:line="15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$25,125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34925</wp:posOffset>
            </wp:positionV>
            <wp:extent cx="71323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34"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$50,625</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78105</wp:posOffset>
            </wp:positionV>
            <wp:extent cx="713232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9"/>
        </w:trPr>
        <w:tc>
          <w:tcPr>
            <w:tcW w:w="2420" w:type="dxa"/>
            <w:vAlign w:val="bottom"/>
            <w:gridSpan w:val="2"/>
          </w:tcPr>
          <w:p>
            <w:pPr>
              <w:ind w:left="440"/>
              <w:spacing w:after="0"/>
              <w:rPr>
                <w:sz w:val="20"/>
                <w:szCs w:val="20"/>
                <w:color w:val="auto"/>
              </w:rPr>
            </w:pPr>
            <w:r>
              <w:rPr>
                <w:rFonts w:ascii="Arial" w:cs="Arial" w:eastAsia="Arial" w:hAnsi="Arial"/>
                <w:sz w:val="16"/>
                <w:szCs w:val="16"/>
                <w:b w:val="1"/>
                <w:bCs w:val="1"/>
                <w:color w:val="auto"/>
              </w:rPr>
              <w:t>Stock Awards ($)</w:t>
            </w:r>
            <w:r>
              <w:rPr>
                <w:rFonts w:ascii="Arial" w:cs="Arial" w:eastAsia="Arial" w:hAnsi="Arial"/>
                <w:sz w:val="21"/>
                <w:szCs w:val="21"/>
                <w:b w:val="1"/>
                <w:bCs w:val="1"/>
                <w:color w:val="auto"/>
                <w:vertAlign w:val="superscript"/>
              </w:rPr>
              <w:t>(1)(2)</w:t>
            </w:r>
          </w:p>
        </w:tc>
        <w:tc>
          <w:tcPr>
            <w:tcW w:w="2340" w:type="dxa"/>
            <w:vAlign w:val="bottom"/>
          </w:tcPr>
          <w:p>
            <w:pPr>
              <w:jc w:val="right"/>
              <w:ind w:right="79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45"/>
        </w:trPr>
        <w:tc>
          <w:tcPr>
            <w:tcW w:w="2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340" w:type="dxa"/>
            <w:vAlign w:val="bottom"/>
            <w:vMerge w:val="restart"/>
          </w:tcPr>
          <w:p>
            <w:pPr>
              <w:jc w:val="right"/>
              <w:ind w:right="59"/>
              <w:spacing w:after="0"/>
              <w:rPr>
                <w:sz w:val="20"/>
                <w:szCs w:val="20"/>
                <w:color w:val="auto"/>
              </w:rPr>
            </w:pPr>
            <w:r>
              <w:rPr>
                <w:rFonts w:ascii="Arial" w:cs="Arial" w:eastAsia="Arial" w:hAnsi="Arial"/>
                <w:sz w:val="16"/>
                <w:szCs w:val="16"/>
                <w:color w:val="auto"/>
              </w:rPr>
              <w:t>$37,500</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05"/>
        </w:trPr>
        <w:tc>
          <w:tcPr>
            <w:tcW w:w="2320" w:type="dxa"/>
            <w:vAlign w:val="bottom"/>
          </w:tcPr>
          <w:p>
            <w:pPr>
              <w:jc w:val="right"/>
              <w:ind w:right="59"/>
              <w:spacing w:after="0"/>
              <w:rPr>
                <w:sz w:val="20"/>
                <w:szCs w:val="20"/>
                <w:color w:val="auto"/>
              </w:rPr>
            </w:pPr>
            <w:r>
              <w:rPr>
                <w:rFonts w:ascii="Arial" w:cs="Arial" w:eastAsia="Arial" w:hAnsi="Arial"/>
                <w:sz w:val="16"/>
                <w:szCs w:val="16"/>
                <w:color w:val="auto"/>
              </w:rPr>
              <w:t>$96,681</w:t>
            </w:r>
          </w:p>
        </w:tc>
        <w:tc>
          <w:tcPr>
            <w:tcW w:w="100" w:type="dxa"/>
            <w:vAlign w:val="bottom"/>
          </w:tcPr>
          <w:p>
            <w:pPr>
              <w:spacing w:after="0"/>
              <w:rPr>
                <w:sz w:val="24"/>
                <w:szCs w:val="24"/>
                <w:color w:val="auto"/>
              </w:rPr>
            </w:pPr>
          </w:p>
        </w:tc>
        <w:tc>
          <w:tcPr>
            <w:tcW w:w="2340" w:type="dxa"/>
            <w:vAlign w:val="bottom"/>
          </w:tcPr>
          <w:p>
            <w:pPr>
              <w:jc w:val="right"/>
              <w:ind w:right="59"/>
              <w:spacing w:after="0"/>
              <w:rPr>
                <w:sz w:val="20"/>
                <w:szCs w:val="20"/>
                <w:color w:val="auto"/>
              </w:rPr>
            </w:pPr>
            <w:r>
              <w:rPr>
                <w:rFonts w:ascii="Arial" w:cs="Arial" w:eastAsia="Arial" w:hAnsi="Arial"/>
                <w:sz w:val="16"/>
                <w:szCs w:val="16"/>
                <w:color w:val="auto"/>
              </w:rPr>
              <w:t>$118,181</w:t>
            </w:r>
          </w:p>
        </w:tc>
        <w:tc>
          <w:tcPr>
            <w:tcW w:w="0" w:type="dxa"/>
            <w:vAlign w:val="bottom"/>
          </w:tcPr>
          <w:p>
            <w:pPr>
              <w:spacing w:after="0"/>
              <w:rPr>
                <w:sz w:val="1"/>
                <w:szCs w:val="1"/>
                <w:color w:val="auto"/>
              </w:rPr>
            </w:pPr>
          </w:p>
        </w:tc>
      </w:tr>
      <w:tr>
        <w:trPr>
          <w:trHeight w:val="270"/>
        </w:trPr>
        <w:tc>
          <w:tcPr>
            <w:tcW w:w="2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340" w:type="dxa"/>
            <w:vAlign w:val="bottom"/>
            <w:vMerge w:val="restart"/>
          </w:tcPr>
          <w:p>
            <w:pPr>
              <w:jc w:val="right"/>
              <w:ind w:right="59"/>
              <w:spacing w:after="0"/>
              <w:rPr>
                <w:sz w:val="20"/>
                <w:szCs w:val="20"/>
                <w:color w:val="auto"/>
              </w:rPr>
            </w:pPr>
            <w:r>
              <w:rPr>
                <w:rFonts w:ascii="Arial" w:cs="Arial" w:eastAsia="Arial" w:hAnsi="Arial"/>
                <w:sz w:val="16"/>
                <w:szCs w:val="16"/>
                <w:color w:val="auto"/>
              </w:rPr>
              <w:t>$25,125</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340" w:type="dxa"/>
            <w:vAlign w:val="bottom"/>
            <w:vMerge w:val="restart"/>
          </w:tcPr>
          <w:p>
            <w:pPr>
              <w:jc w:val="right"/>
              <w:ind w:right="59"/>
              <w:spacing w:after="0"/>
              <w:rPr>
                <w:sz w:val="20"/>
                <w:szCs w:val="20"/>
                <w:color w:val="auto"/>
              </w:rPr>
            </w:pPr>
            <w:r>
              <w:rPr>
                <w:rFonts w:ascii="Arial" w:cs="Arial" w:eastAsia="Arial" w:hAnsi="Arial"/>
                <w:sz w:val="16"/>
                <w:szCs w:val="16"/>
                <w:color w:val="auto"/>
              </w:rPr>
              <w:t>$50,625</w:t>
            </w:r>
          </w:p>
        </w:tc>
        <w:tc>
          <w:tcPr>
            <w:tcW w:w="0" w:type="dxa"/>
            <w:vAlign w:val="bottom"/>
          </w:tcPr>
          <w:p>
            <w:pPr>
              <w:spacing w:after="0"/>
              <w:rPr>
                <w:sz w:val="1"/>
                <w:szCs w:val="1"/>
                <w:color w:val="auto"/>
              </w:rPr>
            </w:pPr>
          </w:p>
        </w:tc>
      </w:tr>
      <w:tr>
        <w:trPr>
          <w:trHeight w:val="68"/>
        </w:trPr>
        <w:tc>
          <w:tcPr>
            <w:tcW w:w="2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2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3">
            <w:col w:w="3380" w:space="720"/>
            <w:col w:w="2260" w:space="120"/>
            <w:col w:w="4760"/>
          </w:cols>
          <w:pgMar w:left="320" w:top="1421" w:right="339" w:bottom="1440" w:gutter="0" w:footer="0" w:header="0"/>
          <w:type w:val="continuous"/>
        </w:sect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jc w:val="both"/>
        <w:ind w:left="340" w:hanging="332"/>
        <w:spacing w:after="0" w:line="250"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reported represent the aggregate grant date fair value of stock awards granted to our directors during the fiscal year ended January 31, 2020 under our 2019 Plan, computed in accordance with ASC Topic 718, excluding the effect of estimated forfeitures. The assumptions used in calculating the grant date fair value of the stock awards reported in this column are set forth in the notes to our audited consolidated financial statements included in our Annual Report on Form 10-K for the fiscal year ended January 31, 2020. This amount does not reflect the actual economic value that may be realized by the non-employee director.</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of January 31, 2020, only Mr. Chadwick, Mr. Gassner, Ms. Hammonds and Mr. Scheinman held shares underlying unvested equity awards.</w:t>
      </w:r>
    </w:p>
    <w:p>
      <w:pPr>
        <w:spacing w:after="0" w:line="20" w:lineRule="exact"/>
        <w:rPr>
          <w:rFonts w:ascii="Arial" w:cs="Arial" w:eastAsia="Arial" w:hAnsi="Arial"/>
          <w:sz w:val="17"/>
          <w:szCs w:val="17"/>
          <w:color w:val="auto"/>
        </w:rPr>
      </w:pPr>
    </w:p>
    <w:p>
      <w:pPr>
        <w:jc w:val="both"/>
        <w:ind w:left="340" w:hanging="332"/>
        <w:spacing w:after="0" w:line="265" w:lineRule="auto"/>
        <w:tabs>
          <w:tab w:leader="none" w:pos="334"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of January 31, 2020, Mr. Chadwick held 400,000 restricted shares of our Class B common stock, acquired pursuant to his early exercise of a stock option granted in September 2017, of which 233,333 shares had vested as of January 31, 2020 and 166,667 shares remain subject to our repurchase right in accordance with the option’s vesting schedule. One forty-eighth of the shares subject to the option vested on October 6, 2017, and one forty-eighth of the total shares vest monthly thereafter, subject to Mr. Chadwick’s continued service to us through each such date. Upon a change in control (as defined in the 2011 Global Share Plan), the vesting of the shares shall accelerate in full.</w:t>
      </w:r>
    </w:p>
    <w:p>
      <w:pPr>
        <w:jc w:val="both"/>
        <w:ind w:left="340" w:hanging="332"/>
        <w:spacing w:after="0" w:line="253"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January 31, 2020, Mr. Gassner held a restricted stock unit award for 1,461 shares of our Class A common stock. One-third of the shares subject to the award shall vest on January 29, 2020, one-third of the shares subject to the award shall vest on April 29, 2020 and one-third of the shares subject to the award shall vest on June 17, 2020 (pursuant to our Non-Employee Director Compensation Policy). Upon a change in control (as defined in the 2019 Equity Incentive Plan), the vesting of the shares shall accelerate in full.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21" w:right="339" w:bottom="1440" w:gutter="0" w:footer="0" w:header="0"/>
          <w:type w:val="continuous"/>
        </w:sectPr>
      </w:pPr>
    </w:p>
    <w:bookmarkStart w:id="20" w:name="page21"/>
    <w:bookmarkEnd w:id="20"/>
    <w:p>
      <w:pPr>
        <w:jc w:val="both"/>
        <w:ind w:left="340" w:hanging="332"/>
        <w:spacing w:after="0" w:line="269" w:lineRule="auto"/>
        <w:tabs>
          <w:tab w:leader="none" w:pos="33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of January 31, 2020, Ms. Hammonds held a stock option to purchase 150,000 shares of our Class B common stock with an exercise price per share of $3.77, which was granted in September 2018. The option vests in 48 equal monthly installments measured from September 12, 2018, subject to Ms. Hammonds’ continued service and acceleration upon a change in control (as defined in the 2011 Global Share Plan), and may be early exercised prior to vesting subject to our right to repurchase the shares that lapses in accordance with the option vesting schedule.</w:t>
      </w:r>
    </w:p>
    <w:p>
      <w:pPr>
        <w:spacing w:after="0" w:line="1" w:lineRule="exact"/>
        <w:rPr>
          <w:rFonts w:ascii="Arial" w:cs="Arial" w:eastAsia="Arial" w:hAnsi="Arial"/>
          <w:sz w:val="17"/>
          <w:szCs w:val="17"/>
          <w:color w:val="auto"/>
        </w:rPr>
      </w:pPr>
    </w:p>
    <w:p>
      <w:pPr>
        <w:jc w:val="both"/>
        <w:ind w:left="340" w:hanging="332"/>
        <w:spacing w:after="0" w:line="273" w:lineRule="auto"/>
        <w:tabs>
          <w:tab w:leader="none" w:pos="33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of January 31, 2020, Mr. Scheinman held a stock option to purchase 100,000 shares of our Class B common stock with an exercise price per share of $10.79, which was granted in November 2018. The option vests in 48 equal monthly installments measured from November 29, 2018, subject to Mr. Scheinman’s continued service and acceleration upon a change in control (as defined in the 2011 Global Share Plan), and may be early exercised prior to vesting subject to our right to repurchase the shares that lapses in accordance with the option vesting schedule.</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Mr. Yuan, our Chief Executive Officer, is also a director but does not receive any additional compensation for his service as a director. See the section titled “Executive Compensation” for additional information about the compensation paid to Mr. Yuan.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21" w:right="339" w:bottom="1440" w:gutter="0" w:footer="0" w:header="0"/>
        </w:sectPr>
      </w:pPr>
    </w:p>
    <w:bookmarkStart w:id="21" w:name="page22"/>
    <w:bookmarkEnd w:id="21"/>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is currently comprised of nine members. In accordance with our amended and restated certificate of incorporation, our Board of Directors is divided into three staggered classes of directors. At the Annual Meeting, three Class I directors will be elected for a three-year term to succeed the same class whose term is then expiring.</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Each director’s term continues until the election and qualification of his or her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our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Nominating and Corporate Governance Committee has recommended, and our Board of Directors has approved, Peter Gassner, Lieut. Gen. H.R. McMaster and Eric S. Yuan, as nominees for election as Class I directors at the Annual Meeting. If elected, each of General McMaster and Messrs. Gassner and Yuan will serve as Class I directors until our 2023 annual meeting of stockholders and until their successors are duly elected and qualified. Each of the nominees is currently a director of our company. For information concerning the nominees, please see the section titled “Board of Directors and Corporate Governance.”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you are a stockholder of record and you sign your proxy card or vote by telephone or over the Internet but do not give instructions with respect to the voting of directors, your shares will be voted “For” the election of General McMaster and Messrs. Gassner and Yuan. We expect that each of General McMaster and Messrs. Gassner and Yuan will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bank or other nominee, your broker, bank or other nominee will leave your shares unvoted on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election of directors requires a plurality of the voting power of the shares of our common stock present in person or by proxy and entitled to vote at the Annual Meeting to be approved. Broker non-votes will have no effect on this proposal.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 THE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Audit Committee has appointed KPMG LLP (“KPMG”), independent registered public accountants, to audit our consolidated financial statements for our fiscal year ending January 31, 2021. During our fiscal year ended January 31, 2020, KPMG served as our independent registered public accounting firm.</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the appointment of KPMG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KPMG as our independent registered public accounting firm for our fiscal year ending January 31, 2021. Our Audit Committee is submitting the appointment of KPMG to our stockholders because we value our stockholders’ views on our independent registered public accounting firm and as a matter of good corporate governance. Representatives of KPMG will be present at the Annual Meeting, and they will have an opportunity to make a statement and will be available to respond to appropriate questions from our stockholders.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our stockholders do not ratify the appointment of KPMG, our Board of Directors may reconsider the appointment.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KPMG for our fiscal years ended January 31, 2019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100" w:type="dxa"/>
            <w:vAlign w:val="bottom"/>
            <w:gridSpan w:val="3"/>
          </w:tcPr>
          <w:p>
            <w:pPr>
              <w:ind w:left="1200"/>
              <w:spacing w:after="0"/>
              <w:rPr>
                <w:sz w:val="20"/>
                <w:szCs w:val="20"/>
                <w:color w:val="auto"/>
              </w:rPr>
            </w:pPr>
            <w:r>
              <w:rPr>
                <w:rFonts w:ascii="Arial" w:cs="Arial" w:eastAsia="Arial" w:hAnsi="Arial"/>
                <w:sz w:val="16"/>
                <w:szCs w:val="16"/>
                <w:b w:val="1"/>
                <w:bCs w:val="1"/>
                <w:color w:val="auto"/>
              </w:rPr>
              <w:t>Fiscal Year</w:t>
            </w:r>
          </w:p>
        </w:tc>
        <w:tc>
          <w:tcPr>
            <w:tcW w:w="1080" w:type="dxa"/>
            <w:vAlign w:val="bottom"/>
          </w:tcPr>
          <w:p>
            <w:pPr>
              <w:spacing w:after="0"/>
              <w:rPr>
                <w:sz w:val="18"/>
                <w:szCs w:val="18"/>
                <w:color w:val="auto"/>
              </w:rPr>
            </w:pPr>
          </w:p>
        </w:tc>
      </w:tr>
      <w:tr>
        <w:trPr>
          <w:trHeight w:val="100"/>
        </w:trPr>
        <w:tc>
          <w:tcPr>
            <w:tcW w:w="13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217"/>
        </w:trPr>
        <w:tc>
          <w:tcPr>
            <w:tcW w:w="13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5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136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9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$1,445,000</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$2,780,149</w:t>
            </w:r>
          </w:p>
        </w:tc>
      </w:tr>
      <w:tr>
        <w:trPr>
          <w:trHeight w:val="22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Audit-related Fees</w:t>
            </w:r>
          </w:p>
        </w:tc>
        <w:tc>
          <w:tcPr>
            <w:tcW w:w="210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114"/>
        </w:trPr>
        <w:tc>
          <w:tcPr>
            <w:tcW w:w="1360" w:type="dxa"/>
            <w:vAlign w:val="bottom"/>
          </w:tcPr>
          <w:p>
            <w:pPr>
              <w:spacing w:after="0"/>
              <w:rPr>
                <w:sz w:val="9"/>
                <w:szCs w:val="9"/>
                <w:color w:val="auto"/>
              </w:rPr>
            </w:pPr>
          </w:p>
        </w:tc>
        <w:tc>
          <w:tcPr>
            <w:tcW w:w="6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Fees</w:t>
            </w:r>
          </w:p>
        </w:tc>
        <w:tc>
          <w:tcPr>
            <w:tcW w:w="2100" w:type="dxa"/>
            <w:vAlign w:val="bottom"/>
            <w:gridSpan w:val="3"/>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114"/>
        </w:trPr>
        <w:tc>
          <w:tcPr>
            <w:tcW w:w="1360" w:type="dxa"/>
            <w:vAlign w:val="bottom"/>
            <w:shd w:val="clear" w:color="auto" w:fill="CCEEFF"/>
          </w:tcPr>
          <w:p>
            <w:pPr>
              <w:spacing w:after="0"/>
              <w:rPr>
                <w:sz w:val="9"/>
                <w:szCs w:val="9"/>
                <w:color w:val="auto"/>
              </w:rPr>
            </w:pPr>
          </w:p>
        </w:tc>
        <w:tc>
          <w:tcPr>
            <w:tcW w:w="670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22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All Other Fees</w:t>
            </w:r>
          </w:p>
        </w:tc>
        <w:tc>
          <w:tcPr>
            <w:tcW w:w="210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87"/>
        </w:trPr>
        <w:tc>
          <w:tcPr>
            <w:tcW w:w="1360" w:type="dxa"/>
            <w:vAlign w:val="bottom"/>
          </w:tcPr>
          <w:p>
            <w:pPr>
              <w:spacing w:after="0"/>
              <w:rPr>
                <w:sz w:val="7"/>
                <w:szCs w:val="7"/>
                <w:color w:val="auto"/>
              </w:rPr>
            </w:pPr>
          </w:p>
        </w:tc>
        <w:tc>
          <w:tcPr>
            <w:tcW w:w="67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223"/>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Fees</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$1,445,000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$2,780,149</w:t>
            </w:r>
          </w:p>
        </w:tc>
      </w:tr>
      <w:tr>
        <w:trPr>
          <w:trHeight w:val="87"/>
        </w:trPr>
        <w:tc>
          <w:tcPr>
            <w:tcW w:w="1360" w:type="dxa"/>
            <w:vAlign w:val="bottom"/>
            <w:shd w:val="clear" w:color="auto" w:fill="CCEEFF"/>
          </w:tcPr>
          <w:p>
            <w:pPr>
              <w:spacing w:after="0"/>
              <w:rPr>
                <w:sz w:val="7"/>
                <w:szCs w:val="7"/>
                <w:color w:val="auto"/>
              </w:rPr>
            </w:pPr>
          </w:p>
        </w:tc>
        <w:tc>
          <w:tcPr>
            <w:tcW w:w="670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284"/>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_______________</w:t>
            </w:r>
          </w:p>
        </w:tc>
        <w:tc>
          <w:tcPr>
            <w:tcW w:w="6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6" w:lineRule="exact"/>
        <w:rPr>
          <w:sz w:val="20"/>
          <w:szCs w:val="20"/>
          <w:color w:val="auto"/>
        </w:rPr>
      </w:pPr>
    </w:p>
    <w:p>
      <w:pPr>
        <w:ind w:left="340" w:hanging="332"/>
        <w:spacing w:after="0" w:line="377" w:lineRule="auto"/>
        <w:tabs>
          <w:tab w:leader="none" w:pos="3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Audit fees consist of professional services provided in connection with the audit of our annual consolidated financial statements and the review of our unaudited quarterly consolidated financial statements. The fees for fiscal year 2019 included services in connection with our initial public offering.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its charter and the policy described further below, our Audit Committee pre-approves audit and non-audit services rendered by our independent registered public accounting firm, KPMG. Our Audit Committee has determined that the rendering of non-audit services by KPMG is compatible with maintaining the independence of KPMG.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Policy on Pre-Approval of Audit and Permissible Non-Audit Services of Independent Registered Public Accounting Firm</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this policy, our Audit Committee is required to pre-approve all audit and non-audit services performed by our independent registered public accounting firm in order to ensure that the provision of such services does not impair the public accountants’ independence. All services rendered by KPMG for our fiscal years ended January 31, 2019 and 2020 were pre-approved by our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ratification of the appointment of KPMG as our independent registered public accounting firm requires the affirmative vote of a majority of the voting power of the shares of our common stock present in person or by proxy at the Annual Meeting and entitled to vote thereon. Abstentions will have the effect of a vote “Against” the proposal and broker non-votes will have no effect.</w:t>
      </w:r>
    </w:p>
    <w:p>
      <w:pPr>
        <w:spacing w:after="0" w:line="18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THE RATIFICATION OF THE APPOINTMENT OF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Audit Committee is a committee of the Board of Directors comprised solely of independent directors as required by the listing standards of The Nasdaq Stock Market and rules and regulations of the Securities and Exchange Commission (“SEC”). The Audit Committee operates under a written charter approved by the Board of Directors, which is available on the company’s website at https://investors.zoom.us/corporate-governance.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With respect to the company’s financial reporting process, the management of the company is responsible for (1) establishing and maintaining internal controls and (2) preparing the company’s consolidated financial statements. The company’s independent registered public accounting firm, KPMG LLP (“KPMG”), is responsible for performing an independent audit of the company’s consolidated financial statements in accordance with the auditing standards of the Public Company Accounting Oversight Board (United States) and to issue a report thereon. It is the responsibility of the Audit Committee to oversee these activities. It is not the responsibility of the Audit Committee to prepare the company’s financial statements. These are the fundamental responsibilities of management. In the performance of its oversight function, the Audit Committee has:</w:t>
      </w:r>
    </w:p>
    <w:p>
      <w:pPr>
        <w:spacing w:after="0" w:line="191"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KPMG;</w:t>
      </w:r>
    </w:p>
    <w:p>
      <w:pPr>
        <w:spacing w:after="0" w:line="211"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discussed with KPMG the matters required to be discussed by the statement on Auditing Standards No. 1301, Communications with Audit Committees, as adopted by the Public Company Accounting Oversight Board; and</w:t>
      </w:r>
    </w:p>
    <w:p>
      <w:pPr>
        <w:spacing w:after="0" w:line="143" w:lineRule="exact"/>
        <w:rPr>
          <w:rFonts w:ascii="Arial" w:cs="Arial" w:eastAsia="Arial" w:hAnsi="Arial"/>
          <w:sz w:val="18"/>
          <w:szCs w:val="18"/>
          <w:color w:val="auto"/>
        </w:rPr>
      </w:pPr>
    </w:p>
    <w:p>
      <w:pPr>
        <w:jc w:val="both"/>
        <w:ind w:left="980" w:hanging="324"/>
        <w:spacing w:after="0" w:line="295"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reviewed the written communication provided from KPMG required by applicable requirements of the Public Company Accounting Oversight Board regarding the independent accountant’s communications with the Audit Committee concerning independence, and has discussed with KPMG its independence.</w:t>
      </w:r>
    </w:p>
    <w:p>
      <w:pPr>
        <w:spacing w:after="0" w:line="1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Audit Committee’s review and discussions with management and KPMG, the Audit Committee recommended to the Board of Directors that the audited financial statements be included in the Annual Report on Form 10-K for the fiscal year ended January 31, 2020 for filing with the Securities and Exchange Commission.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Jonathan Chadwick (Chair)</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Carl M. Eschenbach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 Scheinman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(“Securities Act”), or under the Securities Exchange Act of 1934, as amended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identifies certain information about our executive officers as of March 31, 2020. Our executive officers are appointed by, and serve at the discretion of, our Board of Directors. There are no family relationships among any of our directors or executive officers.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Age</w:t>
            </w:r>
          </w:p>
        </w:tc>
        <w:tc>
          <w:tcPr>
            <w:tcW w:w="650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c>
          <w:tcPr>
            <w:tcW w:w="0" w:type="dxa"/>
            <w:vAlign w:val="bottom"/>
          </w:tcPr>
          <w:p>
            <w:pPr>
              <w:spacing w:after="0"/>
              <w:rPr>
                <w:sz w:val="1"/>
                <w:szCs w:val="1"/>
                <w:color w:val="auto"/>
              </w:rPr>
            </w:pPr>
          </w:p>
        </w:tc>
      </w:tr>
      <w:tr>
        <w:trPr>
          <w:trHeight w:val="100"/>
        </w:trPr>
        <w:tc>
          <w:tcPr>
            <w:tcW w:w="37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50</w:t>
            </w:r>
          </w:p>
        </w:tc>
        <w:tc>
          <w:tcPr>
            <w:tcW w:w="100" w:type="dxa"/>
            <w:vAlign w:val="bottom"/>
            <w:shd w:val="clear" w:color="auto" w:fill="CCEEFF"/>
          </w:tcPr>
          <w:p>
            <w:pPr>
              <w:spacing w:after="0"/>
              <w:rPr>
                <w:sz w:val="17"/>
                <w:szCs w:val="17"/>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Chairman of the Board</w:t>
            </w:r>
          </w:p>
        </w:tc>
        <w:tc>
          <w:tcPr>
            <w:tcW w:w="0" w:type="dxa"/>
            <w:vAlign w:val="bottom"/>
          </w:tcPr>
          <w:p>
            <w:pPr>
              <w:spacing w:after="0"/>
              <w:rPr>
                <w:sz w:val="1"/>
                <w:szCs w:val="1"/>
                <w:color w:val="auto"/>
              </w:rPr>
            </w:pPr>
          </w:p>
        </w:tc>
      </w:tr>
      <w:tr>
        <w:trPr>
          <w:trHeight w:val="81"/>
        </w:trPr>
        <w:tc>
          <w:tcPr>
            <w:tcW w:w="37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5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Ryan Azus</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9"/>
              </w:rPr>
              <w:t>45</w:t>
            </w:r>
          </w:p>
        </w:tc>
        <w:tc>
          <w:tcPr>
            <w:tcW w:w="10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Chief Revenue Officer</w:t>
            </w: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Aparna Bawa</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shd w:val="clear" w:color="auto" w:fill="CCEEFF"/>
          </w:tcPr>
          <w:p>
            <w:pPr>
              <w:spacing w:after="0"/>
              <w:rPr>
                <w:sz w:val="18"/>
                <w:szCs w:val="18"/>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Legal Officer and Secretary</w:t>
            </w:r>
          </w:p>
        </w:tc>
        <w:tc>
          <w:tcPr>
            <w:tcW w:w="0" w:type="dxa"/>
            <w:vAlign w:val="bottom"/>
          </w:tcPr>
          <w:p>
            <w:pPr>
              <w:spacing w:after="0"/>
              <w:rPr>
                <w:sz w:val="1"/>
                <w:szCs w:val="1"/>
                <w:color w:val="auto"/>
              </w:rPr>
            </w:pPr>
          </w:p>
        </w:tc>
      </w:tr>
      <w:tr>
        <w:trPr>
          <w:trHeight w:val="80"/>
        </w:trPr>
        <w:tc>
          <w:tcPr>
            <w:tcW w:w="37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5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Janine Pelosi</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9"/>
              </w:rPr>
              <w:t>37</w:t>
            </w:r>
          </w:p>
        </w:tc>
        <w:tc>
          <w:tcPr>
            <w:tcW w:w="10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Arial" w:cs="Arial" w:eastAsia="Arial" w:hAnsi="Arial"/>
                <w:sz w:val="16"/>
                <w:szCs w:val="16"/>
                <w:color w:val="auto"/>
              </w:rPr>
              <w:t>Chief Marketing Officer</w:t>
            </w: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Kelly Steckelberg</w:t>
            </w: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shd w:val="clear" w:color="auto" w:fill="CCEEFF"/>
          </w:tcPr>
          <w:p>
            <w:pPr>
              <w:spacing w:after="0"/>
              <w:rPr>
                <w:sz w:val="18"/>
                <w:szCs w:val="18"/>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68"/>
        </w:trPr>
        <w:tc>
          <w:tcPr>
            <w:tcW w:w="3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3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Eric S. Yuan. </w:t>
      </w:r>
      <w:r>
        <w:rPr>
          <w:rFonts w:ascii="Arial" w:cs="Arial" w:eastAsia="Arial" w:hAnsi="Arial"/>
          <w:sz w:val="17"/>
          <w:szCs w:val="17"/>
          <w:color w:val="auto"/>
        </w:rPr>
        <w:t>Mr. Yuan is the founder of our company and has served as the Chairman of our board directors,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Bachelor’s degree in Applied Math from Shandong University of Science &amp; Technology and a Master’s degree in engineering from China University of Mining &amp; Technology.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Ryan Azus. </w:t>
      </w:r>
      <w:r>
        <w:rPr>
          <w:rFonts w:ascii="Arial" w:cs="Arial" w:eastAsia="Arial" w:hAnsi="Arial"/>
          <w:sz w:val="18"/>
          <w:szCs w:val="18"/>
          <w:color w:val="auto"/>
        </w:rPr>
        <w:t>Azus has served as our Chief Revenue Officer since August 2019. Prior to joining us, Mr. Azus was at RingCentral, Inc., a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global enterprise cloud communications and collaboration solutions from September 2009 to August 2019, where he served in various roles, most recently as Executive Vice President of Global Sales and Services. Prior to joining RingCentral, Mr. Azus worked in various positions at Cisco Webex, a division of Cisco Systems, Inc., a provider of video conferencing, online meetings, screen share, and webinars from March 2000 to June 2009. Mr. Azus holds a B.S. in Business Administration from California Polytechnic State University.</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Aparna Bawa. </w:t>
      </w:r>
      <w:r>
        <w:rPr>
          <w:rFonts w:ascii="Arial" w:cs="Arial" w:eastAsia="Arial" w:hAnsi="Arial"/>
          <w:sz w:val="17"/>
          <w:szCs w:val="17"/>
          <w:color w:val="auto"/>
        </w:rPr>
        <w:t>Ms. Bawa has served as our Chief Legal Officer since August 2019, our General Counsel since September 2018 and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since December 2018. Prior to joining us, 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Janine Pelosi. </w:t>
      </w:r>
      <w:r>
        <w:rPr>
          <w:rFonts w:ascii="Arial" w:cs="Arial" w:eastAsia="Arial" w:hAnsi="Arial"/>
          <w:sz w:val="16"/>
          <w:szCs w:val="16"/>
          <w:color w:val="auto"/>
        </w:rPr>
        <w:t>Ms. Pelosi has served as our Chief Marketing Officer since March 2019. She previously served as our Head of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Online Business from November 2018 to March 2019. Prior to this, Ms. Pelosi served as our Head of Marketing from March 2015 to November 2018. From May 2007 to March 2015, Ms. Pelosi served in various marketing roles at Cisco Systems, Inc., most recently as Senior Manager of Marketing WebEx Online. Ms. Pelosi served in various roles at WebEx Communications, Inc., most recently as Online Marketing Manager, from June 2004 until its acquisition by Cisco Systems, Inc. in May 2007. Ms. Pelosi holds a B.S. degree in Business Administration and Marketing from San Jose State University.</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Kelly Steckelberg. </w:t>
      </w:r>
      <w:r>
        <w:rPr>
          <w:rFonts w:ascii="Arial" w:cs="Arial" w:eastAsia="Arial" w:hAnsi="Arial"/>
          <w:sz w:val="18"/>
          <w:szCs w:val="18"/>
          <w:color w:val="auto"/>
        </w:rPr>
        <w:t>Ms. Steckelberg has served as our Chief Financial Officer since November 2017. Prior to joining us, Ms. Steckelberg served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Systems, Inc., where her roles included Consumer Segment Finance Senior Director and divisional Chief Financial Officer for WebEx. Prior to joining Cisco Systems, Inc., Ms. Steckelberg served as Controller and Chief Accounting Officer at WebEx Communications, Inc., from May 2006 until its acquisition by Cisco Systems, Inc. in May 2007. Ms. Steckelberg holds a B.B.A. in Accounting and an MPA from the University of Texas at Austin.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47" w:right="339" w:bottom="1440" w:gutter="0" w:footer="0" w:header="0"/>
        </w:sectPr>
      </w:pPr>
    </w:p>
    <w:bookmarkStart w:id="26" w:name="page27"/>
    <w:bookmarkEnd w:id="26"/>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became a public company in April 2019, and 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(“JOBS Act”), including certain executive compensation disclosures required of a “smaller reporting company,” as that term is defined in Rule 12b-2 promulgated under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the completion of our initial public offering, or IPO, (ii) the last day of the first fiscal year in which our annual gross revenue is $1.07 billion or more, (iii) the date on which we have, during the previous rolling three-year period, issued more than $1 billion in non-convertible debt securities or (iv) the date on which we are deemed to be a “large accelerated filer” as defined in the Exchange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our fiscal year ended January 31, 2020, or fiscal year 2020, our named executive officers, which consisted of our Chief Executive Officer and the two most highly-compensated executive officers (other than the Chief Executive Officer), were:</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Eric S. Yuan, our President and Chief Executive Officer;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Kelly Steckelberg, our Chief Financial Officer;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Ryan Azus, our Chief Revenue Officer.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Azus commenced employment with us on August 5,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Processes and Procedures for Compensation Decisions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Compensation Committee is primarily responsible for establishing and reviewing our general compensation strategy. In addition, the Compensation Committee oversees our compensation and benefit plans and policies, administers our equity incentive plans and reviews and approves annually all compensation decisions relating to all of our executive officers, including our Chief Executive Officer. The Compensation Committee considers recommendations from our Chief Executive Officer regarding the compensation of our executive officers other than himself. Under its charter, our Compensation Committee has the right to retain or obtain the advice of compensation consultants, independent legal counsel and other advisers. During fiscal year 2020, our Compensation Committee retained Radford, a compensation consulting firm part of Aon plc, with compensation expertise relating to technology companies, to provide it with market information, analysis and other advice relating to executive compensation on an ongoing basis. Radford was engaged directly by our Compensation Committee to, among other things, assist in developing an appropriate group of peer companies to help us determine the appropriate level of overall compensation for our executive officers and non-employee directors, as well as to assess each separate element of executive officer and non-employee director compensation, with a goal of ensuring that the compensation we offer to our executive officers and non-employee directors is competitive and fair. Radford does not provide any non-compensation related services to our company other than providing advice to the Compensation Committee on compensation practices for our employees and our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2020</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during the fiscal year ended January 31, 2020 and, with respect to Mr. Yuan, the fiscal year ended January 31, 2019. Ms. Steckelberg and Mr. Azus were not named executive officers for the fiscal year ended January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ind w:left="20"/>
              <w:spacing w:after="0"/>
              <w:rPr>
                <w:sz w:val="20"/>
                <w:szCs w:val="20"/>
                <w:color w:val="auto"/>
              </w:rPr>
            </w:pPr>
            <w:r>
              <w:rPr>
                <w:rFonts w:ascii="Arial" w:cs="Arial" w:eastAsia="Arial" w:hAnsi="Arial"/>
                <w:sz w:val="16"/>
                <w:szCs w:val="16"/>
                <w:b w:val="1"/>
                <w:bCs w:val="1"/>
                <w:color w:val="auto"/>
              </w:rPr>
              <w:t>Name and Principal</w:t>
            </w:r>
          </w:p>
        </w:tc>
        <w:tc>
          <w:tcPr>
            <w:tcW w:w="80" w:type="dxa"/>
            <w:vAlign w:val="bottom"/>
          </w:tcPr>
          <w:p>
            <w:pPr>
              <w:spacing w:after="0"/>
              <w:rPr>
                <w:sz w:val="16"/>
                <w:szCs w:val="16"/>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Year</w:t>
            </w:r>
          </w:p>
        </w:tc>
        <w:tc>
          <w:tcPr>
            <w:tcW w:w="12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Salary</w:t>
            </w:r>
          </w:p>
        </w:tc>
        <w:tc>
          <w:tcPr>
            <w:tcW w:w="12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Bonus</w:t>
            </w:r>
          </w:p>
        </w:tc>
        <w:tc>
          <w:tcPr>
            <w:tcW w:w="13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Stock Awards</w:t>
            </w:r>
            <w:r>
              <w:rPr>
                <w:rFonts w:ascii="Arial" w:cs="Arial" w:eastAsia="Arial" w:hAnsi="Arial"/>
                <w:sz w:val="21"/>
                <w:szCs w:val="21"/>
                <w:b w:val="1"/>
                <w:bCs w:val="1"/>
                <w:color w:val="auto"/>
                <w:vertAlign w:val="superscript"/>
              </w:rPr>
              <w:t>(1)</w:t>
            </w:r>
          </w:p>
        </w:tc>
        <w:tc>
          <w:tcPr>
            <w:tcW w:w="14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Non-Equity Incentive</w:t>
            </w:r>
          </w:p>
        </w:tc>
        <w:tc>
          <w:tcPr>
            <w:tcW w:w="130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79"/>
        </w:trPr>
        <w:tc>
          <w:tcPr>
            <w:tcW w:w="1840" w:type="dxa"/>
            <w:vAlign w:val="bottom"/>
          </w:tcPr>
          <w:p>
            <w:pPr>
              <w:ind w:left="20"/>
              <w:spacing w:after="0"/>
              <w:rPr>
                <w:sz w:val="20"/>
                <w:szCs w:val="20"/>
                <w:color w:val="auto"/>
              </w:rPr>
            </w:pPr>
            <w:r>
              <w:rPr>
                <w:rFonts w:ascii="Arial" w:cs="Arial" w:eastAsia="Arial" w:hAnsi="Arial"/>
                <w:sz w:val="16"/>
                <w:szCs w:val="16"/>
                <w:b w:val="1"/>
                <w:bCs w:val="1"/>
                <w:color w:val="auto"/>
              </w:rPr>
              <w:t>Position</w:t>
            </w:r>
          </w:p>
        </w:tc>
        <w:tc>
          <w:tcPr>
            <w:tcW w:w="8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Arial" w:cs="Arial" w:eastAsia="Arial" w:hAnsi="Arial"/>
                <w:sz w:val="16"/>
                <w:szCs w:val="16"/>
                <w:b w:val="1"/>
                <w:bCs w:val="1"/>
                <w:color w:val="auto"/>
              </w:rPr>
              <w:t>Plan Compensation</w:t>
            </w:r>
            <w:r>
              <w:rPr>
                <w:rFonts w:ascii="Arial" w:cs="Arial" w:eastAsia="Arial" w:hAnsi="Arial"/>
                <w:sz w:val="21"/>
                <w:szCs w:val="21"/>
                <w:b w:val="1"/>
                <w:bCs w:val="1"/>
                <w:color w:val="auto"/>
                <w:vertAlign w:val="superscript"/>
              </w:rPr>
              <w:t>(2)</w:t>
            </w: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Eric S. Yuan, </w:t>
            </w:r>
            <w:r>
              <w:rPr>
                <w:rFonts w:ascii="Arial" w:cs="Arial" w:eastAsia="Arial" w:hAnsi="Arial"/>
                <w:sz w:val="16"/>
                <w:szCs w:val="16"/>
                <w:i w:val="1"/>
                <w:iCs w:val="1"/>
                <w:color w:val="auto"/>
              </w:rPr>
              <w:t>President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$20,826</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$320,826</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and Chief Executive</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Officer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18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2019</w:t>
            </w:r>
          </w:p>
        </w:tc>
        <w:tc>
          <w:tcPr>
            <w:tcW w:w="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$4,374,307</w:t>
            </w:r>
          </w:p>
        </w:tc>
        <w:tc>
          <w:tcPr>
            <w:tcW w:w="10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$4,674,307</w:t>
            </w:r>
          </w:p>
        </w:tc>
        <w:tc>
          <w:tcPr>
            <w:tcW w:w="0" w:type="dxa"/>
            <w:vAlign w:val="bottom"/>
          </w:tcPr>
          <w:p>
            <w:pPr>
              <w:spacing w:after="0"/>
              <w:rPr>
                <w:sz w:val="1"/>
                <w:szCs w:val="1"/>
                <w:color w:val="auto"/>
              </w:rPr>
            </w:pPr>
          </w:p>
        </w:tc>
      </w:tr>
      <w:tr>
        <w:trPr>
          <w:trHeight w:val="206"/>
        </w:trPr>
        <w:tc>
          <w:tcPr>
            <w:tcW w:w="1840" w:type="dxa"/>
            <w:vAlign w:val="bottom"/>
          </w:tcPr>
          <w:p>
            <w:pPr>
              <w:ind w:left="20"/>
              <w:spacing w:after="0"/>
              <w:rPr>
                <w:sz w:val="20"/>
                <w:szCs w:val="20"/>
                <w:color w:val="auto"/>
              </w:rPr>
            </w:pPr>
            <w:r>
              <w:rPr>
                <w:rFonts w:ascii="Arial" w:cs="Arial" w:eastAsia="Arial" w:hAnsi="Arial"/>
                <w:sz w:val="16"/>
                <w:szCs w:val="16"/>
                <w:color w:val="auto"/>
              </w:rPr>
              <w:t xml:space="preserve">Kelly Steckelberg, </w:t>
            </w:r>
            <w:r>
              <w:rPr>
                <w:rFonts w:ascii="Arial" w:cs="Arial" w:eastAsia="Arial" w:hAnsi="Arial"/>
                <w:sz w:val="16"/>
                <w:szCs w:val="16"/>
                <w:i w:val="1"/>
                <w:iCs w:val="1"/>
                <w:color w:val="auto"/>
              </w:rPr>
              <w:t>Chief</w:t>
            </w:r>
          </w:p>
        </w:tc>
        <w:tc>
          <w:tcPr>
            <w:tcW w:w="820" w:type="dxa"/>
            <w:vAlign w:val="bottom"/>
            <w:gridSpan w:val="2"/>
          </w:tcPr>
          <w:p>
            <w:pPr>
              <w:ind w:left="280"/>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$356,250</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$52,283</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$408,533</w:t>
            </w:r>
          </w:p>
        </w:tc>
        <w:tc>
          <w:tcPr>
            <w:tcW w:w="0" w:type="dxa"/>
            <w:vAlign w:val="bottom"/>
          </w:tcPr>
          <w:p>
            <w:pPr>
              <w:spacing w:after="0"/>
              <w:rPr>
                <w:sz w:val="1"/>
                <w:szCs w:val="1"/>
                <w:color w:val="auto"/>
              </w:rPr>
            </w:pPr>
          </w:p>
        </w:tc>
      </w:tr>
      <w:tr>
        <w:trPr>
          <w:trHeight w:val="206"/>
        </w:trPr>
        <w:tc>
          <w:tcPr>
            <w:tcW w:w="1840" w:type="dxa"/>
            <w:vAlign w:val="bottom"/>
          </w:tcPr>
          <w:p>
            <w:pPr>
              <w:ind w:left="20"/>
              <w:spacing w:after="0"/>
              <w:rPr>
                <w:sz w:val="20"/>
                <w:szCs w:val="20"/>
                <w:color w:val="auto"/>
              </w:rPr>
            </w:pPr>
            <w:r>
              <w:rPr>
                <w:rFonts w:ascii="Arial" w:cs="Arial" w:eastAsia="Arial" w:hAnsi="Arial"/>
                <w:sz w:val="16"/>
                <w:szCs w:val="16"/>
                <w:i w:val="1"/>
                <w:iCs w:val="1"/>
                <w:color w:val="auto"/>
              </w:rPr>
              <w:t>Financial Officer</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 xml:space="preserve">Ryan Azus, </w:t>
            </w:r>
            <w:r>
              <w:rPr>
                <w:rFonts w:ascii="Arial" w:cs="Arial" w:eastAsia="Arial" w:hAnsi="Arial"/>
                <w:sz w:val="16"/>
                <w:szCs w:val="16"/>
                <w:i w:val="1"/>
                <w:iCs w:val="1"/>
                <w:color w:val="auto"/>
                <w:w w:val="93"/>
              </w:rPr>
              <w:t>Chief Revenue</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$209,280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6" w:lineRule="exact"/>
              <w:rPr>
                <w:sz w:val="20"/>
                <w:szCs w:val="20"/>
                <w:color w:val="auto"/>
              </w:rPr>
            </w:pPr>
            <w:r>
              <w:rPr>
                <w:rFonts w:ascii="Arial" w:cs="Arial" w:eastAsia="Arial" w:hAnsi="Arial"/>
                <w:sz w:val="16"/>
                <w:szCs w:val="16"/>
                <w:color w:val="auto"/>
                <w:w w:val="85"/>
              </w:rPr>
              <w:t>$12,952</w:t>
            </w:r>
            <w:r>
              <w:rPr>
                <w:rFonts w:ascii="Arial" w:cs="Arial" w:eastAsia="Arial" w:hAnsi="Arial"/>
                <w:sz w:val="21"/>
                <w:szCs w:val="21"/>
                <w:color w:val="auto"/>
                <w:w w:val="85"/>
                <w:vertAlign w:val="superscript"/>
              </w:rPr>
              <w:t>(3)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$28,122,500</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$252,009</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$28,596,741</w:t>
            </w: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Officer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12" w:lineRule="exact"/>
        <w:rPr>
          <w:sz w:val="20"/>
          <w:szCs w:val="20"/>
          <w:color w:val="auto"/>
        </w:rPr>
      </w:pPr>
    </w:p>
    <w:p>
      <w:pPr>
        <w:jc w:val="both"/>
        <w:ind w:left="340" w:hanging="332"/>
        <w:spacing w:after="0" w:line="281" w:lineRule="auto"/>
        <w:tabs>
          <w:tab w:leader="none" w:pos="334"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 date fair value of stock options and stock awards granted in each respective fiscal year as determined in accordance with FASB ASC Topic 718. These amounts may not actually reflect to the actual value that will be realized by our named executive officers. The assumptions used to calculate the value of stock awards and stock options are set forth under Note 9 of the Notes to Consolidated Financial Statements contained in our Annual Report on Form 10-K for the fiscal year ended January 31, 2020.</w:t>
      </w:r>
    </w:p>
    <w:p>
      <w:pPr>
        <w:ind w:left="340" w:hanging="332"/>
        <w:spacing w:after="0" w:line="250"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disclosed represent the applicable named executive officer’s total performance bonus earned for the fiscal year ended January 31, 2020, as further described below under “—Performance Bonus Opportunity.”</w:t>
      </w:r>
    </w:p>
    <w:p>
      <w:pPr>
        <w:ind w:left="340" w:right="20" w:hanging="332"/>
        <w:spacing w:after="0" w:line="260" w:lineRule="auto"/>
        <w:tabs>
          <w:tab w:leader="none" w:pos="33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amounts paid as a non-recoverable draw on commission payments for the first three months of Mr. Azus' employment pursuant to the terms of his offer letter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compensation of our named executive officers is generally determined and approved by the compensation committee of our board of directors. The base salaries of each of our executive officers for the fiscal year ended January 31, 2020 are listed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5560" w:type="dxa"/>
            <w:vAlign w:val="bottom"/>
          </w:tcPr>
          <w:p>
            <w:pPr>
              <w:jc w:val="right"/>
              <w:ind w:right="2919"/>
              <w:spacing w:after="0"/>
              <w:rPr>
                <w:sz w:val="20"/>
                <w:szCs w:val="20"/>
                <w:color w:val="auto"/>
              </w:rPr>
            </w:pPr>
            <w:r>
              <w:rPr>
                <w:rFonts w:ascii="Arial" w:cs="Arial" w:eastAsia="Arial" w:hAnsi="Arial"/>
                <w:sz w:val="16"/>
                <w:szCs w:val="16"/>
                <w:b w:val="1"/>
                <w:bCs w:val="1"/>
                <w:color w:val="auto"/>
                <w:w w:val="91"/>
              </w:rPr>
              <w:t>Fiscal Year 2020 Annual Base Salary</w:t>
            </w:r>
          </w:p>
        </w:tc>
      </w:tr>
      <w:tr>
        <w:trPr>
          <w:trHeight w:val="33"/>
        </w:trPr>
        <w:tc>
          <w:tcPr>
            <w:tcW w:w="5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3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5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$300,000</w:t>
            </w:r>
          </w:p>
        </w:tc>
      </w:tr>
      <w:tr>
        <w:trPr>
          <w:trHeight w:val="256"/>
        </w:trPr>
        <w:tc>
          <w:tcPr>
            <w:tcW w:w="568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r>
              <w:rPr>
                <w:rFonts w:ascii="Arial" w:cs="Arial" w:eastAsia="Arial" w:hAnsi="Arial"/>
                <w:sz w:val="21"/>
                <w:szCs w:val="21"/>
                <w:color w:val="auto"/>
                <w:vertAlign w:val="superscript"/>
              </w:rPr>
              <w:t>(1)</w:t>
            </w:r>
          </w:p>
        </w:tc>
        <w:tc>
          <w:tcPr>
            <w:tcW w:w="5560" w:type="dxa"/>
            <w:vAlign w:val="bottom"/>
          </w:tcPr>
          <w:p>
            <w:pPr>
              <w:jc w:val="right"/>
              <w:ind w:right="59"/>
              <w:spacing w:after="0"/>
              <w:rPr>
                <w:sz w:val="20"/>
                <w:szCs w:val="20"/>
                <w:color w:val="auto"/>
              </w:rPr>
            </w:pPr>
            <w:r>
              <w:rPr>
                <w:rFonts w:ascii="Arial" w:cs="Arial" w:eastAsia="Arial" w:hAnsi="Arial"/>
                <w:sz w:val="16"/>
                <w:szCs w:val="16"/>
                <w:color w:val="auto"/>
              </w:rPr>
              <w:t>$375,000</w:t>
            </w:r>
          </w:p>
        </w:tc>
      </w:tr>
      <w:tr>
        <w:trPr>
          <w:trHeight w:val="257"/>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Azus</w:t>
            </w:r>
            <w:r>
              <w:rPr>
                <w:rFonts w:ascii="Arial" w:cs="Arial" w:eastAsia="Arial" w:hAnsi="Arial"/>
                <w:sz w:val="21"/>
                <w:szCs w:val="21"/>
                <w:color w:val="auto"/>
                <w:vertAlign w:val="superscript"/>
              </w:rPr>
              <w:t>(2)</w:t>
            </w:r>
          </w:p>
        </w:tc>
        <w:tc>
          <w:tcPr>
            <w:tcW w:w="5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$425,000</w:t>
            </w:r>
          </w:p>
        </w:tc>
      </w:tr>
    </w:tbl>
    <w:p>
      <w:pPr>
        <w:spacing w:after="0" w:line="202"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Ms. Steckelberg’s 2019 base salary rate was $300,000 until May 2019 when it was increased to $375,000.</w:t>
      </w:r>
    </w:p>
    <w:p>
      <w:pPr>
        <w:spacing w:after="0" w:line="11"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Azus’ base salary rate was effective as of his commencement of employment with us in August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Bonus Opportunity</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base salaries, our named executive officers are eligible to receive performance-based cash bonuses, which are designed to provide appropriate incentives to our executives to achieve defined performance goals and to reward our executives for individual achievement towards these goals. Except for Mr. Azus, the performance-based bonus each executive officer is eligible to receive is generally based on the extent to which we achieve the corporate goals that our board or compensation committee establishes and is paid under our officer incentive plan. Our corporate performance objectives for the fiscal year ended January 31, 2020 related to achievement of monthly recurring revenue targets and operating income targets. Mr. Azus is eligible to receive commission payments based on sales targets under our sales commission program.</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fiscal year ended January 31, 2020, each of Mr. Yuan and Ms. Steckelberg was eligible to receive a bonus at an annual target of 8% of base salary. Prior to May 1, 2019, Ms. Steckelberg was eligible to receive a bonus at an annual target of 35% of her base salary and Mr. Yuan was not eligible for any bonus. Mr. Azus was eligible to receive a commission-based bonus at an annual target of 100% of his base salary, pro-rated for the period of time he was employed with us during the fiscal year ended January 31, 2020. During the first three months of Mr. Azus’ employment with us, he was entitled to receive the greater of his earned bonuses for such period or his pro-rated annual target bonus for such period.</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our named executive officers earned total bonuses for the fiscal year ended January 31, 2020 performance based on our achievement of the relevant performance targets and each executive’s target bonus. Mr. Azus’ earned bonus amount was pro-rated for the period of time he was employed during the fiscal year ended January 31, 2020. All bonuses for the fiscal year ended January 31, 2020 were paid in cash.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Awards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Mr. Azus’ commencement of employment with us in August 2019, we granted him a new hire stock award consisting of restricted stock units to be issued 350,000 shares of our Class A common stock. The restricted stock units vest over a four year period subject to Mr. Azus’ continued service with us, subject to “double trigger” acceleration as described below under “—Potential Payments Upon Termination or Change in Control.” We did not grant Mr. Yuan or Ms. Steckelberg equity awards during the fiscal year ended January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Eric S. Yuan</w:t>
      </w:r>
      <w:r>
        <w:rPr>
          <w:rFonts w:ascii="Arial" w:cs="Arial" w:eastAsia="Arial" w:hAnsi="Arial"/>
          <w:sz w:val="18"/>
          <w:szCs w:val="18"/>
          <w:color w:val="auto"/>
        </w:rPr>
        <w:t>. In December 2018, we entered into a confirmatory offer letter with Mr. Yuan. The confirmatory offer letter has no specific term,</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at-will employment and reflects Mr. Yuan’s current annual base salary of $300,000 and “double trigger” severance benefits upon an involuntary termination in connection with a change in control, as described below under “—Potential Payments upon Termination or Change in Control.” Mr. Yuan is also eligible to receive a target bonus of up to 8% of his base salary.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Kelly Steckelberg</w:t>
      </w:r>
      <w:r>
        <w:rPr>
          <w:rFonts w:ascii="Arial" w:cs="Arial" w:eastAsia="Arial" w:hAnsi="Arial"/>
          <w:sz w:val="18"/>
          <w:szCs w:val="18"/>
          <w:color w:val="auto"/>
        </w:rPr>
        <w:t>. In December 2018, we entered into a confirmatory offer letter with Ms. Steckelberg. The confirmatory offer letter has no</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term, provides for at-will employment and “double trigger” severance benefits upon an involuntary termination in connection with a change in control, as described below under “—Potential Payments upon Termination or Change in Control.” Ms. Steckelberg’s current base salary is $375,000 and she is eligible to receive a target bonus of up to 8% of her base salary.</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Ryan Azus</w:t>
      </w:r>
      <w:r>
        <w:rPr>
          <w:rFonts w:ascii="Arial" w:cs="Arial" w:eastAsia="Arial" w:hAnsi="Arial"/>
          <w:sz w:val="17"/>
          <w:szCs w:val="17"/>
          <w:color w:val="auto"/>
        </w:rPr>
        <w:t>. We entered into an offer letter with Mr. Azus in June 2019. The offer letter has no specific term, provides for at-will employment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reflects Mr. Azus’ current annual base salary of $425,000 and “double trigger” severance benefits upon an involuntary termination in connection with a change in control, as described below under “—Potential Payments upon Termination or Change in Control.” Mr. Azus is also eligible to receive incentive compensation at a target of up to 100% of his base salary pursuant to the terms of a sales commission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Regardless of the manner in which a named executive officer’s service terminates, each named executive officer is entitled to receive amounts earned during his or her term of service, including unpaid salary and unused vacation.</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of our named executive officers is eligible for severance benefits in the form of a payment equal to six months of base salary, accelerated vesting of all outstanding equity awards and payment of up to six months of COBRA premiums, upon an involuntary termination within the 12 months following a change in control (as defined in the offer letter), pursuant to the offer letters described above under “—Employment, Severance and Change in Control Agreements.” An involuntary termination for purposes of the severance benefits generally means a termination by us other than for death, disability or cause (as defined in the offer letter) or a resignation for good reason (as defined in the offer letter).</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each of our named executive officers’ stock options are subject to the terms of our 2011 Global Share Plan (the “2011 Plan”) and form of share option agreement thereunder and Mr. Azus’ restricted stock units are subject to the terms of the 2019 Plan and form of restricted stock unit agreement thereunder. A description of the termination and change in control provisions in the 2011 Plan and 2019 Plan and awards granted thereunder is provided below under “—Equity Incentive Plans.”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sets forth the outstanding and exercisable and unexercisable stock options and unvested restricted stock unit awards held by our named executive officers as of January 31, 2020. The market value for the stock awards was calculated by multiplying the number of shares of our common stock subject to each award by $76.30, which was the closing market price of our common stock on January 31,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Option Awards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3"/>
          </w:tcPr>
          <w:p>
            <w:pPr>
              <w:ind w:left="78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00"/>
        </w:trPr>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2"/>
          </w:tcPr>
          <w:p>
            <w:pPr>
              <w:spacing w:after="0"/>
              <w:rPr>
                <w:sz w:val="8"/>
                <w:szCs w:val="8"/>
                <w:color w:val="auto"/>
              </w:rPr>
            </w:pPr>
          </w:p>
        </w:tc>
        <w:tc>
          <w:tcPr>
            <w:tcW w:w="1440" w:type="dxa"/>
            <w:vAlign w:val="bottom"/>
            <w:tcBorders>
              <w:bottom w:val="single" w:sz="8" w:color="auto"/>
            </w:tcBorders>
            <w:gridSpan w:val="2"/>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Number of</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Number of</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4"/>
              </w:rPr>
              <w:t>Market value of</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Securities</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Securities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shares or</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6"/>
              </w:rPr>
              <w:t>shares or</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Underlying</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Underlying</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units of</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units of</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8"/>
              </w:rPr>
              <w:t>Unexercised</w:t>
            </w:r>
          </w:p>
        </w:tc>
        <w:tc>
          <w:tcPr>
            <w:tcW w:w="1440" w:type="dxa"/>
            <w:vAlign w:val="bottom"/>
            <w:gridSpan w:val="2"/>
          </w:tcPr>
          <w:p>
            <w:pPr>
              <w:jc w:val="center"/>
              <w:ind w:right="80"/>
              <w:spacing w:after="0" w:line="175" w:lineRule="exact"/>
              <w:rPr>
                <w:sz w:val="20"/>
                <w:szCs w:val="20"/>
                <w:color w:val="auto"/>
              </w:rPr>
            </w:pPr>
            <w:r>
              <w:rPr>
                <w:rFonts w:ascii="Arial" w:cs="Arial" w:eastAsia="Arial" w:hAnsi="Arial"/>
                <w:sz w:val="16"/>
                <w:szCs w:val="16"/>
                <w:b w:val="1"/>
                <w:bCs w:val="1"/>
                <w:color w:val="auto"/>
                <w:w w:val="88"/>
              </w:rPr>
              <w:t>Unexercised</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3"/>
              </w:rPr>
              <w:t>Option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7"/>
              </w:rPr>
              <w:t>stock that</w:t>
            </w:r>
          </w:p>
        </w:tc>
        <w:tc>
          <w:tcPr>
            <w:tcW w:w="12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9"/>
              </w:rPr>
              <w:t>stock that</w:t>
            </w:r>
          </w:p>
        </w:tc>
        <w:tc>
          <w:tcPr>
            <w:tcW w:w="0" w:type="dxa"/>
            <w:vAlign w:val="bottom"/>
          </w:tcPr>
          <w:p>
            <w:pPr>
              <w:spacing w:after="0"/>
              <w:rPr>
                <w:sz w:val="1"/>
                <w:szCs w:val="1"/>
                <w:color w:val="auto"/>
              </w:rPr>
            </w:pPr>
          </w:p>
        </w:tc>
      </w:tr>
      <w:tr>
        <w:trPr>
          <w:trHeight w:val="41"/>
        </w:trPr>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Options</w:t>
            </w:r>
          </w:p>
        </w:tc>
        <w:tc>
          <w:tcPr>
            <w:tcW w:w="124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have not</w:t>
            </w:r>
          </w:p>
        </w:tc>
        <w:tc>
          <w:tcPr>
            <w:tcW w:w="0" w:type="dxa"/>
            <w:vAlign w:val="bottom"/>
          </w:tcPr>
          <w:p>
            <w:pPr>
              <w:spacing w:after="0"/>
              <w:rPr>
                <w:sz w:val="1"/>
                <w:szCs w:val="1"/>
                <w:color w:val="auto"/>
              </w:rPr>
            </w:pPr>
          </w:p>
        </w:tc>
      </w:tr>
      <w:tr>
        <w:trPr>
          <w:trHeight w:val="189"/>
        </w:trPr>
        <w:tc>
          <w:tcPr>
            <w:tcW w:w="1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4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Grant Date</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Options</w:t>
            </w:r>
          </w:p>
        </w:tc>
        <w:tc>
          <w:tcPr>
            <w:tcW w:w="144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Exercise Price</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Option Expiration</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have not</w:t>
            </w: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2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9"/>
              </w:rPr>
              <w:t>Exercisable</w:t>
            </w: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Unexercisable</w:t>
            </w:r>
          </w:p>
        </w:tc>
        <w:tc>
          <w:tcPr>
            <w:tcW w:w="1240" w:type="dxa"/>
            <w:vAlign w:val="bottom"/>
            <w:gridSpan w:val="2"/>
          </w:tcPr>
          <w:p>
            <w:pPr>
              <w:jc w:val="center"/>
              <w:ind w:right="80"/>
              <w:spacing w:after="0" w:line="203" w:lineRule="exact"/>
              <w:rPr>
                <w:sz w:val="20"/>
                <w:szCs w:val="20"/>
                <w:color w:val="auto"/>
              </w:rPr>
            </w:pPr>
            <w:r>
              <w:rPr>
                <w:rFonts w:ascii="Arial" w:cs="Arial" w:eastAsia="Arial" w:hAnsi="Arial"/>
                <w:sz w:val="16"/>
                <w:szCs w:val="16"/>
                <w:b w:val="1"/>
                <w:bCs w:val="1"/>
                <w:color w:val="auto"/>
                <w:w w:val="87"/>
              </w:rPr>
              <w:t>Per Share</w:t>
            </w:r>
            <w:r>
              <w:rPr>
                <w:rFonts w:ascii="Arial" w:cs="Arial" w:eastAsia="Arial" w:hAnsi="Arial"/>
                <w:sz w:val="21"/>
                <w:szCs w:val="21"/>
                <w:b w:val="1"/>
                <w:bCs w:val="1"/>
                <w:color w:val="auto"/>
                <w:w w:val="87"/>
                <w:vertAlign w:val="superscript"/>
              </w:rPr>
              <w:t>(1)</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Date</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2"/>
              </w:rPr>
              <w:t>vested</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6"/>
              </w:rPr>
              <w:t>vested</w:t>
            </w: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Eric S. Yuan</w:t>
            </w:r>
          </w:p>
        </w:tc>
        <w:tc>
          <w:tcPr>
            <w:tcW w:w="1300" w:type="dxa"/>
            <w:vAlign w:val="bottom"/>
            <w:shd w:val="clear" w:color="auto" w:fill="CCEEFF"/>
          </w:tcPr>
          <w:p>
            <w:pPr>
              <w:jc w:val="center"/>
              <w:spacing w:after="0" w:line="223" w:lineRule="exact"/>
              <w:rPr>
                <w:sz w:val="20"/>
                <w:szCs w:val="20"/>
                <w:color w:val="auto"/>
              </w:rPr>
            </w:pPr>
            <w:r>
              <w:rPr>
                <w:rFonts w:ascii="Arial" w:cs="Arial" w:eastAsia="Arial" w:hAnsi="Arial"/>
                <w:sz w:val="16"/>
                <w:szCs w:val="16"/>
                <w:color w:val="auto"/>
                <w:w w:val="88"/>
              </w:rPr>
              <w:t>09/24/2018</w:t>
            </w:r>
            <w:r>
              <w:rPr>
                <w:rFonts w:ascii="Arial" w:cs="Arial" w:eastAsia="Arial" w:hAnsi="Arial"/>
                <w:sz w:val="21"/>
                <w:szCs w:val="21"/>
                <w:color w:val="auto"/>
                <w:w w:val="88"/>
                <w:vertAlign w:val="superscript"/>
              </w:rPr>
              <w:t>(2)</w:t>
            </w:r>
          </w:p>
        </w:tc>
        <w:tc>
          <w:tcPr>
            <w:tcW w:w="10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55,250</w:t>
            </w:r>
          </w:p>
        </w:tc>
        <w:tc>
          <w:tcPr>
            <w:tcW w:w="8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77,335</w:t>
            </w:r>
          </w:p>
        </w:tc>
        <w:tc>
          <w:tcPr>
            <w:tcW w:w="8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$4.15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09/24/2023</w:t>
            </w:r>
          </w:p>
        </w:tc>
        <w:tc>
          <w:tcPr>
            <w:tcW w:w="10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1"/>
        </w:trPr>
        <w:tc>
          <w:tcPr>
            <w:tcW w:w="17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3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3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80" w:type="dxa"/>
            <w:vAlign w:val="bottom"/>
            <w:tcBorders>
              <w:bottom w:val="single" w:sz="8" w:color="CCEEFF"/>
            </w:tcBorders>
            <w:gridSpan w:val="2"/>
            <w:vMerge w:val="continue"/>
            <w:shd w:val="clear" w:color="auto" w:fill="CCEEFF"/>
          </w:tcPr>
          <w:p>
            <w:pPr>
              <w:spacing w:after="0"/>
              <w:rPr>
                <w:sz w:val="5"/>
                <w:szCs w:val="5"/>
                <w:color w:val="auto"/>
              </w:rPr>
            </w:pPr>
          </w:p>
        </w:tc>
        <w:tc>
          <w:tcPr>
            <w:tcW w:w="12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spacing w:after="0" w:line="230" w:lineRule="exact"/>
              <w:rPr>
                <w:sz w:val="20"/>
                <w:szCs w:val="20"/>
                <w:color w:val="auto"/>
              </w:rPr>
            </w:pPr>
            <w:r>
              <w:rPr>
                <w:rFonts w:ascii="Arial" w:cs="Arial" w:eastAsia="Arial" w:hAnsi="Arial"/>
                <w:sz w:val="16"/>
                <w:szCs w:val="16"/>
                <w:color w:val="auto"/>
                <w:w w:val="88"/>
              </w:rPr>
              <w:t>09/24/2018</w:t>
            </w:r>
            <w:r>
              <w:rPr>
                <w:rFonts w:ascii="Arial" w:cs="Arial" w:eastAsia="Arial" w:hAnsi="Arial"/>
                <w:sz w:val="21"/>
                <w:szCs w:val="21"/>
                <w:color w:val="auto"/>
                <w:w w:val="88"/>
                <w:vertAlign w:val="superscript"/>
              </w:rPr>
              <w:t>(3)</w:t>
            </w:r>
          </w:p>
        </w:tc>
        <w:tc>
          <w:tcPr>
            <w:tcW w:w="100" w:type="dxa"/>
            <w:vAlign w:val="bottom"/>
          </w:tcPr>
          <w:p>
            <w:pPr>
              <w:spacing w:after="0"/>
              <w:rPr>
                <w:sz w:val="19"/>
                <w:szCs w:val="19"/>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w w:val="89"/>
              </w:rPr>
              <w:t>367,415</w:t>
            </w:r>
          </w:p>
        </w:tc>
        <w:tc>
          <w:tcPr>
            <w:tcW w:w="80" w:type="dxa"/>
            <w:vAlign w:val="bottom"/>
          </w:tcPr>
          <w:p>
            <w:pPr>
              <w:spacing w:after="0"/>
              <w:rPr>
                <w:sz w:val="19"/>
                <w:szCs w:val="19"/>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89"/>
              </w:rPr>
              <w:t>$3.77</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09/24/2028</w:t>
            </w:r>
          </w:p>
        </w:tc>
        <w:tc>
          <w:tcPr>
            <w:tcW w:w="100" w:type="dxa"/>
            <w:vAlign w:val="bottom"/>
          </w:tcPr>
          <w:p>
            <w:pPr>
              <w:spacing w:after="0"/>
              <w:rPr>
                <w:sz w:val="19"/>
                <w:szCs w:val="19"/>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20" w:type="dxa"/>
            <w:vAlign w:val="bottom"/>
            <w:gridSpan w:val="2"/>
          </w:tcPr>
          <w:p>
            <w:pPr>
              <w:ind w:left="20"/>
              <w:spacing w:after="0"/>
              <w:rPr>
                <w:sz w:val="20"/>
                <w:szCs w:val="20"/>
                <w:color w:val="auto"/>
              </w:rPr>
            </w:pPr>
            <w:r>
              <w:rPr>
                <w:rFonts w:ascii="Arial" w:cs="Arial" w:eastAsia="Arial" w:hAnsi="Arial"/>
                <w:sz w:val="16"/>
                <w:szCs w:val="16"/>
                <w:color w:val="auto"/>
              </w:rPr>
              <w:t>Kelly Steckelberg</w:t>
            </w: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09/24/2018</w:t>
            </w:r>
            <w:r>
              <w:rPr>
                <w:rFonts w:ascii="Arial" w:cs="Arial" w:eastAsia="Arial" w:hAnsi="Arial"/>
                <w:sz w:val="21"/>
                <w:szCs w:val="21"/>
                <w:color w:val="auto"/>
                <w:w w:val="88"/>
                <w:vertAlign w:val="superscript"/>
              </w:rPr>
              <w:t>(4)</w:t>
            </w:r>
          </w:p>
        </w:tc>
        <w:tc>
          <w:tcPr>
            <w:tcW w:w="100" w:type="dxa"/>
            <w:vAlign w:val="bottom"/>
          </w:tcPr>
          <w:p>
            <w:pPr>
              <w:spacing w:after="0"/>
              <w:rPr>
                <w:sz w:val="22"/>
                <w:szCs w:val="22"/>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w w:val="89"/>
              </w:rPr>
              <w:t>100,000</w:t>
            </w:r>
          </w:p>
        </w:tc>
        <w:tc>
          <w:tcPr>
            <w:tcW w:w="80" w:type="dxa"/>
            <w:vAlign w:val="bottom"/>
          </w:tcPr>
          <w:p>
            <w:pPr>
              <w:spacing w:after="0"/>
              <w:rPr>
                <w:sz w:val="22"/>
                <w:szCs w:val="22"/>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89"/>
              </w:rPr>
              <w:t>$3.77</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09/24/2028</w:t>
            </w:r>
          </w:p>
        </w:tc>
        <w:tc>
          <w:tcPr>
            <w:tcW w:w="100" w:type="dxa"/>
            <w:vAlign w:val="bottom"/>
          </w:tcPr>
          <w:p>
            <w:pPr>
              <w:spacing w:after="0"/>
              <w:rPr>
                <w:sz w:val="22"/>
                <w:szCs w:val="2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8"/>
              </w:rPr>
              <w:t>01/06/2018</w:t>
            </w:r>
            <w:r>
              <w:rPr>
                <w:rFonts w:ascii="Arial" w:cs="Arial" w:eastAsia="Arial" w:hAnsi="Arial"/>
                <w:sz w:val="21"/>
                <w:szCs w:val="21"/>
                <w:color w:val="auto"/>
                <w:w w:val="88"/>
                <w:vertAlign w:val="superscript"/>
              </w:rPr>
              <w:t>(5)</w:t>
            </w:r>
          </w:p>
        </w:tc>
        <w:tc>
          <w:tcPr>
            <w:tcW w:w="100" w:type="dxa"/>
            <w:vAlign w:val="bottom"/>
          </w:tcPr>
          <w:p>
            <w:pPr>
              <w:spacing w:after="0"/>
              <w:rPr>
                <w:sz w:val="22"/>
                <w:szCs w:val="22"/>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w w:val="89"/>
              </w:rPr>
              <w:t>984,380</w:t>
            </w:r>
          </w:p>
        </w:tc>
        <w:tc>
          <w:tcPr>
            <w:tcW w:w="80" w:type="dxa"/>
            <w:vAlign w:val="bottom"/>
          </w:tcPr>
          <w:p>
            <w:pPr>
              <w:spacing w:after="0"/>
              <w:rPr>
                <w:sz w:val="22"/>
                <w:szCs w:val="22"/>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89"/>
              </w:rPr>
              <w:t>$1.31</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01/06/2028</w:t>
            </w:r>
          </w:p>
        </w:tc>
        <w:tc>
          <w:tcPr>
            <w:tcW w:w="100" w:type="dxa"/>
            <w:vAlign w:val="bottom"/>
          </w:tcPr>
          <w:p>
            <w:pPr>
              <w:spacing w:after="0"/>
              <w:rPr>
                <w:sz w:val="22"/>
                <w:szCs w:val="2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Ryan Azus</w:t>
            </w:r>
          </w:p>
        </w:tc>
        <w:tc>
          <w:tcPr>
            <w:tcW w:w="14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2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4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350,000</w:t>
            </w:r>
            <w:r>
              <w:rPr>
                <w:rFonts w:ascii="Arial" w:cs="Arial" w:eastAsia="Arial" w:hAnsi="Arial"/>
                <w:sz w:val="21"/>
                <w:szCs w:val="21"/>
                <w:color w:val="auto"/>
                <w:w w:val="88"/>
                <w:vertAlign w:val="superscript"/>
              </w:rPr>
              <w:t>(6)</w:t>
            </w:r>
          </w:p>
        </w:tc>
        <w:tc>
          <w:tcPr>
            <w:tcW w:w="1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$26,705,000</w:t>
            </w:r>
          </w:p>
        </w:tc>
        <w:tc>
          <w:tcPr>
            <w:tcW w:w="0" w:type="dxa"/>
            <w:vAlign w:val="bottom"/>
          </w:tcPr>
          <w:p>
            <w:pPr>
              <w:spacing w:after="0"/>
              <w:rPr>
                <w:sz w:val="1"/>
                <w:szCs w:val="1"/>
                <w:color w:val="auto"/>
              </w:rPr>
            </w:pPr>
          </w:p>
        </w:tc>
      </w:tr>
      <w:tr>
        <w:trPr>
          <w:trHeight w:val="101"/>
        </w:trPr>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gridSpan w:val="2"/>
            <w:vMerge w:val="continue"/>
            <w:shd w:val="clear" w:color="auto" w:fill="CCEEFF"/>
          </w:tcPr>
          <w:p>
            <w:pPr>
              <w:spacing w:after="0"/>
              <w:rPr>
                <w:sz w:val="8"/>
                <w:szCs w:val="8"/>
                <w:color w:val="auto"/>
              </w:rPr>
            </w:pPr>
          </w:p>
        </w:tc>
        <w:tc>
          <w:tcPr>
            <w:tcW w:w="1440" w:type="dxa"/>
            <w:vAlign w:val="bottom"/>
            <w:gridSpan w:val="2"/>
            <w:vMerge w:val="continue"/>
            <w:shd w:val="clear" w:color="auto" w:fill="CCEEFF"/>
          </w:tcPr>
          <w:p>
            <w:pPr>
              <w:spacing w:after="0"/>
              <w:rPr>
                <w:sz w:val="8"/>
                <w:szCs w:val="8"/>
                <w:color w:val="auto"/>
              </w:rPr>
            </w:pPr>
          </w:p>
        </w:tc>
        <w:tc>
          <w:tcPr>
            <w:tcW w:w="1440" w:type="dxa"/>
            <w:vAlign w:val="bottom"/>
            <w:gridSpan w:val="2"/>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400" w:type="dxa"/>
            <w:vAlign w:val="bottom"/>
            <w:gridSpan w:val="2"/>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w:t>
      </w:r>
    </w:p>
    <w:p>
      <w:pPr>
        <w:spacing w:after="0" w:line="23" w:lineRule="exact"/>
        <w:rPr>
          <w:sz w:val="20"/>
          <w:szCs w:val="20"/>
          <w:color w:val="auto"/>
        </w:rPr>
      </w:pPr>
    </w:p>
    <w:p>
      <w:pPr>
        <w:jc w:val="both"/>
        <w:ind w:left="340" w:hanging="332"/>
        <w:spacing w:after="0" w:line="250" w:lineRule="auto"/>
        <w:tabs>
          <w:tab w:leader="none" w:pos="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the options were granted with a per share exercise price equal to the fair market value of one share of our common stock on the date of grant, as determined in good faith by our board of directors or compensation committee, except that Mr. Yuan’s stock option covering 132,585 shares was granted with an exercise price per share equal to 110% of the fair market value of one share of our common stock on the date of grant in order to comply with tax rules governing options intended to be “incentive stock options.”</w:t>
      </w:r>
    </w:p>
    <w:p>
      <w:pPr>
        <w:spacing w:after="0" w:line="1" w:lineRule="exact"/>
        <w:rPr>
          <w:rFonts w:ascii="Arial" w:cs="Arial" w:eastAsia="Arial" w:hAnsi="Arial"/>
          <w:sz w:val="18"/>
          <w:szCs w:val="18"/>
          <w:color w:val="auto"/>
        </w:rPr>
      </w:pPr>
    </w:p>
    <w:p>
      <w:pPr>
        <w:jc w:val="both"/>
        <w:ind w:left="340" w:hanging="332"/>
        <w:spacing w:after="0" w:line="253" w:lineRule="auto"/>
        <w:tabs>
          <w:tab w:leader="none" w:pos="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subject to the option vest in monthly installments, subject to Mr. Yuan’s continuous service with us as of each such vesting date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0" w:name="page31"/>
    <w:bookmarkEnd w:id="30"/>
    <w:p>
      <w:pPr>
        <w:jc w:val="both"/>
        <w:ind w:left="340" w:hanging="332"/>
        <w:spacing w:after="0" w:line="252" w:lineRule="auto"/>
        <w:tabs>
          <w:tab w:leader="none" w:pos="3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shares subject to the option vest in monthly installments, subject to Mr. Yuan’s continuous service with us as of each such vesting date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5" w:lineRule="exact"/>
        <w:rPr>
          <w:rFonts w:ascii="Arial" w:cs="Arial" w:eastAsia="Arial" w:hAnsi="Arial"/>
          <w:sz w:val="18"/>
          <w:szCs w:val="18"/>
          <w:color w:val="auto"/>
        </w:rPr>
      </w:pPr>
    </w:p>
    <w:p>
      <w:pPr>
        <w:ind w:left="340" w:right="20" w:hanging="332"/>
        <w:spacing w:after="0" w:line="250" w:lineRule="auto"/>
        <w:tabs>
          <w:tab w:leader="none" w:pos="3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September 24, 2018, subject to Ms. Steckelberg’s continuous service with us as of each such vesting date.</w:t>
      </w:r>
    </w:p>
    <w:p>
      <w:pPr>
        <w:ind w:left="340" w:hanging="332"/>
        <w:spacing w:after="0" w:line="265" w:lineRule="auto"/>
        <w:tabs>
          <w:tab w:leader="none" w:pos="334"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One-fourth of the shares subject to the option vested on January 6, 2019 and the remaining shares subject to the option vest in 36 equal monthly installments measured from January 6, 2019, subject to Ms. Steckelberg’s continuous service with us as of each such vesting date.</w:t>
      </w:r>
    </w:p>
    <w:p>
      <w:pPr>
        <w:ind w:left="340" w:hanging="332"/>
        <w:spacing w:after="0" w:line="290" w:lineRule="auto"/>
        <w:tabs>
          <w:tab w:leader="none" w:pos="334"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One-fourth of the shares subject to the award will vest on September 10, 2020 and the remaining shares subject to the option vest in 12 equal quarterly installments measured from September 10, 2020, subject to Mr. Azus’ continuous service with us as of each such vesting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and Benefits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the fiscal year ended January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Additionally, we voluntarily adopted an incentive compensation recoupment, or “clawback”, policy that became effective in connection with our initial public offering in 2019, ahead of final guidance by the SEC regarding the claw back rules that will be required under the Dodd-Frank Wall Street Reform and Consumer Protection Act. Under our clawback policy, if an officer’s misconduct contributed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 during the 12 month period preceding the restatement obligation as noted above. Our board of directors has the authority and discretion to</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21" w:right="339" w:bottom="1440" w:gutter="0" w:footer="0" w:header="0"/>
        </w:sectPr>
      </w:pPr>
    </w:p>
    <w:bookmarkStart w:id="31" w:name="page32"/>
    <w:bookmarkEnd w:id="31"/>
    <w:p>
      <w:pPr>
        <w:jc w:val="both"/>
        <w:spacing w:after="0" w:line="243" w:lineRule="auto"/>
        <w:rPr>
          <w:sz w:val="20"/>
          <w:szCs w:val="20"/>
          <w:color w:val="auto"/>
        </w:rPr>
      </w:pPr>
      <w:r>
        <w:rPr>
          <w:rFonts w:ascii="Arial" w:cs="Arial" w:eastAsia="Arial" w:hAnsi="Arial"/>
          <w:sz w:val="18"/>
          <w:szCs w:val="18"/>
          <w:color w:val="auto"/>
        </w:rPr>
        <w:t>determine whether an event covered by our clawback policy has occurred and, depending on the facts and circumstances, may (but need not) require full or partial forfeiture and/or prepayment of the incentive compensation described above. Additionally, we intend to comply with the Dodd-Frank Wall Street Reform and Consumer Protection Act and will modify our clawback policy to the extent required by law as soon as, and to the extent that, the requirements of such clawbacks are finalized by the SEC.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currently grant equity awards under our 2019 Plan, which was approved by our board of directors and stockholders prior to our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offering and became effective in connection with our initial public offering in April 2019. Our 2019 Plan is a successor to and continuation of our 2011 Plan, described below, and provides for the grant of ISOs to employees, including employees of any parent or subsidiary, and for the grant of NSOs, stock appreciation rights, restricted stock awards, restricted stock unit awards, performance awards and other forms of awards to employees, directors and consultants, including employees and consultants of our affiliates.</w:t>
      </w:r>
    </w:p>
    <w:p>
      <w:pPr>
        <w:spacing w:after="0" w:line="20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6"/>
          <w:szCs w:val="16"/>
          <w:color w:val="auto"/>
        </w:rPr>
        <w:t>Our board of directors, or a duly authorized committee of our board of directors, administers our 2019 Plan and is referred to as the “plan administrator” herein. Under our 2019 Plan, our board of directors has the authority to determine award recipients, grant dates, the numbers and types of stock awards to be granted, the applicable fair market value, and the provisions of each stock award, including the period of exercisability and the vesting</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schedule applicable to a stock award. The board of directors also generally has the authority to effect, with the consent of any materially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are granted under stock option agreements adopted by the plan administrator. The plan administrator determines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for stock options, within the terms and conditions of the 2019 Plan, provided that the exercise price of a stock option generally cannot be less than 100% of the fair market value of our Class A common stock on the date of grant. Options granted under the 2019 Plan vest at the rate determined by the plan administrator and can have a term up to a maximum of 10 years. Unless the terms of an optionholder’s stock option agreement provide otherwise, an optionholder’s service relationship with us or any of our affiliates ceases for any reason other than disability, death, or cause, the optionholder may generally exercise any vested options for a period of three months following the cessation of service. If an optionholder’s service relationship with us or any of our affiliates ceases due to death, or an optionholder dies within a certain period following cessation of service, the optionholder or a beneficiary may generally exercise any vested options for a period of 18 months (in the case of death) or 12 months (in the case of disability) following the cessation of service. In the event of a termination for cause, options generally terminate upon the termination date. In no event may an option be exercised beyond the expiration of its term.</w:t>
      </w:r>
    </w:p>
    <w:p>
      <w:pPr>
        <w:spacing w:after="0" w:line="2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under restricted stock unit award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201"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2019 Plan in the event of a corporate transaction (as defined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unless otherwise provided in a participant’s stock award agreement or other written agreement with us or one of our affiliates or unless otherwise expressly provided by the plan administrator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21" w:right="339" w:bottom="1440" w:gutter="0" w:footer="0" w:header="0"/>
        </w:sectPr>
      </w:pPr>
    </w:p>
    <w:bookmarkStart w:id="32" w:name="page33"/>
    <w:bookmarkEnd w:id="32"/>
    <w:p>
      <w:pPr>
        <w:jc w:val="both"/>
        <w:ind w:firstLine="648"/>
        <w:spacing w:after="0" w:line="252" w:lineRule="auto"/>
        <w:rPr>
          <w:sz w:val="20"/>
          <w:szCs w:val="20"/>
          <w:color w:val="auto"/>
        </w:rPr>
      </w:pPr>
      <w:r>
        <w:rPr>
          <w:rFonts w:ascii="Arial" w:cs="Arial" w:eastAsia="Arial" w:hAnsi="Arial"/>
          <w:sz w:val="17"/>
          <w:szCs w:val="17"/>
          <w:color w:val="auto"/>
        </w:rPr>
        <w:t>In the event of a corporate transaction, any stock awards outstanding under the 2019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provided in the stock award, if applicable. In addition, any escrow, holdback, earn out or similar provisions in the definitive agreement for the corporate transaction may apply to such payment to the same extent and in the same manner as such provisions apply to the holders of Class A common stock.</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Awards granted under the 2019 Plan may be subject to acceleration of vesting and exercisability upon or after a change in control (as defined in the 2019 Plan) as may be provided in the applicable stock award agreement or in any other written agreement between us or any affiliate and the participant, but in the absence of such provision, no such acceleration will automatically occur.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Fourth Amended and Restated 2011 Global Share Plan</w:t>
      </w:r>
    </w:p>
    <w:p>
      <w:pPr>
        <w:spacing w:after="0" w:line="23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2011 Plan was approved by our board of directors and stockholders and originally became effective in 2011. We granted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restricted shares under our 2011 Plan prior to our initial public offering and upon the effectiveness of our 2019 Plan, we can no longer grant awards under our 2011 Plan.</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Our board of directors administers and interprets the provisions of the 2011 Plan. The board of directors may delegate its authority to a committee of the board and has delegated authority to the compensation committee of the board, referred to as the “plan administrator.” Under our 2011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2011 Plan and awards granted thereunder, prescribe, amend and rescind rules and regulations for the administration of the 2011</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Plan, and accelerate the vesting of awards. In addition, the plan administrator also has the authority, without stockholder consent, to institute and determine the terms of an exchange program under which (i) outstanding awards are surrendered or 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21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are granted under share option agreements and option rules adopted by the plan administrator.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the exercise price for stock options, within the terms and conditions of the 2011 Plan, provided that the exercise price of a stock option generally will not be less than 100% of the fair market value of our common stock on the date of grant (or 110% of the fair market value for 10% stockholders as required by the Code). Options granted under the 2011 Plan vest at the rate determined by the plan administrator and can have a term up to a maximum of 10 years (or five years for 10% stockholders as required by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21" w:right="339" w:bottom="1440" w:gutter="0" w:footer="0" w:header="0"/>
        </w:sectPr>
      </w:pPr>
    </w:p>
    <w:bookmarkStart w:id="33" w:name="page34"/>
    <w:bookmarkEnd w:id="33"/>
    <w:p>
      <w:pPr>
        <w:jc w:val="both"/>
        <w:spacing w:after="0" w:line="254" w:lineRule="auto"/>
        <w:rPr>
          <w:sz w:val="20"/>
          <w:szCs w:val="20"/>
          <w:color w:val="auto"/>
        </w:rPr>
      </w:pPr>
      <w:r>
        <w:rPr>
          <w:rFonts w:ascii="Arial" w:cs="Arial" w:eastAsia="Arial" w:hAnsi="Arial"/>
          <w:sz w:val="17"/>
          <w:szCs w:val="17"/>
          <w:color w:val="auto"/>
        </w:rPr>
        <w:t>the Code). If an optionholder’s service relationship with us or any of our affiliates ceases for any reason other than disability or death, the optionholder may generally exercise any vested options for a period of up to 30 days following the cessation of service, or such other period of time set forth in the share option agreement. If an optionholder’s service relationship with us or any of our affiliates ceases due to death, the executors or administrators of the optionholder’s estate or any person who has acquired the option from the optionholder by beneficiary designation, bequest or inheritance may generally exercise any vested options for a period of up to six months following the date of death, or such other period of time set forth in the share option agreement. If an optionholder’s service relationship with us or any of our affiliates ceases due to disability, the optionholder may generally exercise any vested options for a period of up to six months following the cessation of service, or such other period of time set forth in the share option agreement. In no event may an option be exercised beyond the expiration of its term.</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Restricted shares may be awarded in consideration for cash or cash equivalents or another form of consideration, including past</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B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holder’s termination of service with us for any reason, at the lesser of the price paid for such shares or the then-current fair market value.</w:t>
      </w:r>
    </w:p>
    <w:p>
      <w:pPr>
        <w:spacing w:after="0" w:line="20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merger or a change in control, each outstanding award will be treated as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which may include, without limitation, a determination that:</w:t>
      </w:r>
    </w:p>
    <w:p>
      <w:pPr>
        <w:spacing w:after="0" w:line="197" w:lineRule="exact"/>
        <w:rPr>
          <w:sz w:val="20"/>
          <w:szCs w:val="20"/>
          <w:color w:val="auto"/>
        </w:rPr>
      </w:pPr>
    </w:p>
    <w:p>
      <w:pPr>
        <w:ind w:left="1300" w:hanging="527"/>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awards will be assumed or substituted by the acquiring or succeeding corporation with appropriate adjustments;</w:t>
      </w:r>
    </w:p>
    <w:p>
      <w:pPr>
        <w:spacing w:after="0" w:line="238" w:lineRule="exact"/>
        <w:rPr>
          <w:rFonts w:ascii="Arial" w:cs="Arial" w:eastAsia="Arial" w:hAnsi="Arial"/>
          <w:sz w:val="18"/>
          <w:szCs w:val="18"/>
          <w:color w:val="auto"/>
        </w:rPr>
      </w:pPr>
    </w:p>
    <w:p>
      <w:pPr>
        <w:ind w:left="660" w:firstLine="113"/>
        <w:spacing w:after="0" w:line="261" w:lineRule="auto"/>
        <w:tabs>
          <w:tab w:leader="none" w:pos="12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written notice to the participant, the participant’s awards will terminate upon or immediately prior to the consummation of such merger or change in control;</w:t>
      </w:r>
    </w:p>
    <w:p>
      <w:pPr>
        <w:spacing w:after="0" w:line="197" w:lineRule="exact"/>
        <w:rPr>
          <w:rFonts w:ascii="Arial" w:cs="Arial" w:eastAsia="Arial" w:hAnsi="Arial"/>
          <w:sz w:val="18"/>
          <w:szCs w:val="18"/>
          <w:color w:val="auto"/>
        </w:rPr>
      </w:pPr>
    </w:p>
    <w:p>
      <w:pPr>
        <w:jc w:val="both"/>
        <w:ind w:left="660" w:firstLine="113"/>
        <w:spacing w:after="0" w:line="248" w:lineRule="auto"/>
        <w:tabs>
          <w:tab w:leader="none" w:pos="12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208" w:lineRule="exact"/>
        <w:rPr>
          <w:rFonts w:ascii="Arial" w:cs="Arial" w:eastAsia="Arial" w:hAnsi="Arial"/>
          <w:sz w:val="18"/>
          <w:szCs w:val="18"/>
          <w:color w:val="auto"/>
        </w:rPr>
      </w:pPr>
    </w:p>
    <w:p>
      <w:pPr>
        <w:jc w:val="both"/>
        <w:ind w:left="660" w:firstLine="113"/>
        <w:spacing w:after="0" w:line="248" w:lineRule="auto"/>
        <w:tabs>
          <w:tab w:leader="none" w:pos="129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208" w:lineRule="exact"/>
        <w:rPr>
          <w:rFonts w:ascii="Arial" w:cs="Arial" w:eastAsia="Arial" w:hAnsi="Arial"/>
          <w:sz w:val="18"/>
          <w:szCs w:val="18"/>
          <w:color w:val="auto"/>
        </w:rPr>
      </w:pPr>
    </w:p>
    <w:p>
      <w:pPr>
        <w:ind w:left="1300" w:hanging="527"/>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administrator is not obligated to treat all awards similarly.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the successor corporation in a merger or change in control does not assume or substitute an award, the award will fully vest and become exercisable and with respect to awards with performance-based vesting, all performance goals or other vesting criteria will be deemed achieved at 100% of target levels and all other terms and conditions met. If the award is an option, it will be exercisable for a period of time determined by the plan administrator and will terminate upon the expiration of such period.</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21"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board of directors adopted, and our stockholders approved, our ESPP and the ESPP became effective in connection with our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public offering in April 2019. The ESPP includes two components. One component is designed to allow eligible U.S. employees to purchase our common stock in a manner that may qualify for favorable tax treatment under Section 423 of the Code. In addition, purchase rights may be granted under a component that does not qualify for such favorable tax treatment because of deviations necessary to permit participation by eligible employees who are foreign nationals or employed outside of the U.S. while complying with applicable foreign laws. Our board of directors administers the ESPP and may delegate its authority to administer the ESPP to our compensation committee. The ESPP 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2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Payroll Deductions</w:t>
      </w:r>
      <w:r>
        <w:rPr>
          <w:rFonts w:ascii="Arial" w:cs="Arial" w:eastAsia="Arial" w:hAnsi="Arial"/>
          <w:sz w:val="16"/>
          <w:szCs w:val="16"/>
          <w:color w:val="auto"/>
        </w:rPr>
        <w:t>. Generally, all regular employees, including executive officers, employed by us or by any of our designated affiliates, may</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ESPP and may contribute, normally through payroll deductions, up to 20%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any then-outstanding rights to purchase our stock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before such corporate transaction, and such purchase rights will terminate immediately after such purchase.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21" w:right="339" w:bottom="1440" w:gutter="0" w:footer="0" w:header="0"/>
        </w:sectPr>
      </w:pPr>
    </w:p>
    <w:bookmarkStart w:id="35" w:name="page36"/>
    <w:bookmarkEnd w:id="3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equity compensation plan information as of January 31, 2020. Information is included for equity compensation plans approved by our stockholders. We do not have any equity compensation plans not approved by our stockholders.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(a)</w:t>
            </w:r>
          </w:p>
        </w:tc>
        <w:tc>
          <w:tcPr>
            <w:tcW w:w="120" w:type="dxa"/>
            <w:vAlign w:val="bottom"/>
          </w:tcPr>
          <w:p>
            <w:pPr>
              <w:spacing w:after="0"/>
              <w:rPr>
                <w:sz w:val="18"/>
                <w:szCs w:val="18"/>
                <w:color w:val="auto"/>
              </w:rPr>
            </w:pPr>
          </w:p>
        </w:tc>
        <w:tc>
          <w:tcPr>
            <w:tcW w:w="20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7"/>
              </w:rPr>
              <w:t>(b)</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16"/>
        </w:trPr>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21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Remaining Available for</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Number of Securities to be</w:t>
            </w:r>
          </w:p>
        </w:tc>
        <w:tc>
          <w:tcPr>
            <w:tcW w:w="12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2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9"/>
              </w:rPr>
              <w:t>Weighted Average Exercise</w:t>
            </w: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Future Issuance Under</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2"/>
            <w:vMerge w:val="restart"/>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Issued Upon Exercise of</w:t>
            </w:r>
          </w:p>
        </w:tc>
        <w:tc>
          <w:tcPr>
            <w:tcW w:w="12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21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0"/>
              </w:rPr>
              <w:t>Equity Compensation Plans</w:t>
            </w: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80" w:type="dxa"/>
            <w:vAlign w:val="bottom"/>
            <w:gridSpan w:val="2"/>
            <w:vMerge w:val="continue"/>
          </w:tcPr>
          <w:p>
            <w:pPr>
              <w:spacing w:after="0"/>
              <w:rPr>
                <w:sz w:val="3"/>
                <w:szCs w:val="3"/>
                <w:color w:val="auto"/>
              </w:rPr>
            </w:pPr>
          </w:p>
        </w:tc>
        <w:tc>
          <w:tcPr>
            <w:tcW w:w="22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Price of Outstanding Options,</w:t>
            </w:r>
          </w:p>
        </w:tc>
        <w:tc>
          <w:tcPr>
            <w:tcW w:w="2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21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Class of Common Stock</w:t>
            </w:r>
          </w:p>
        </w:tc>
        <w:tc>
          <w:tcPr>
            <w:tcW w:w="21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1"/>
              </w:rPr>
              <w:t>Outstanding Options,</w:t>
            </w:r>
          </w:p>
        </w:tc>
        <w:tc>
          <w:tcPr>
            <w:tcW w:w="2200" w:type="dxa"/>
            <w:vAlign w:val="bottom"/>
            <w:gridSpan w:val="3"/>
            <w:vMerge w:val="continue"/>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(Excluding Securities</w:t>
            </w:r>
          </w:p>
        </w:tc>
        <w:tc>
          <w:tcPr>
            <w:tcW w:w="0" w:type="dxa"/>
            <w:vAlign w:val="bottom"/>
          </w:tcPr>
          <w:p>
            <w:pPr>
              <w:spacing w:after="0"/>
              <w:rPr>
                <w:sz w:val="1"/>
                <w:szCs w:val="1"/>
                <w:color w:val="auto"/>
              </w:rPr>
            </w:pPr>
          </w:p>
        </w:tc>
      </w:tr>
      <w:tr>
        <w:trPr>
          <w:trHeight w:val="277"/>
        </w:trPr>
        <w:tc>
          <w:tcPr>
            <w:tcW w:w="2580" w:type="dxa"/>
            <w:vAlign w:val="bottom"/>
            <w:gridSpan w:val="2"/>
            <w:vMerge w:val="continue"/>
          </w:tcPr>
          <w:p>
            <w:pPr>
              <w:spacing w:after="0"/>
              <w:rPr>
                <w:sz w:val="24"/>
                <w:szCs w:val="24"/>
                <w:color w:val="auto"/>
              </w:rPr>
            </w:pPr>
          </w:p>
        </w:tc>
        <w:tc>
          <w:tcPr>
            <w:tcW w:w="2180" w:type="dxa"/>
            <w:vAlign w:val="bottom"/>
            <w:gridSpan w:val="2"/>
            <w:vMerge w:val="continue"/>
          </w:tcPr>
          <w:p>
            <w:pPr>
              <w:spacing w:after="0"/>
              <w:rPr>
                <w:sz w:val="24"/>
                <w:szCs w:val="24"/>
                <w:color w:val="auto"/>
              </w:rPr>
            </w:pPr>
          </w:p>
        </w:tc>
        <w:tc>
          <w:tcPr>
            <w:tcW w:w="2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Warrants and Rights</w:t>
            </w:r>
          </w:p>
        </w:tc>
        <w:tc>
          <w:tcPr>
            <w:tcW w:w="120" w:type="dxa"/>
            <w:vAlign w:val="bottom"/>
          </w:tcPr>
          <w:p>
            <w:pPr>
              <w:spacing w:after="0"/>
              <w:rPr>
                <w:sz w:val="24"/>
                <w:szCs w:val="24"/>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Warrants and Rights</w:t>
            </w:r>
            <w:r>
              <w:rPr>
                <w:rFonts w:ascii="Arial" w:cs="Arial" w:eastAsia="Arial" w:hAnsi="Arial"/>
                <w:sz w:val="21"/>
                <w:szCs w:val="21"/>
                <w:b w:val="1"/>
                <w:bCs w:val="1"/>
                <w:color w:val="auto"/>
                <w:w w:val="92"/>
                <w:vertAlign w:val="superscript"/>
              </w:rPr>
              <w:t>(1)</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2"/>
              </w:rPr>
              <w:t>Reflected in Column (a))</w:t>
            </w:r>
          </w:p>
        </w:tc>
        <w:tc>
          <w:tcPr>
            <w:tcW w:w="0" w:type="dxa"/>
            <w:vAlign w:val="bottom"/>
          </w:tcPr>
          <w:p>
            <w:pPr>
              <w:spacing w:after="0"/>
              <w:rPr>
                <w:sz w:val="1"/>
                <w:szCs w:val="1"/>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58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Equity compensation plans approved</w:t>
            </w:r>
          </w:p>
        </w:tc>
        <w:tc>
          <w:tcPr>
            <w:tcW w:w="2180" w:type="dxa"/>
            <w:vAlign w:val="bottom"/>
            <w:gridSpan w:val="2"/>
            <w:shd w:val="clear" w:color="auto" w:fill="CCEEFF"/>
          </w:tcPr>
          <w:p>
            <w:pPr>
              <w:jc w:val="center"/>
              <w:ind w:right="80"/>
              <w:spacing w:after="0" w:line="169" w:lineRule="exact"/>
              <w:rPr>
                <w:sz w:val="20"/>
                <w:szCs w:val="20"/>
                <w:color w:val="auto"/>
              </w:rPr>
            </w:pPr>
            <w:r>
              <w:rPr>
                <w:rFonts w:ascii="Arial" w:cs="Arial" w:eastAsia="Arial" w:hAnsi="Arial"/>
                <w:sz w:val="15"/>
                <w:szCs w:val="15"/>
                <w:color w:val="auto"/>
                <w:w w:val="92"/>
              </w:rPr>
              <w:t>Class A</w:t>
            </w:r>
            <w:r>
              <w:rPr>
                <w:rFonts w:ascii="Arial" w:cs="Arial" w:eastAsia="Arial" w:hAnsi="Arial"/>
                <w:sz w:val="19"/>
                <w:szCs w:val="19"/>
                <w:color w:val="auto"/>
                <w:w w:val="92"/>
                <w:vertAlign w:val="superscript"/>
              </w:rPr>
              <w:t>(2)</w:t>
            </w:r>
          </w:p>
        </w:tc>
        <w:tc>
          <w:tcPr>
            <w:tcW w:w="2100" w:type="dxa"/>
            <w:vAlign w:val="bottom"/>
            <w:shd w:val="clear" w:color="auto" w:fill="CCEEFF"/>
          </w:tcPr>
          <w:p>
            <w:pPr>
              <w:jc w:val="right"/>
              <w:ind w:right="79"/>
              <w:spacing w:after="0" w:line="169" w:lineRule="exact"/>
              <w:rPr>
                <w:sz w:val="20"/>
                <w:szCs w:val="20"/>
                <w:color w:val="auto"/>
              </w:rPr>
            </w:pPr>
            <w:r>
              <w:rPr>
                <w:rFonts w:ascii="Arial" w:cs="Arial" w:eastAsia="Arial" w:hAnsi="Arial"/>
                <w:sz w:val="16"/>
                <w:szCs w:val="16"/>
                <w:color w:val="auto"/>
              </w:rPr>
              <w:t>2,372,852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ind w:right="79"/>
              <w:spacing w:after="0" w:line="169" w:lineRule="exact"/>
              <w:rPr>
                <w:sz w:val="20"/>
                <w:szCs w:val="20"/>
                <w:color w:val="auto"/>
              </w:rPr>
            </w:pPr>
            <w:r>
              <w:rPr>
                <w:rFonts w:ascii="Arial" w:cs="Arial" w:eastAsia="Arial" w:hAnsi="Arial"/>
                <w:sz w:val="16"/>
                <w:szCs w:val="16"/>
                <w:color w:val="auto"/>
              </w:rPr>
              <w:t>68.45</w:t>
            </w:r>
          </w:p>
        </w:tc>
        <w:tc>
          <w:tcPr>
            <w:tcW w:w="80" w:type="dxa"/>
            <w:vAlign w:val="bottom"/>
            <w:shd w:val="clear" w:color="auto" w:fill="CCEEFF"/>
          </w:tcPr>
          <w:p>
            <w:pPr>
              <w:spacing w:after="0"/>
              <w:rPr>
                <w:sz w:val="14"/>
                <w:szCs w:val="14"/>
                <w:color w:val="auto"/>
              </w:rPr>
            </w:pPr>
          </w:p>
        </w:tc>
        <w:tc>
          <w:tcPr>
            <w:tcW w:w="2100" w:type="dxa"/>
            <w:vAlign w:val="bottom"/>
            <w:shd w:val="clear" w:color="auto" w:fill="CCEEFF"/>
          </w:tcPr>
          <w:p>
            <w:pPr>
              <w:jc w:val="right"/>
              <w:ind w:right="59"/>
              <w:spacing w:after="0" w:line="169" w:lineRule="exact"/>
              <w:rPr>
                <w:sz w:val="20"/>
                <w:szCs w:val="20"/>
                <w:color w:val="auto"/>
              </w:rPr>
            </w:pPr>
            <w:r>
              <w:rPr>
                <w:rFonts w:ascii="Arial" w:cs="Arial" w:eastAsia="Arial" w:hAnsi="Arial"/>
                <w:sz w:val="16"/>
                <w:szCs w:val="16"/>
                <w:color w:val="auto"/>
              </w:rPr>
              <w:t>42,114,319</w:t>
            </w:r>
          </w:p>
        </w:tc>
        <w:tc>
          <w:tcPr>
            <w:tcW w:w="0" w:type="dxa"/>
            <w:vAlign w:val="bottom"/>
          </w:tcPr>
          <w:p>
            <w:pPr>
              <w:spacing w:after="0"/>
              <w:rPr>
                <w:sz w:val="1"/>
                <w:szCs w:val="1"/>
                <w:color w:val="auto"/>
              </w:rPr>
            </w:pPr>
          </w:p>
        </w:tc>
      </w:tr>
      <w:tr>
        <w:trPr>
          <w:trHeight w:val="206"/>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by security holders</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2"/>
          </w:tcPr>
          <w:p>
            <w:pPr>
              <w:jc w:val="center"/>
              <w:ind w:right="80"/>
              <w:spacing w:after="0"/>
              <w:rPr>
                <w:sz w:val="20"/>
                <w:szCs w:val="20"/>
                <w:color w:val="auto"/>
              </w:rPr>
            </w:pPr>
            <w:r>
              <w:rPr>
                <w:rFonts w:ascii="Arial" w:cs="Arial" w:eastAsia="Arial" w:hAnsi="Arial"/>
                <w:sz w:val="16"/>
                <w:szCs w:val="16"/>
                <w:color w:val="auto"/>
                <w:w w:val="85"/>
              </w:rPr>
              <w:t>Class B</w:t>
            </w:r>
            <w:r>
              <w:rPr>
                <w:rFonts w:ascii="Arial" w:cs="Arial" w:eastAsia="Arial" w:hAnsi="Arial"/>
                <w:sz w:val="21"/>
                <w:szCs w:val="21"/>
                <w:color w:val="auto"/>
                <w:w w:val="85"/>
                <w:vertAlign w:val="superscript"/>
              </w:rPr>
              <w:t>(3)</w:t>
            </w:r>
          </w:p>
        </w:tc>
        <w:tc>
          <w:tcPr>
            <w:tcW w:w="2100" w:type="dxa"/>
            <w:vAlign w:val="bottom"/>
          </w:tcPr>
          <w:p>
            <w:pPr>
              <w:jc w:val="right"/>
              <w:ind w:right="79"/>
              <w:spacing w:after="0"/>
              <w:rPr>
                <w:sz w:val="20"/>
                <w:szCs w:val="20"/>
                <w:color w:val="auto"/>
              </w:rPr>
            </w:pPr>
            <w:r>
              <w:rPr>
                <w:rFonts w:ascii="Arial" w:cs="Arial" w:eastAsia="Arial" w:hAnsi="Arial"/>
                <w:sz w:val="16"/>
                <w:szCs w:val="16"/>
                <w:color w:val="auto"/>
              </w:rPr>
              <w:t>16,433,359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79"/>
              <w:spacing w:after="0"/>
              <w:rPr>
                <w:sz w:val="20"/>
                <w:szCs w:val="20"/>
                <w:color w:val="auto"/>
              </w:rPr>
            </w:pPr>
            <w:r>
              <w:rPr>
                <w:rFonts w:ascii="Arial" w:cs="Arial" w:eastAsia="Arial" w:hAnsi="Arial"/>
                <w:sz w:val="16"/>
                <w:szCs w:val="16"/>
                <w:color w:val="auto"/>
              </w:rPr>
              <w:t>4.20</w:t>
            </w:r>
          </w:p>
        </w:tc>
        <w:tc>
          <w:tcPr>
            <w:tcW w:w="80" w:type="dxa"/>
            <w:vAlign w:val="bottom"/>
          </w:tcPr>
          <w:p>
            <w:pPr>
              <w:spacing w:after="0"/>
              <w:rPr>
                <w:sz w:val="24"/>
                <w:szCs w:val="24"/>
                <w:color w:val="auto"/>
              </w:rPr>
            </w:pPr>
          </w:p>
        </w:tc>
        <w:tc>
          <w:tcPr>
            <w:tcW w:w="2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
        </w:trPr>
        <w:tc>
          <w:tcPr>
            <w:tcW w:w="2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58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Equity compensation plans not</w:t>
            </w:r>
          </w:p>
        </w:tc>
        <w:tc>
          <w:tcPr>
            <w:tcW w:w="2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ind w:right="59"/>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approved by security holders</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1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Class A and Class B</w:t>
            </w:r>
          </w:p>
        </w:tc>
        <w:tc>
          <w:tcPr>
            <w:tcW w:w="2100" w:type="dxa"/>
            <w:vAlign w:val="bottom"/>
            <w:vMerge w:val="restart"/>
          </w:tcPr>
          <w:p>
            <w:pPr>
              <w:jc w:val="right"/>
              <w:ind w:right="79"/>
              <w:spacing w:after="0"/>
              <w:rPr>
                <w:sz w:val="20"/>
                <w:szCs w:val="20"/>
                <w:color w:val="auto"/>
              </w:rPr>
            </w:pPr>
            <w:r>
              <w:rPr>
                <w:rFonts w:ascii="Arial" w:cs="Arial" w:eastAsia="Arial" w:hAnsi="Arial"/>
                <w:sz w:val="16"/>
                <w:szCs w:val="16"/>
                <w:color w:val="auto"/>
              </w:rPr>
              <w:t>18,806,211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________________</w:t>
      </w:r>
    </w:p>
    <w:p>
      <w:pPr>
        <w:ind w:left="340" w:hanging="332"/>
        <w:spacing w:after="0" w:line="249" w:lineRule="auto"/>
        <w:tabs>
          <w:tab w:leader="none" w:pos="3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weighted average exercise price is calculated based solely on outstanding stock options. It does not take into account the shares of our common stock underlying restricted stock units, which have no exercise price.</w:t>
      </w:r>
    </w:p>
    <w:p>
      <w:pPr>
        <w:jc w:val="both"/>
        <w:ind w:left="340" w:hanging="332"/>
        <w:spacing w:after="0" w:line="265" w:lineRule="auto"/>
        <w:tabs>
          <w:tab w:leader="none" w:pos="334"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the following plans: The 2019 Plan and the 2019 Employee Stock Purchase Plan (“ESPP”). Our 2019 Plan provides that on February 1 of each calendar year, starting on February 1, 2020 through February 1, 2029, the number of shares of Class A common reserved for issuance thereunder is automatically increased by a number equal to (i) 5% of the total number of shares of our common stock (both Class A and Class B) outstanding on January 31 of the fiscal year before the date of such automatic increase, or (ii) a lesser number of shares determined by our Board prior to the applicable February 1. Our ESPP provides that on February 1 of each calendar year, starting on February 1, 2020 through February 1, 2029, the number of shares of Class A common reserved for issuance thereunder is automatically increased by a number equal to the lesser of (i) 1% of the total number of shares of our common stock (both Class A and Class B) outstanding on January 31 of the fiscal year before the date of such automatic increase, and (ii) 7,500,000 shares; provided that before the date of any such increase, our Board may determine that such increase will be less than the amount set forth in clauses (i) and (ii). On February 1, 2020, the number of shares of Class A common stock available for issuance under our 2019 Plan and our ESPP increased by 13,936,393 shares and 2,787,278 shares, respectively, pursuant to these provisions. These increases are not reflected in the table above.</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the following plan: Fourth Amended and Restated 2011 Global Share Plan.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our capital stock as of March 31, 2020, for:</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Class A or Class B common stock</w:t>
      </w:r>
    </w:p>
    <w:p>
      <w:pPr>
        <w:spacing w:after="0" w:line="23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based percentage ownership of our capital stock on 165,905,440 shares of our Class A common stock and 115,497,986 shares of our Class B common stock outstanding on March 31, 2020. We have deemed shares of our common stock subject to options that are currently exercisable or exercisable within 60 days of March 31, 2020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Unless otherwise indicated, the address of each beneficial owner listed below is c/o Zoom Video Communications, Inc., 55 Almaden Boulevard,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San Jose, California 95113.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95" w:lineRule="exact"/>
        <w:rPr>
          <w:sz w:val="20"/>
          <w:szCs w:val="20"/>
          <w:color w:val="auto"/>
        </w:rPr>
      </w:pPr>
    </w:p>
    <w:p>
      <w:pPr>
        <w:ind w:left="20" w:right="900"/>
        <w:spacing w:after="0" w:line="453" w:lineRule="auto"/>
        <w:rPr>
          <w:sz w:val="20"/>
          <w:szCs w:val="20"/>
          <w:color w:val="auto"/>
        </w:rPr>
      </w:pPr>
      <w:r>
        <w:rPr>
          <w:rFonts w:ascii="Arial" w:cs="Arial" w:eastAsia="Arial" w:hAnsi="Arial"/>
          <w:sz w:val="15"/>
          <w:szCs w:val="15"/>
          <w:b w:val="1"/>
          <w:bCs w:val="1"/>
          <w:color w:val="auto"/>
        </w:rPr>
        <w:t xml:space="preserve">Name of Beneficial Owner </w:t>
      </w:r>
      <w:r>
        <w:rPr>
          <w:rFonts w:ascii="Arial" w:cs="Arial" w:eastAsia="Arial" w:hAnsi="Arial"/>
          <w:sz w:val="15"/>
          <w:szCs w:val="15"/>
          <w:b w:val="1"/>
          <w:bCs w:val="1"/>
          <w:i w:val="1"/>
          <w:iCs w:val="1"/>
          <w:color w:val="auto"/>
        </w:rPr>
        <w:t>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18516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20"/>
        <w:spacing w:after="0" w:line="278" w:lineRule="auto"/>
        <w:rPr>
          <w:sz w:val="20"/>
          <w:szCs w:val="20"/>
          <w:color w:val="auto"/>
        </w:rPr>
      </w:pPr>
      <w:r>
        <w:rPr>
          <w:rFonts w:ascii="Arial" w:cs="Arial" w:eastAsia="Arial" w:hAnsi="Arial"/>
          <w:sz w:val="16"/>
          <w:szCs w:val="16"/>
          <w:color w:val="auto"/>
        </w:rPr>
        <w:t xml:space="preserve">Entities affiliated with Emergence Capital Partners </w:t>
      </w:r>
      <w:r>
        <w:rPr>
          <w:rFonts w:ascii="Arial" w:cs="Arial" w:eastAsia="Arial" w:hAnsi="Arial"/>
          <w:sz w:val="21"/>
          <w:szCs w:val="21"/>
          <w:color w:val="auto"/>
          <w:vertAlign w:val="superscript"/>
        </w:rPr>
        <w:t>(1)</w:t>
      </w:r>
    </w:p>
    <w:p>
      <w:pPr>
        <w:spacing w:after="0" w:line="34" w:lineRule="exact"/>
        <w:rPr>
          <w:sz w:val="20"/>
          <w:szCs w:val="20"/>
          <w:color w:val="auto"/>
        </w:rPr>
      </w:pPr>
    </w:p>
    <w:p>
      <w:pPr>
        <w:ind w:left="20"/>
        <w:spacing w:after="0" w:line="364" w:lineRule="auto"/>
        <w:rPr>
          <w:sz w:val="20"/>
          <w:szCs w:val="20"/>
          <w:color w:val="auto"/>
        </w:rPr>
      </w:pPr>
      <w:r>
        <w:rPr>
          <w:rFonts w:ascii="Arial" w:cs="Arial" w:eastAsia="Arial" w:hAnsi="Arial"/>
          <w:sz w:val="15"/>
          <w:szCs w:val="15"/>
          <w:color w:val="auto"/>
        </w:rPr>
        <w:t xml:space="preserve">Bucantini Enterprises Limited </w:t>
      </w:r>
      <w:r>
        <w:rPr>
          <w:rFonts w:ascii="Arial" w:cs="Arial" w:eastAsia="Arial" w:hAnsi="Arial"/>
          <w:sz w:val="20"/>
          <w:szCs w:val="20"/>
          <w:color w:val="auto"/>
          <w:vertAlign w:val="superscript"/>
        </w:rPr>
        <w:t>(2)</w:t>
      </w:r>
      <w:r>
        <w:rPr>
          <w:rFonts w:ascii="Arial" w:cs="Arial" w:eastAsia="Arial" w:hAnsi="Arial"/>
          <w:sz w:val="15"/>
          <w:szCs w:val="15"/>
          <w:color w:val="auto"/>
        </w:rPr>
        <w:t xml:space="preserve"> Puccini World Limited </w:t>
      </w:r>
      <w:r>
        <w:rPr>
          <w:rFonts w:ascii="Arial" w:cs="Arial" w:eastAsia="Arial" w:hAnsi="Arial"/>
          <w:sz w:val="20"/>
          <w:szCs w:val="20"/>
          <w:color w:val="auto"/>
          <w:vertAlign w:val="superscript"/>
        </w:rPr>
        <w:t>(3)</w:t>
      </w:r>
      <w:r>
        <w:rPr>
          <w:rFonts w:ascii="Arial" w:cs="Arial" w:eastAsia="Arial" w:hAnsi="Arial"/>
          <w:sz w:val="15"/>
          <w:szCs w:val="15"/>
          <w:color w:val="auto"/>
        </w:rPr>
        <w:t xml:space="preserve"> Digital Mobile Venture Ltd. </w:t>
      </w:r>
      <w:r>
        <w:rPr>
          <w:rFonts w:ascii="Arial" w:cs="Arial" w:eastAsia="Arial" w:hAnsi="Arial"/>
          <w:sz w:val="20"/>
          <w:szCs w:val="20"/>
          <w:color w:val="auto"/>
          <w:vertAlign w:val="superscript"/>
        </w:rPr>
        <w:t>(4)</w:t>
      </w:r>
      <w:r>
        <w:rPr>
          <w:rFonts w:ascii="Arial" w:cs="Arial" w:eastAsia="Arial" w:hAnsi="Arial"/>
          <w:sz w:val="15"/>
          <w:szCs w:val="15"/>
          <w:color w:val="auto"/>
        </w:rPr>
        <w:t xml:space="preserve"> Hillhouse Capital Management, Ltd. </w:t>
      </w:r>
      <w:r>
        <w:rPr>
          <w:rFonts w:ascii="Arial" w:cs="Arial" w:eastAsia="Arial" w:hAnsi="Arial"/>
          <w:sz w:val="20"/>
          <w:szCs w:val="20"/>
          <w:color w:val="auto"/>
          <w:vertAlign w:val="superscript"/>
        </w:rPr>
        <w:t>(5)</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Directors and Named Executive Officers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66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Class A Common Stock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Class B Common Stock</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of Total Voting</w:t>
            </w:r>
          </w:p>
        </w:tc>
        <w:tc>
          <w:tcPr>
            <w:tcW w:w="0" w:type="dxa"/>
            <w:vAlign w:val="bottom"/>
          </w:tcPr>
          <w:p>
            <w:pPr>
              <w:spacing w:after="0"/>
              <w:rPr>
                <w:sz w:val="1"/>
                <w:szCs w:val="1"/>
                <w:color w:val="auto"/>
              </w:rPr>
            </w:pPr>
          </w:p>
        </w:tc>
      </w:tr>
      <w:tr>
        <w:trPr>
          <w:trHeight w:val="142"/>
        </w:trPr>
        <w:tc>
          <w:tcPr>
            <w:tcW w:w="164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Shares</w:t>
            </w: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Shares</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4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ind w:right="459"/>
              <w:spacing w:after="0"/>
              <w:rPr>
                <w:sz w:val="20"/>
                <w:szCs w:val="20"/>
                <w:color w:val="auto"/>
              </w:rPr>
            </w:pPr>
            <w:r>
              <w:rPr>
                <w:rFonts w:ascii="Arial" w:cs="Arial" w:eastAsia="Arial" w:hAnsi="Arial"/>
                <w:sz w:val="16"/>
                <w:szCs w:val="16"/>
                <w:b w:val="1"/>
                <w:bCs w:val="1"/>
                <w:color w:val="auto"/>
              </w:rPr>
              <w:t>Power†</w:t>
            </w:r>
          </w:p>
        </w:tc>
        <w:tc>
          <w:tcPr>
            <w:tcW w:w="0" w:type="dxa"/>
            <w:vAlign w:val="bottom"/>
          </w:tcPr>
          <w:p>
            <w:pPr>
              <w:spacing w:after="0"/>
              <w:rPr>
                <w:sz w:val="1"/>
                <w:szCs w:val="1"/>
                <w:color w:val="auto"/>
              </w:rPr>
            </w:pPr>
          </w:p>
        </w:tc>
      </w:tr>
      <w:tr>
        <w:trPr>
          <w:trHeight w:val="100"/>
        </w:trPr>
        <w:tc>
          <w:tcPr>
            <w:tcW w:w="1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98"/>
        </w:trPr>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17,988,825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15.6 %</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270"/>
        </w:trPr>
        <w:tc>
          <w:tcPr>
            <w:tcW w:w="1540" w:type="dxa"/>
            <w:vAlign w:val="bottom"/>
            <w:vMerge w:val="restart"/>
          </w:tcPr>
          <w:p>
            <w:pPr>
              <w:jc w:val="right"/>
              <w:ind w:right="79"/>
              <w:spacing w:after="0"/>
              <w:rPr>
                <w:sz w:val="20"/>
                <w:szCs w:val="20"/>
                <w:color w:val="auto"/>
              </w:rPr>
            </w:pPr>
            <w:r>
              <w:rPr>
                <w:rFonts w:ascii="Arial" w:cs="Arial" w:eastAsia="Arial" w:hAnsi="Arial"/>
                <w:sz w:val="16"/>
                <w:szCs w:val="16"/>
                <w:color w:val="auto"/>
              </w:rPr>
              <w:t>350,000</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540" w:type="dxa"/>
            <w:vAlign w:val="bottom"/>
            <w:vMerge w:val="restart"/>
          </w:tcPr>
          <w:p>
            <w:pPr>
              <w:jc w:val="right"/>
              <w:ind w:right="59"/>
              <w:spacing w:after="0"/>
              <w:rPr>
                <w:sz w:val="20"/>
                <w:szCs w:val="20"/>
                <w:color w:val="auto"/>
              </w:rPr>
            </w:pPr>
            <w:r>
              <w:rPr>
                <w:rFonts w:ascii="Arial" w:cs="Arial" w:eastAsia="Arial" w:hAnsi="Arial"/>
                <w:sz w:val="16"/>
                <w:szCs w:val="16"/>
                <w:color w:val="auto"/>
              </w:rPr>
              <w:t>14,208,398</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12.3</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540" w:type="dxa"/>
            <w:vAlign w:val="bottom"/>
            <w:vMerge w:val="restart"/>
          </w:tcPr>
          <w:p>
            <w:pPr>
              <w:jc w:val="right"/>
              <w:ind w:right="79"/>
              <w:spacing w:after="0"/>
              <w:rPr>
                <w:sz w:val="20"/>
                <w:szCs w:val="20"/>
                <w:color w:val="auto"/>
              </w:rPr>
            </w:pPr>
            <w:r>
              <w:rPr>
                <w:rFonts w:ascii="Arial" w:cs="Arial" w:eastAsia="Arial" w:hAnsi="Arial"/>
                <w:sz w:val="16"/>
                <w:szCs w:val="16"/>
                <w:color w:val="auto"/>
              </w:rPr>
              <w:t>104,179</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540" w:type="dxa"/>
            <w:vAlign w:val="bottom"/>
            <w:vMerge w:val="restart"/>
          </w:tcPr>
          <w:p>
            <w:pPr>
              <w:jc w:val="right"/>
              <w:ind w:right="59"/>
              <w:spacing w:after="0"/>
              <w:rPr>
                <w:sz w:val="20"/>
                <w:szCs w:val="20"/>
                <w:color w:val="auto"/>
              </w:rPr>
            </w:pPr>
            <w:r>
              <w:rPr>
                <w:rFonts w:ascii="Arial" w:cs="Arial" w:eastAsia="Arial" w:hAnsi="Arial"/>
                <w:sz w:val="16"/>
                <w:szCs w:val="16"/>
                <w:color w:val="auto"/>
              </w:rPr>
              <w:t>9,406,815</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7.1 %</w:t>
            </w: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7,673,357</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6.6 %</w:t>
            </w:r>
          </w:p>
        </w:tc>
        <w:tc>
          <w:tcPr>
            <w:tcW w:w="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70"/>
        </w:trPr>
        <w:tc>
          <w:tcPr>
            <w:tcW w:w="1540" w:type="dxa"/>
            <w:vAlign w:val="bottom"/>
            <w:vMerge w:val="restart"/>
          </w:tcPr>
          <w:p>
            <w:pPr>
              <w:jc w:val="right"/>
              <w:ind w:right="79"/>
              <w:spacing w:after="0"/>
              <w:rPr>
                <w:sz w:val="20"/>
                <w:szCs w:val="20"/>
                <w:color w:val="auto"/>
              </w:rPr>
            </w:pPr>
            <w:r>
              <w:rPr>
                <w:rFonts w:ascii="Arial" w:cs="Arial" w:eastAsia="Arial" w:hAnsi="Arial"/>
                <w:sz w:val="16"/>
                <w:szCs w:val="16"/>
                <w:color w:val="auto"/>
              </w:rPr>
              <w:t>10,945,593</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6.6 %</w:t>
            </w:r>
          </w:p>
        </w:tc>
        <w:tc>
          <w:tcPr>
            <w:tcW w:w="80" w:type="dxa"/>
            <w:vAlign w:val="bottom"/>
          </w:tcPr>
          <w:p>
            <w:pPr>
              <w:spacing w:after="0"/>
              <w:rPr>
                <w:sz w:val="23"/>
                <w:szCs w:val="23"/>
                <w:color w:val="auto"/>
              </w:rPr>
            </w:pPr>
          </w:p>
        </w:tc>
        <w:tc>
          <w:tcPr>
            <w:tcW w:w="16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3"/>
                <w:szCs w:val="23"/>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ectPr>
          <w:pgSz w:w="11900" w:h="16838" w:orient="portrait"/>
          <w:cols w:equalWidth="0" w:num="2">
            <w:col w:w="2740" w:space="280"/>
            <w:col w:w="8220"/>
          </w:cols>
          <w:pgMar w:left="320" w:top="1440" w:right="339" w:bottom="1440" w:gutter="0" w:footer="0" w:header="0"/>
        </w:sectPr>
      </w:pPr>
    </w:p>
    <w:p>
      <w:pPr>
        <w:ind w:left="20"/>
        <w:spacing w:after="0"/>
        <w:rPr>
          <w:sz w:val="20"/>
          <w:szCs w:val="20"/>
          <w:color w:val="auto"/>
        </w:rPr>
      </w:pPr>
      <w:r>
        <w:rPr>
          <w:rFonts w:ascii="Arial" w:cs="Arial" w:eastAsia="Arial" w:hAnsi="Arial"/>
          <w:sz w:val="16"/>
          <w:szCs w:val="16"/>
          <w:color w:val="auto"/>
        </w:rPr>
        <w:t>Eric S. Yuan</w:t>
      </w:r>
      <w:r>
        <w:rPr>
          <w:rFonts w:ascii="Arial" w:cs="Arial" w:eastAsia="Arial" w:hAnsi="Arial"/>
          <w:sz w:val="21"/>
          <w:szCs w:val="21"/>
          <w:color w:val="auto"/>
          <w:vertAlign w:val="superscript"/>
        </w:rPr>
        <w:t>(6)</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Jonathan Chadwick</w:t>
      </w:r>
      <w:r>
        <w:rPr>
          <w:rFonts w:ascii="Arial" w:cs="Arial" w:eastAsia="Arial" w:hAnsi="Arial"/>
          <w:sz w:val="21"/>
          <w:szCs w:val="21"/>
          <w:color w:val="auto"/>
          <w:vertAlign w:val="superscript"/>
        </w:rPr>
        <w:t>(7)</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Carl Eschenbach</w:t>
      </w:r>
      <w:r>
        <w:rPr>
          <w:rFonts w:ascii="Arial" w:cs="Arial" w:eastAsia="Arial" w:hAnsi="Arial"/>
          <w:sz w:val="21"/>
          <w:szCs w:val="21"/>
          <w:color w:val="auto"/>
          <w:vertAlign w:val="superscript"/>
        </w:rPr>
        <w:t>(8)</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Gassner</w:t>
      </w:r>
      <w:r>
        <w:rPr>
          <w:rFonts w:ascii="Arial" w:cs="Arial" w:eastAsia="Arial" w:hAnsi="Arial"/>
          <w:sz w:val="21"/>
          <w:szCs w:val="21"/>
          <w:color w:val="auto"/>
          <w:vertAlign w:val="superscript"/>
        </w:rPr>
        <w:t>(9)</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Kimberly L. Hammonds </w:t>
      </w:r>
      <w:r>
        <w:rPr>
          <w:rFonts w:ascii="Arial" w:cs="Arial" w:eastAsia="Arial" w:hAnsi="Arial"/>
          <w:sz w:val="21"/>
          <w:szCs w:val="21"/>
          <w:color w:val="auto"/>
          <w:vertAlign w:val="superscript"/>
        </w:rPr>
        <w:t>(10)</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Lieut. Gen. H.R. McMaster</w:t>
      </w:r>
      <w:r>
        <w:rPr>
          <w:rFonts w:ascii="Arial" w:cs="Arial" w:eastAsia="Arial" w:hAnsi="Arial"/>
          <w:sz w:val="21"/>
          <w:szCs w:val="21"/>
          <w:color w:val="auto"/>
          <w:vertAlign w:val="superscript"/>
        </w:rPr>
        <w:t>(11)</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Dan Scheinman</w:t>
      </w:r>
      <w:r>
        <w:rPr>
          <w:rFonts w:ascii="Arial" w:cs="Arial" w:eastAsia="Arial" w:hAnsi="Arial"/>
          <w:sz w:val="21"/>
          <w:szCs w:val="21"/>
          <w:color w:val="auto"/>
          <w:vertAlign w:val="superscript"/>
        </w:rPr>
        <w:t>(12)</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Santiago Subotovsky </w:t>
      </w:r>
      <w:r>
        <w:rPr>
          <w:rFonts w:ascii="Arial" w:cs="Arial" w:eastAsia="Arial" w:hAnsi="Arial"/>
          <w:sz w:val="21"/>
          <w:szCs w:val="21"/>
          <w:color w:val="auto"/>
          <w:vertAlign w:val="superscript"/>
        </w:rPr>
        <w:t>(13)</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Bart Swanson</w:t>
      </w:r>
      <w:r>
        <w:rPr>
          <w:rFonts w:ascii="Arial" w:cs="Arial" w:eastAsia="Arial" w:hAnsi="Arial"/>
          <w:sz w:val="21"/>
          <w:szCs w:val="21"/>
          <w:color w:val="auto"/>
          <w:vertAlign w:val="superscript"/>
        </w:rPr>
        <w:t>(14)</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Ryan Azus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Kelly Steckelberg </w:t>
      </w:r>
      <w:r>
        <w:rPr>
          <w:rFonts w:ascii="Arial" w:cs="Arial" w:eastAsia="Arial" w:hAnsi="Arial"/>
          <w:sz w:val="21"/>
          <w:szCs w:val="21"/>
          <w:color w:val="auto"/>
          <w:vertAlign w:val="superscript"/>
        </w:rPr>
        <w:t>(15)</w:t>
      </w:r>
    </w:p>
    <w:p>
      <w:pPr>
        <w:spacing w:after="0" w:line="96" w:lineRule="exact"/>
        <w:rPr>
          <w:sz w:val="20"/>
          <w:szCs w:val="20"/>
          <w:color w:val="auto"/>
        </w:rPr>
      </w:pPr>
    </w:p>
    <w:p>
      <w:pPr>
        <w:ind w:left="20" w:right="560"/>
        <w:spacing w:after="0" w:line="278" w:lineRule="auto"/>
        <w:rPr>
          <w:sz w:val="20"/>
          <w:szCs w:val="20"/>
          <w:color w:val="auto"/>
        </w:rPr>
      </w:pPr>
      <w:r>
        <w:rPr>
          <w:rFonts w:ascii="Arial" w:cs="Arial" w:eastAsia="Arial" w:hAnsi="Arial"/>
          <w:sz w:val="16"/>
          <w:szCs w:val="16"/>
          <w:color w:val="auto"/>
        </w:rPr>
        <w:t xml:space="preserve">All directors and executive officers as a group (13 persons) </w:t>
      </w:r>
      <w:r>
        <w:rPr>
          <w:rFonts w:ascii="Arial" w:cs="Arial" w:eastAsia="Arial" w:hAnsi="Arial"/>
          <w:sz w:val="21"/>
          <w:szCs w:val="21"/>
          <w:color w:val="auto"/>
          <w:vertAlign w:val="superscript"/>
        </w:rPr>
        <w:t>(16)</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________________</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 %</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45,529,724</w:t>
            </w:r>
          </w:p>
        </w:tc>
        <w:tc>
          <w:tcPr>
            <w:tcW w:w="1760" w:type="dxa"/>
            <w:vAlign w:val="bottom"/>
            <w:gridSpan w:val="2"/>
          </w:tcPr>
          <w:p>
            <w:pPr>
              <w:jc w:val="right"/>
              <w:ind w:right="519"/>
              <w:spacing w:after="0"/>
              <w:rPr>
                <w:sz w:val="20"/>
                <w:szCs w:val="20"/>
                <w:color w:val="auto"/>
              </w:rPr>
            </w:pPr>
            <w:r>
              <w:rPr>
                <w:rFonts w:ascii="Arial" w:cs="Arial" w:eastAsia="Arial" w:hAnsi="Arial"/>
                <w:sz w:val="16"/>
                <w:szCs w:val="16"/>
                <w:color w:val="auto"/>
              </w:rPr>
              <w:t>39.3 %</w:t>
            </w:r>
          </w:p>
        </w:tc>
        <w:tc>
          <w:tcPr>
            <w:tcW w:w="1080" w:type="dxa"/>
            <w:vAlign w:val="bottom"/>
          </w:tcPr>
          <w:p>
            <w:pPr>
              <w:jc w:val="right"/>
              <w:spacing w:after="0"/>
              <w:rPr>
                <w:sz w:val="20"/>
                <w:szCs w:val="20"/>
                <w:color w:val="auto"/>
              </w:rPr>
            </w:pPr>
            <w:r>
              <w:rPr>
                <w:rFonts w:ascii="Arial" w:cs="Arial" w:eastAsia="Arial" w:hAnsi="Arial"/>
                <w:sz w:val="16"/>
                <w:szCs w:val="16"/>
                <w:color w:val="auto"/>
              </w:rPr>
              <w:t>34.4 %</w:t>
            </w:r>
          </w:p>
        </w:tc>
        <w:tc>
          <w:tcPr>
            <w:tcW w:w="0" w:type="dxa"/>
            <w:vAlign w:val="bottom"/>
          </w:tcPr>
          <w:p>
            <w:pPr>
              <w:spacing w:after="0"/>
              <w:rPr>
                <w:sz w:val="1"/>
                <w:szCs w:val="1"/>
                <w:color w:val="auto"/>
              </w:rPr>
            </w:pPr>
          </w:p>
        </w:tc>
      </w:tr>
      <w:tr>
        <w:trPr>
          <w:trHeight w:val="270"/>
        </w:trPr>
        <w:tc>
          <w:tcPr>
            <w:tcW w:w="1260" w:type="dxa"/>
            <w:vAlign w:val="bottom"/>
            <w:vMerge w:val="restart"/>
          </w:tcPr>
          <w:p>
            <w:pPr>
              <w:jc w:val="right"/>
              <w:ind w:right="659"/>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299"/>
              <w:spacing w:after="0"/>
              <w:rPr>
                <w:sz w:val="20"/>
                <w:szCs w:val="20"/>
                <w:color w:val="auto"/>
              </w:rPr>
            </w:pPr>
            <w:r>
              <w:rPr>
                <w:rFonts w:ascii="Arial" w:cs="Arial" w:eastAsia="Arial" w:hAnsi="Arial"/>
                <w:sz w:val="16"/>
                <w:szCs w:val="16"/>
                <w:color w:val="auto"/>
              </w:rPr>
              <w:t>— %</w:t>
            </w:r>
          </w:p>
        </w:tc>
        <w:tc>
          <w:tcPr>
            <w:tcW w:w="1780" w:type="dxa"/>
            <w:vAlign w:val="bottom"/>
            <w:vMerge w:val="restart"/>
          </w:tcPr>
          <w:p>
            <w:pPr>
              <w:jc w:val="right"/>
              <w:ind w:right="579"/>
              <w:spacing w:after="0"/>
              <w:rPr>
                <w:sz w:val="20"/>
                <w:szCs w:val="20"/>
                <w:color w:val="auto"/>
              </w:rPr>
            </w:pPr>
            <w:r>
              <w:rPr>
                <w:rFonts w:ascii="Arial" w:cs="Arial" w:eastAsia="Arial" w:hAnsi="Arial"/>
                <w:sz w:val="16"/>
                <w:szCs w:val="16"/>
                <w:color w:val="auto"/>
              </w:rPr>
              <w:t>290,000</w:t>
            </w:r>
          </w:p>
        </w:tc>
        <w:tc>
          <w:tcPr>
            <w:tcW w:w="980" w:type="dxa"/>
            <w:vAlign w:val="bottom"/>
          </w:tcPr>
          <w:p>
            <w:pPr>
              <w:spacing w:after="0"/>
              <w:rPr>
                <w:sz w:val="23"/>
                <w:szCs w:val="23"/>
                <w:color w:val="auto"/>
              </w:rPr>
            </w:pPr>
          </w:p>
        </w:tc>
        <w:tc>
          <w:tcPr>
            <w:tcW w:w="7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260" w:type="dxa"/>
            <w:vAlign w:val="bottom"/>
            <w:vMerge w:val="restart"/>
          </w:tcPr>
          <w:p>
            <w:pPr>
              <w:jc w:val="right"/>
              <w:ind w:right="659"/>
              <w:spacing w:after="0"/>
              <w:rPr>
                <w:sz w:val="20"/>
                <w:szCs w:val="20"/>
                <w:color w:val="auto"/>
              </w:rPr>
            </w:pPr>
            <w:r>
              <w:rPr>
                <w:rFonts w:ascii="Arial" w:cs="Arial" w:eastAsia="Arial" w:hAnsi="Arial"/>
                <w:sz w:val="16"/>
                <w:szCs w:val="16"/>
                <w:color w:val="auto"/>
                <w:w w:val="86"/>
              </w:rPr>
              <w:t>380,967</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80" w:type="dxa"/>
            <w:vAlign w:val="bottom"/>
            <w:vMerge w:val="restart"/>
          </w:tcPr>
          <w:p>
            <w:pPr>
              <w:jc w:val="right"/>
              <w:ind w:right="57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260" w:type="dxa"/>
            <w:vAlign w:val="bottom"/>
            <w:vMerge w:val="restart"/>
          </w:tcPr>
          <w:p>
            <w:pPr>
              <w:jc w:val="right"/>
              <w:ind w:right="659"/>
              <w:spacing w:after="0"/>
              <w:rPr>
                <w:sz w:val="20"/>
                <w:szCs w:val="20"/>
                <w:color w:val="auto"/>
              </w:rPr>
            </w:pPr>
            <w:r>
              <w:rPr>
                <w:rFonts w:ascii="Arial" w:cs="Arial" w:eastAsia="Arial" w:hAnsi="Arial"/>
                <w:sz w:val="16"/>
                <w:szCs w:val="16"/>
                <w:color w:val="auto"/>
              </w:rPr>
              <w:t>487</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80" w:type="dxa"/>
            <w:vAlign w:val="bottom"/>
            <w:vMerge w:val="restart"/>
          </w:tcPr>
          <w:p>
            <w:pPr>
              <w:jc w:val="right"/>
              <w:ind w:right="579"/>
              <w:spacing w:after="0"/>
              <w:rPr>
                <w:sz w:val="20"/>
                <w:szCs w:val="20"/>
                <w:color w:val="auto"/>
              </w:rPr>
            </w:pPr>
            <w:r>
              <w:rPr>
                <w:rFonts w:ascii="Arial" w:cs="Arial" w:eastAsia="Arial" w:hAnsi="Arial"/>
                <w:sz w:val="16"/>
                <w:szCs w:val="16"/>
                <w:color w:val="auto"/>
              </w:rPr>
              <w:t>1,202,720</w:t>
            </w:r>
          </w:p>
        </w:tc>
        <w:tc>
          <w:tcPr>
            <w:tcW w:w="1760" w:type="dxa"/>
            <w:vAlign w:val="bottom"/>
            <w:gridSpan w:val="2"/>
          </w:tcPr>
          <w:p>
            <w:pPr>
              <w:jc w:val="right"/>
              <w:ind w:right="519"/>
              <w:spacing w:after="0"/>
              <w:rPr>
                <w:sz w:val="20"/>
                <w:szCs w:val="20"/>
                <w:color w:val="auto"/>
              </w:rPr>
            </w:pPr>
            <w:r>
              <w:rPr>
                <w:rFonts w:ascii="Arial" w:cs="Arial" w:eastAsia="Arial" w:hAnsi="Arial"/>
                <w:sz w:val="16"/>
                <w:szCs w:val="16"/>
                <w:color w:val="auto"/>
              </w:rPr>
              <w:t>1.0%</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260" w:type="dxa"/>
            <w:vAlign w:val="bottom"/>
            <w:vMerge w:val="restart"/>
          </w:tcPr>
          <w:p>
            <w:pPr>
              <w:jc w:val="right"/>
              <w:ind w:right="659"/>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299"/>
              <w:spacing w:after="0"/>
              <w:rPr>
                <w:sz w:val="20"/>
                <w:szCs w:val="20"/>
                <w:color w:val="auto"/>
              </w:rPr>
            </w:pPr>
            <w:r>
              <w:rPr>
                <w:rFonts w:ascii="Arial" w:cs="Arial" w:eastAsia="Arial" w:hAnsi="Arial"/>
                <w:sz w:val="16"/>
                <w:szCs w:val="16"/>
                <w:color w:val="auto"/>
              </w:rPr>
              <w:t>— %</w:t>
            </w:r>
          </w:p>
        </w:tc>
        <w:tc>
          <w:tcPr>
            <w:tcW w:w="1780" w:type="dxa"/>
            <w:vAlign w:val="bottom"/>
            <w:vMerge w:val="restart"/>
          </w:tcPr>
          <w:p>
            <w:pPr>
              <w:jc w:val="right"/>
              <w:ind w:right="579"/>
              <w:spacing w:after="0"/>
              <w:rPr>
                <w:sz w:val="20"/>
                <w:szCs w:val="20"/>
                <w:color w:val="auto"/>
              </w:rPr>
            </w:pPr>
            <w:r>
              <w:rPr>
                <w:rFonts w:ascii="Arial" w:cs="Arial" w:eastAsia="Arial" w:hAnsi="Arial"/>
                <w:sz w:val="16"/>
                <w:szCs w:val="16"/>
                <w:color w:val="auto"/>
              </w:rPr>
              <w:t>96,875</w:t>
            </w:r>
          </w:p>
        </w:tc>
        <w:tc>
          <w:tcPr>
            <w:tcW w:w="980" w:type="dxa"/>
            <w:vAlign w:val="bottom"/>
          </w:tcPr>
          <w:p>
            <w:pPr>
              <w:spacing w:after="0"/>
              <w:rPr>
                <w:sz w:val="23"/>
                <w:szCs w:val="23"/>
                <w:color w:val="auto"/>
              </w:rPr>
            </w:pPr>
          </w:p>
        </w:tc>
        <w:tc>
          <w:tcPr>
            <w:tcW w:w="7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 %</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2"/>
                <w:szCs w:val="22"/>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8"/>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 %</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2,846,372</w:t>
            </w:r>
          </w:p>
        </w:tc>
        <w:tc>
          <w:tcPr>
            <w:tcW w:w="1760" w:type="dxa"/>
            <w:vAlign w:val="bottom"/>
            <w:gridSpan w:val="2"/>
          </w:tcPr>
          <w:p>
            <w:pPr>
              <w:jc w:val="right"/>
              <w:ind w:right="519"/>
              <w:spacing w:after="0"/>
              <w:rPr>
                <w:sz w:val="20"/>
                <w:szCs w:val="20"/>
                <w:color w:val="auto"/>
              </w:rPr>
            </w:pPr>
            <w:r>
              <w:rPr>
                <w:rFonts w:ascii="Arial" w:cs="Arial" w:eastAsia="Arial" w:hAnsi="Arial"/>
                <w:sz w:val="16"/>
                <w:szCs w:val="16"/>
                <w:color w:val="auto"/>
              </w:rPr>
              <w:t>2.5 %</w:t>
            </w:r>
          </w:p>
        </w:tc>
        <w:tc>
          <w:tcPr>
            <w:tcW w:w="108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70"/>
        </w:trPr>
        <w:tc>
          <w:tcPr>
            <w:tcW w:w="1260" w:type="dxa"/>
            <w:vAlign w:val="bottom"/>
            <w:vMerge w:val="restart"/>
          </w:tcPr>
          <w:p>
            <w:pPr>
              <w:jc w:val="right"/>
              <w:ind w:right="659"/>
              <w:spacing w:after="0"/>
              <w:rPr>
                <w:sz w:val="20"/>
                <w:szCs w:val="20"/>
                <w:color w:val="auto"/>
              </w:rPr>
            </w:pPr>
            <w:r>
              <w:rPr>
                <w:rFonts w:ascii="Arial" w:cs="Arial" w:eastAsia="Arial" w:hAnsi="Arial"/>
                <w:sz w:val="16"/>
                <w:szCs w:val="16"/>
                <w:color w:val="auto"/>
                <w:w w:val="86"/>
              </w:rPr>
              <w:t>143,462</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80" w:type="dxa"/>
            <w:vAlign w:val="bottom"/>
            <w:vMerge w:val="restart"/>
          </w:tcPr>
          <w:p>
            <w:pPr>
              <w:jc w:val="right"/>
              <w:ind w:right="579"/>
              <w:spacing w:after="0"/>
              <w:rPr>
                <w:sz w:val="20"/>
                <w:szCs w:val="20"/>
                <w:color w:val="auto"/>
              </w:rPr>
            </w:pPr>
            <w:r>
              <w:rPr>
                <w:rFonts w:ascii="Arial" w:cs="Arial" w:eastAsia="Arial" w:hAnsi="Arial"/>
                <w:sz w:val="16"/>
                <w:szCs w:val="16"/>
                <w:color w:val="auto"/>
              </w:rPr>
              <w:t>17,988,825</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15.6</w:t>
            </w:r>
          </w:p>
        </w:tc>
        <w:tc>
          <w:tcPr>
            <w:tcW w:w="780" w:type="dxa"/>
            <w:vAlign w:val="bottom"/>
            <w:vMerge w:val="restart"/>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260" w:type="dxa"/>
            <w:vAlign w:val="bottom"/>
            <w:vMerge w:val="restart"/>
          </w:tcPr>
          <w:p>
            <w:pPr>
              <w:jc w:val="right"/>
              <w:ind w:right="659"/>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299"/>
              <w:spacing w:after="0"/>
              <w:rPr>
                <w:sz w:val="20"/>
                <w:szCs w:val="20"/>
                <w:color w:val="auto"/>
              </w:rPr>
            </w:pPr>
            <w:r>
              <w:rPr>
                <w:rFonts w:ascii="Arial" w:cs="Arial" w:eastAsia="Arial" w:hAnsi="Arial"/>
                <w:sz w:val="16"/>
                <w:szCs w:val="16"/>
                <w:color w:val="auto"/>
              </w:rPr>
              <w:t>— %</w:t>
            </w:r>
          </w:p>
        </w:tc>
        <w:tc>
          <w:tcPr>
            <w:tcW w:w="1780" w:type="dxa"/>
            <w:vAlign w:val="bottom"/>
            <w:vMerge w:val="restart"/>
          </w:tcPr>
          <w:p>
            <w:pPr>
              <w:jc w:val="right"/>
              <w:ind w:right="579"/>
              <w:spacing w:after="0"/>
              <w:rPr>
                <w:sz w:val="20"/>
                <w:szCs w:val="20"/>
                <w:color w:val="auto"/>
              </w:rPr>
            </w:pPr>
            <w:r>
              <w:rPr>
                <w:rFonts w:ascii="Arial" w:cs="Arial" w:eastAsia="Arial" w:hAnsi="Arial"/>
                <w:sz w:val="16"/>
                <w:szCs w:val="16"/>
                <w:color w:val="auto"/>
              </w:rPr>
              <w:t>85,908</w:t>
            </w:r>
          </w:p>
        </w:tc>
        <w:tc>
          <w:tcPr>
            <w:tcW w:w="980" w:type="dxa"/>
            <w:vAlign w:val="bottom"/>
          </w:tcPr>
          <w:p>
            <w:pPr>
              <w:spacing w:after="0"/>
              <w:rPr>
                <w:sz w:val="23"/>
                <w:szCs w:val="23"/>
                <w:color w:val="auto"/>
              </w:rPr>
            </w:pPr>
          </w:p>
        </w:tc>
        <w:tc>
          <w:tcPr>
            <w:tcW w:w="7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2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 %</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4"/>
                <w:szCs w:val="24"/>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260" w:type="dxa"/>
            <w:vAlign w:val="bottom"/>
            <w:vMerge w:val="restart"/>
          </w:tcPr>
          <w:p>
            <w:pPr>
              <w:jc w:val="right"/>
              <w:ind w:right="659"/>
              <w:spacing w:after="0"/>
              <w:rPr>
                <w:sz w:val="20"/>
                <w:szCs w:val="20"/>
                <w:color w:val="auto"/>
              </w:rPr>
            </w:pPr>
            <w:r>
              <w:rPr>
                <w:rFonts w:ascii="Arial" w:cs="Arial" w:eastAsia="Arial" w:hAnsi="Arial"/>
                <w:sz w:val="16"/>
                <w:szCs w:val="16"/>
                <w:color w:val="auto"/>
              </w:rPr>
              <w:t>27,912</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80" w:type="dxa"/>
            <w:vAlign w:val="bottom"/>
            <w:vMerge w:val="restart"/>
          </w:tcPr>
          <w:p>
            <w:pPr>
              <w:jc w:val="right"/>
              <w:ind w:right="579"/>
              <w:spacing w:after="0"/>
              <w:rPr>
                <w:sz w:val="20"/>
                <w:szCs w:val="20"/>
                <w:color w:val="auto"/>
              </w:rPr>
            </w:pPr>
            <w:r>
              <w:rPr>
                <w:rFonts w:ascii="Arial" w:cs="Arial" w:eastAsia="Arial" w:hAnsi="Arial"/>
                <w:sz w:val="16"/>
                <w:szCs w:val="16"/>
                <w:color w:val="auto"/>
              </w:rPr>
              <w:t>1,084,380</w:t>
            </w:r>
          </w:p>
        </w:tc>
        <w:tc>
          <w:tcPr>
            <w:tcW w:w="980" w:type="dxa"/>
            <w:vAlign w:val="bottom"/>
          </w:tcPr>
          <w:p>
            <w:pPr>
              <w:spacing w:after="0"/>
              <w:rPr>
                <w:sz w:val="23"/>
                <w:szCs w:val="23"/>
                <w:color w:val="auto"/>
              </w:rPr>
            </w:pPr>
          </w:p>
        </w:tc>
        <w:tc>
          <w:tcPr>
            <w:tcW w:w="7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1260" w:type="dxa"/>
            <w:vAlign w:val="bottom"/>
            <w:vMerge w:val="restart"/>
          </w:tcPr>
          <w:p>
            <w:pPr>
              <w:jc w:val="right"/>
              <w:ind w:right="659"/>
              <w:spacing w:after="0"/>
              <w:rPr>
                <w:sz w:val="20"/>
                <w:szCs w:val="20"/>
                <w:color w:val="auto"/>
              </w:rPr>
            </w:pPr>
            <w:r>
              <w:rPr>
                <w:rFonts w:ascii="Arial" w:cs="Arial" w:eastAsia="Arial" w:hAnsi="Arial"/>
                <w:sz w:val="16"/>
                <w:szCs w:val="16"/>
                <w:color w:val="auto"/>
                <w:w w:val="86"/>
              </w:rPr>
              <w:t>832,547</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80" w:type="dxa"/>
            <w:vAlign w:val="bottom"/>
            <w:vMerge w:val="restart"/>
          </w:tcPr>
          <w:p>
            <w:pPr>
              <w:jc w:val="right"/>
              <w:ind w:right="579"/>
              <w:spacing w:after="0"/>
              <w:rPr>
                <w:sz w:val="20"/>
                <w:szCs w:val="20"/>
                <w:color w:val="auto"/>
              </w:rPr>
            </w:pPr>
            <w:r>
              <w:rPr>
                <w:rFonts w:ascii="Arial" w:cs="Arial" w:eastAsia="Arial" w:hAnsi="Arial"/>
                <w:sz w:val="16"/>
                <w:szCs w:val="16"/>
                <w:color w:val="auto"/>
              </w:rPr>
              <w:t>67,412,044</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59.0</w:t>
            </w:r>
          </w:p>
        </w:tc>
        <w:tc>
          <w:tcPr>
            <w:tcW w:w="780" w:type="dxa"/>
            <w:vAlign w:val="bottom"/>
            <w:vMerge w:val="restart"/>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51.8 %</w:t>
            </w:r>
          </w:p>
        </w:tc>
        <w:tc>
          <w:tcPr>
            <w:tcW w:w="0" w:type="dxa"/>
            <w:vAlign w:val="bottom"/>
          </w:tcPr>
          <w:p>
            <w:pPr>
              <w:spacing w:after="0"/>
              <w:rPr>
                <w:sz w:val="1"/>
                <w:szCs w:val="1"/>
                <w:color w:val="auto"/>
              </w:rPr>
            </w:pPr>
          </w:p>
        </w:tc>
      </w:tr>
      <w:tr>
        <w:trPr>
          <w:trHeight w:val="68"/>
        </w:trPr>
        <w:tc>
          <w:tcPr>
            <w:tcW w:w="126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ectPr>
          <w:pgSz w:w="11900" w:h="16838" w:orient="portrait"/>
          <w:cols w:equalWidth="0" w:num="2">
            <w:col w:w="3160" w:space="720"/>
            <w:col w:w="7360"/>
          </w:cols>
          <w:pgMar w:left="320" w:top="1440" w:right="339" w:bottom="1440" w:gutter="0" w:footer="0" w:header="0"/>
          <w:type w:val="continuous"/>
        </w:sect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7"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our Class A common stock and Class B common stock, voting together as a single class. Each</w:t>
      </w:r>
    </w:p>
    <w:p>
      <w:pPr>
        <w:spacing w:after="0" w:line="32" w:lineRule="exact"/>
        <w:rPr>
          <w:sz w:val="20"/>
          <w:szCs w:val="20"/>
          <w:color w:val="auto"/>
        </w:rPr>
      </w:pPr>
    </w:p>
    <w:p>
      <w:pPr>
        <w:jc w:val="both"/>
        <w:ind w:left="340"/>
        <w:spacing w:after="0" w:line="281" w:lineRule="auto"/>
        <w:rPr>
          <w:sz w:val="20"/>
          <w:szCs w:val="20"/>
          <w:color w:val="auto"/>
        </w:rPr>
      </w:pPr>
      <w:r>
        <w:rPr>
          <w:rFonts w:ascii="Arial" w:cs="Arial" w:eastAsia="Arial" w:hAnsi="Arial"/>
          <w:sz w:val="16"/>
          <w:szCs w:val="16"/>
          <w:color w:val="auto"/>
        </w:rPr>
        <w:t>share of Class A common stock is entitled to one vote per share, and each share of Class B common stock is entitled to 10 votes per share. The Class A common stock and Class B common stock vote together on all matters (including the election of directors) submitted to a vote of stockholders, except under limited circumstances described in “Description of Capital Stock—Class A Common Stock and Class B Common Stock—Voting Rights.”</w:t>
      </w:r>
    </w:p>
    <w:p>
      <w:pPr>
        <w:spacing w:after="0" w:line="2" w:lineRule="exact"/>
        <w:rPr>
          <w:sz w:val="20"/>
          <w:szCs w:val="20"/>
          <w:color w:val="auto"/>
        </w:rPr>
      </w:pPr>
    </w:p>
    <w:p>
      <w:pPr>
        <w:jc w:val="both"/>
        <w:ind w:left="340" w:hanging="332"/>
        <w:spacing w:after="0" w:line="265" w:lineRule="auto"/>
        <w:tabs>
          <w:tab w:leader="none" w:pos="33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Information regarding the entities affiliated with Emergence Capital Partners is based solely upon Schedule 13G filed by entities affiliated with Emergence Capital Partners with the SEC on January 30, 2020 (the “Emergence 13G”), as supplemented by Forms 4 filed by the Emergence Entities (as defined below) with the SEC through March 16, 2020 (together with the Emergence 13G, the “Emergence Ownership Information”). The Emergence Ownership Information provides that as of March 16, 2020, (i) 16,035,668 shares of Class B common stock were held of record by Emergence Capital Partners III, L.P. (“Emergence”) and (ii) 1,953,157 shares of Class B common stock were held of record by EZP Opportunity, L.P. (“EZP” and together with Emergence, the “Emergence Entities”). Emergence GP Partners, LLC (“EGP)” is the sole general partner of Emergence Equity Partners III, L.P. (“EEP III”), which is the sole general partner of Emergence and EZP. Mr. Subotovsky, one of our directors, is a member of EEP III and shares voting and investment control with respect to the shares held by the Emergence Entities. The address for Emergence and EZP is 160 Bovet Road, Suite 300, San Mateo, California 94402.</w:t>
      </w:r>
    </w:p>
    <w:p>
      <w:pPr>
        <w:spacing w:after="0" w:line="1" w:lineRule="exact"/>
        <w:rPr>
          <w:rFonts w:ascii="Arial" w:cs="Arial" w:eastAsia="Arial" w:hAnsi="Arial"/>
          <w:sz w:val="17"/>
          <w:szCs w:val="17"/>
          <w:color w:val="auto"/>
        </w:rPr>
      </w:pPr>
    </w:p>
    <w:p>
      <w:pPr>
        <w:jc w:val="both"/>
        <w:ind w:left="340" w:hanging="332"/>
        <w:spacing w:after="0" w:line="277" w:lineRule="auto"/>
        <w:tabs>
          <w:tab w:leader="none" w:pos="33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Information regarding Bucantini Enterprises Limited (“Bucantini”) is based solely upon Schedule 13G filed by Bucantini with the SEC on February 13, 2020. This Schedule 13G provides that as of December 31, 2019, 14,208,398 shares of Class B common stock were held of record by Bucantini. Bucantini is wholly owned by Prime Doyen Limited, which is wholly owned by Mayspin Management Limited (“Mayspin”). Mayspin is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1240"/>
          </w:cols>
          <w:pgMar w:left="320" w:top="1440" w:right="339" w:bottom="1440" w:gutter="0" w:footer="0" w:header="0"/>
          <w:type w:val="continuous"/>
        </w:sectPr>
      </w:pPr>
    </w:p>
    <w:bookmarkStart w:id="38" w:name="page39"/>
    <w:bookmarkEnd w:id="38"/>
    <w:p>
      <w:pPr>
        <w:ind w:left="340"/>
        <w:spacing w:after="0"/>
        <w:rPr>
          <w:sz w:val="20"/>
          <w:szCs w:val="20"/>
          <w:color w:val="auto"/>
        </w:rPr>
      </w:pPr>
      <w:r>
        <w:rPr>
          <w:rFonts w:ascii="Arial" w:cs="Arial" w:eastAsia="Arial" w:hAnsi="Arial"/>
          <w:sz w:val="18"/>
          <w:szCs w:val="18"/>
          <w:color w:val="auto"/>
        </w:rPr>
        <w:t>wholly owned by Mr. Li Ka-shing. The address for Bucantini is c/o 7/F, Cheung Kong Center, 2 Queen’s Road Central, Hong Kong.</w:t>
      </w:r>
    </w:p>
    <w:p>
      <w:pPr>
        <w:spacing w:after="0" w:line="23" w:lineRule="exact"/>
        <w:rPr>
          <w:sz w:val="20"/>
          <w:szCs w:val="20"/>
          <w:color w:val="auto"/>
        </w:rPr>
      </w:pPr>
    </w:p>
    <w:p>
      <w:pPr>
        <w:jc w:val="both"/>
        <w:ind w:left="340" w:hanging="332"/>
        <w:spacing w:after="0" w:line="250" w:lineRule="auto"/>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Information regarding Puccini World Limited (“Puccini”) is based solely upon Schedule 13G filed by Puccini with the SEC on February 13, 2020. This Schedule 13G provides that as of December 31, 2019, 9,406,815 shares of Class B common stock held of record by Puccini World Limited. Chau Hoi Shuen Solina Holly is the sole shareholder of Puccini. The address for Puccini World Limited is c/o Vistra Corporate Services Centre, Wickhams Cay II, Road Town, Tortola, VG1110, British Virgin Islands.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7,673,357 shares of Class B common stock held of record by Digital Mobile Venture Ltd. Samuel Chen, a former member of our board of directors, is a director and stockholder of Digital Mobile Venture Ltd., and as such, is deemed to have beneficial ownership of shares held by Digital Mobile Venture Ltd. The address for this entity is 5F, No. 550, Ruei Guang Road, Taipei F5, Taiwan.</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34"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Information regarding Hillhouse Capital Management, Ltd. (“Hillhouse”) is based solely upon Schedule 13G filed by Hillhouse with the SEC on February 14, 2020. This Schedule 13G provides that as of December 31, 2019, 10,945,593 shares of Class A common stock held of record by Hillhouse. The address for Hillhouse is c/o DMS House, 20 Genesis Close, PO Box 2587, George Town, Grand Cayman E9 KY1-1103.</w:t>
      </w:r>
    </w:p>
    <w:p>
      <w:pPr>
        <w:jc w:val="both"/>
        <w:ind w:left="340" w:hanging="332"/>
        <w:spacing w:after="0" w:line="281" w:lineRule="auto"/>
        <w:tabs>
          <w:tab w:leader="none" w:pos="334"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(i) 25,098,219 shares of Class B common stock held of record by Mr. Yuan, (ii) 9,108,250 shares of Class B common stock held of record by Zheng Yuan and Hongyu Zhang, cotrustees of the Zheng Yuan 2019 Grantor Retained Annuity Trust, for which Mr. Yuan and his spouse serve as cotrustees, (iii) 9,108,250 shares of Class B common stock held of record by Zheng Yuan and Hongyu Zhang, cotrustees of the Hongyu Zhang 2019 Grantor Retained Annuity Trust, for which Mr. Yuan and his spouse serve as cotrustees, (iv) 1,783,500 shares of Class B common stock held by Zheng Yuan and Hongyu Zhang, cotrustees of the Zheng Yuan &amp; Hongyu Zhang Trust Under Agreement 4/30/2018, the 2018 Yuan and Zhang Revocable Trust, for which Mr. Yuan and his spouse serve as cotrustees, and (v) 431,505 shares of Class B common stock subject to options exercisable within 60 days of March 31, 2020, of which 187,500 shares of Class B common stock are vested as of such date.</w:t>
      </w:r>
    </w:p>
    <w:p>
      <w:pPr>
        <w:spacing w:after="0" w:line="4" w:lineRule="exact"/>
        <w:rPr>
          <w:rFonts w:ascii="Arial" w:cs="Arial" w:eastAsia="Arial" w:hAnsi="Arial"/>
          <w:sz w:val="16"/>
          <w:szCs w:val="16"/>
          <w:color w:val="auto"/>
        </w:rPr>
      </w:pPr>
    </w:p>
    <w:p>
      <w:pPr>
        <w:ind w:left="340" w:hanging="332"/>
        <w:spacing w:after="0" w:line="250" w:lineRule="auto"/>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290,000 shares of Class B common stock held of record by Mr. Chadwick, of which 150,000 shares of Class B common stock are subject to repurchase by us at the original issue price as of March 31, 2020.</w:t>
      </w:r>
    </w:p>
    <w:p>
      <w:pPr>
        <w:ind w:left="340" w:hanging="332"/>
        <w:spacing w:after="0" w:line="250" w:lineRule="auto"/>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380,967 shares of Class A common stock held of record by Carl Eschenbach and Ana Eschenbach Trustees Under Agreement 4/15/2014, the Eschenbach Family Trust as of March 31, 2020.</w:t>
      </w:r>
    </w:p>
    <w:p>
      <w:pPr>
        <w:ind w:left="320" w:hanging="312"/>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487 shares of Class A common stock and 1,202,720 shares of Class B common stock held of record by Mr. Gassner as of March 31, 2020.</w:t>
      </w:r>
    </w:p>
    <w:p>
      <w:pPr>
        <w:spacing w:after="0" w:line="32" w:lineRule="exact"/>
        <w:rPr>
          <w:rFonts w:ascii="Arial" w:cs="Arial" w:eastAsia="Arial" w:hAnsi="Arial"/>
          <w:sz w:val="16"/>
          <w:szCs w:val="16"/>
          <w:color w:val="auto"/>
        </w:rPr>
      </w:pPr>
    </w:p>
    <w:p>
      <w:pPr>
        <w:ind w:left="340" w:hanging="332"/>
        <w:spacing w:after="0" w:line="250" w:lineRule="auto"/>
        <w:tabs>
          <w:tab w:leader="none" w:pos="3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96,875 shares of Class B common stock subject to options exercisable within 60 days of March 31, 2020, of which 56,250 shares of Class B common stock are vested as of such date.</w:t>
      </w:r>
    </w:p>
    <w:p>
      <w:pPr>
        <w:ind w:left="320" w:hanging="312"/>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McMaster joined our Board on May 6, 2020.</w:t>
      </w:r>
    </w:p>
    <w:p>
      <w:pPr>
        <w:spacing w:after="0" w:line="20" w:lineRule="exact"/>
        <w:rPr>
          <w:rFonts w:ascii="Arial" w:cs="Arial" w:eastAsia="Arial" w:hAnsi="Arial"/>
          <w:sz w:val="17"/>
          <w:szCs w:val="17"/>
          <w:color w:val="auto"/>
        </w:rPr>
      </w:pPr>
    </w:p>
    <w:p>
      <w:pPr>
        <w:jc w:val="both"/>
        <w:ind w:left="340" w:hanging="332"/>
        <w:spacing w:after="0" w:line="250" w:lineRule="auto"/>
        <w:tabs>
          <w:tab w:leader="none" w:pos="3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(i) 1,056,960 shares of Class B common stock held of record by Dan &amp; Zoe Scheinman Trust Dated 2/23/01, for which Mr. Scheinman serves as trustee, (ii) 1,689,412 shares of Class B common stock held of record by The 2017 Scheinman Irrevocable Trust, for which Mr. Scheinman serves as trustee and (iii) 100,000 shares of Class B common stock subject to options exercisable within 60 days of March 31, 2020, of which 33,333 shares of Class B common stock are vested as of such date.</w:t>
      </w:r>
    </w:p>
    <w:p>
      <w:pPr>
        <w:spacing w:after="0" w:line="1" w:lineRule="exact"/>
        <w:rPr>
          <w:rFonts w:ascii="Arial" w:cs="Arial" w:eastAsia="Arial" w:hAnsi="Arial"/>
          <w:sz w:val="18"/>
          <w:szCs w:val="18"/>
          <w:color w:val="auto"/>
        </w:rPr>
      </w:pPr>
    </w:p>
    <w:p>
      <w:pPr>
        <w:ind w:left="340" w:right="20" w:hanging="332"/>
        <w:spacing w:after="0" w:line="281" w:lineRule="auto"/>
        <w:tabs>
          <w:tab w:leader="none" w:pos="32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143,462 shares of Class A common stock held of record by Mr. Subotovsky and the shares of Class B common stock listed in footnote 1 above. Mr. Subotovsky is a member of EEP III and shares voting and investment control with respect to the shares held by the Emergence Entities.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Consists of 85,908 shares of Class B common stock held of record by Mr. Swanson.</w:t>
      </w:r>
    </w:p>
    <w:p>
      <w:pPr>
        <w:spacing w:after="0" w:line="20" w:lineRule="exact"/>
        <w:rPr>
          <w:rFonts w:ascii="Arial" w:cs="Arial" w:eastAsia="Arial" w:hAnsi="Arial"/>
          <w:sz w:val="17"/>
          <w:szCs w:val="17"/>
          <w:color w:val="auto"/>
        </w:rPr>
      </w:pPr>
    </w:p>
    <w:p>
      <w:pPr>
        <w:jc w:val="both"/>
        <w:ind w:left="340" w:hanging="332"/>
        <w:spacing w:after="0" w:line="250" w:lineRule="auto"/>
        <w:tabs>
          <w:tab w:leader="none" w:pos="3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Consists of 27,912 shares of Class A common stock held of record by Kelly Steckelberg Trust dated 7/29/2006 and 1,084,380 shares of Class B common stock subject to options exercisable within 60 days of March 31, 2020 held by Ms. Steckelberg, of which 772,500 shares of Class B common stock are vested as of such date.</w:t>
      </w:r>
    </w:p>
    <w:p>
      <w:pPr>
        <w:spacing w:after="0" w:line="1" w:lineRule="exact"/>
        <w:rPr>
          <w:rFonts w:ascii="Arial" w:cs="Arial" w:eastAsia="Arial" w:hAnsi="Arial"/>
          <w:sz w:val="18"/>
          <w:szCs w:val="18"/>
          <w:color w:val="auto"/>
        </w:rPr>
      </w:pPr>
    </w:p>
    <w:p>
      <w:pPr>
        <w:jc w:val="both"/>
        <w:ind w:left="340" w:hanging="332"/>
        <w:spacing w:after="0" w:line="302" w:lineRule="auto"/>
        <w:tabs>
          <w:tab w:leader="none" w:pos="32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(i) 67,412,044 shares of Class B common stock beneficially owned by our current executive officers and directors, of which 375,000 shares of Class B common stock may be repurchased by us at the original purchase price as of March 31, 2020, and (ii) 1,799,650 shares of Class B common stock subject to options exercisable within 60 days of March 31, 2020, of which 1,298,578 shares of Class B common stock are vested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21" w:right="339" w:bottom="1440" w:gutter="0" w:footer="0" w:header="0"/>
        </w:sectPr>
      </w:pPr>
    </w:p>
    <w:bookmarkStart w:id="39" w:name="page40"/>
    <w:bookmarkEnd w:id="39"/>
    <w:p>
      <w:pPr>
        <w:spacing w:after="0" w:line="19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a written related person transaction policy that sets forth our procedures for the identification, review, consideration and approval or ratification of related person transactions.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considered related person transactions under this policy. A transaction, arrangement or relationship in which a related person’s participation is solely due to such related person’s position as a director of an entity that is participating in such transaction, arrangement or relationship would not be considered a related party transaction under this policy. A related person is any executive officer, director or beneficial owner of more than 5% of any class of our voting securities, including any of their immediate family members and any entity controlled by such persons.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the Audit Committee for review, consideration and approval or ratification. The presentation must include a description of, among other things: all of the parties to the transaction; the material facts of the proposed transaction; the interests, direct and indirect, of the related persons; the purpose of the transaction; the benefits to us of the transaction; whether the transaction is on terms that are comparable to the terms available to or from, as the case may be, an unrelated third party or to or from employees generally; and management’s recommendation with respect to the proposed transaction.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following is a summary of transactions since February 1, 2019,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the sections titled “Executive Compensation” and “Director Compensation—Non-Employee Director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party to an amended and restated investors’ rights agreement which provides, among other things, that certain holders of our capital stock, including Eric S. Yuan, Bucantini Enterprises Limited, entities affiliated with Emergence Capital and entities affiliated with Sequoia Capital, have the right to demand that we file a registration statement or request that their shares of our capital stock be included on a registration statement that we are otherwise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Veeva Systems, Inc.</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September 2016, we entered into a service agreement with Veeva Systems Inc. ("Veeva"), a cloud-based business solutions company. The chief executive officer of Veeva serves as one of our directors. Revenue recognized from Veeva was $1.3 million for the fiscal year ended January 31, 2020.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84"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amended and restated certificate of incorporation provides that we are authorized to indemnify our directors and officers to the fullest extent permitted by Delaware law. Our amended and restated bylaws provide that we are required to indemnify our directors and executive officers to the fullest extent permitted by Delaware law. Our amended and restated bylaws also provide that, upon satisfaction of certain conditions, we are required to advance expenses incurred by a director or executive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also provide our board of directors with discretion to indemnify our other officers and employees when determined appropriate by our board of directors.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 things, attorneys’ fees), judgments, fines and settlement amounts incurred by any of these individuals in any action or proceeding. We believe that these provisions and agreements are necessary to attract and retain qualified persons as directors and officers. We also maintain customary directors’ and officers’ liability insurance.</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Further, we have entered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 year. Based on our review of forms we received, or written representations from reporting persons stating that they were not required to file these forms, we believe that during our fiscal year ended January 31, 2020, all Section 16(a) filing requirements were satisfied on a timely basis, with the exception of Roy Benhorin who failed to timely report the acquisition of an award of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Annual Report and SEC Filings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financial statements for our fiscal year ended January 31, 2020 are included in our Annual Report on Form 10-K, which we will make available to stockholders at the same time as this proxy statement. This proxy statement and our annual report are posted on our website at investors.zoom.us and are available from the SEC at its website at www.sec.gov.</w:t>
      </w:r>
    </w:p>
    <w:p>
      <w:pPr>
        <w:spacing w:after="0" w:line="18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b w:val="1"/>
          <w:bCs w:val="1"/>
          <w:color w:val="auto"/>
        </w:rPr>
        <w:t>A copy of our Annual Report to the Securities and Exchange Commission on Form 10-K for the fiscal year ended January 31, 2020 is available without charge upon written request to Zoom Video Communications, Inc., Attention: Investor Relations, 55 Almaden Blvd., 6</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Floor, San Jose, California 95113 or via email to investors@zoom.us.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234"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THE BOARD OF DIRECTORS</w:t>
      </w:r>
    </w:p>
    <w:p>
      <w:pPr>
        <w:spacing w:after="0" w:line="33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San Jose, California</w:t>
      </w:r>
    </w:p>
    <w:p>
      <w:pPr>
        <w:spacing w:after="0" w:line="6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May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833755</wp:posOffset>
            </wp:positionH>
            <wp:positionV relativeFrom="page">
              <wp:posOffset>911860</wp:posOffset>
            </wp:positionV>
            <wp:extent cx="5880735" cy="7500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80735" cy="750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9019"/>
          </w:cols>
          <w:pgMar w:left="1440" w:top="1440" w:right="1440"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911860</wp:posOffset>
            </wp:positionV>
            <wp:extent cx="5863590" cy="7500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0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lvl w:ilvl="1">
      <w:lvlJc w:val="left"/>
      <w:lvlText w:val="(%2)"/>
      <w:numFmt w:val="decimal"/>
      <w:start w:val="2"/>
    </w:lvl>
  </w:abstractNum>
  <w:abstractNum w:abstractNumId="2">
    <w:nsid w:val="62BBD95A"/>
    <w:multiLevelType w:val="hybridMultilevel"/>
    <w:lvl w:ilvl="0">
      <w:lvlJc w:val="left"/>
      <w:lvlText w:val="☐"/>
      <w:numFmt w:val="bullet"/>
      <w:start w:val="1"/>
    </w:lvl>
    <w:lvl w:ilvl="1">
      <w:lvlJc w:val="left"/>
      <w:lvlText w:val="(%2)"/>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lvl w:ilvl="1">
      <w:lvlJc w:val="left"/>
      <w:lvlText w:val="%2."/>
      <w:numFmt w:val="lowerLetter"/>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5"/>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3"/>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3"/>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2020-05-07T16:08:28Z</dcterms:created>
  <dcterms:modified xsi:type="dcterms:W3CDTF">2020-05-07T16:08:28Z</dcterms:modified>
</cp:coreProperties>
</file>