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Steckelberg Kelly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60"/>
        <w:spacing w:after="0" w:line="40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SAN JOSE</w:t>
            </w:r>
          </w:p>
        </w:tc>
        <w:tc>
          <w:tcPr>
            <w:tcW w:w="1080" w:type="dxa"/>
            <w:vAlign w:val="bottom"/>
          </w:tcPr>
          <w:p>
            <w:pPr>
              <w:ind w:left="2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20" w:type="dxa"/>
            <w:vAlign w:val="bottom"/>
            <w:tcBorders>
              <w:bottom w:val="single" w:sz="8" w:color="0000EE"/>
            </w:tcBorders>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80"/>
              <w:spacing w:after="0"/>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12/18/2019</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540" w:type="dxa"/>
            <w:vAlign w:val="bottom"/>
            <w:gridSpan w:val="2"/>
            <w:vMerge w:val="restart"/>
          </w:tcPr>
          <w:p>
            <w:pPr>
              <w:ind w:left="540"/>
              <w:spacing w:after="0"/>
              <w:rPr>
                <w:sz w:val="20"/>
                <w:szCs w:val="20"/>
                <w:color w:val="auto"/>
              </w:rPr>
            </w:pPr>
            <w:r>
              <w:rPr>
                <w:rFonts w:ascii="Arial" w:cs="Arial" w:eastAsia="Arial" w:hAnsi="Arial"/>
                <w:sz w:val="18"/>
                <w:szCs w:val="18"/>
                <w:color w:val="0000FF"/>
              </w:rPr>
              <w:t>12/18/2019</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ind w:left="140"/>
              <w:spacing w:after="0"/>
              <w:rPr>
                <w:sz w:val="20"/>
                <w:szCs w:val="20"/>
                <w:color w:val="auto"/>
              </w:rPr>
            </w:pPr>
            <w:r>
              <w:rPr>
                <w:rFonts w:ascii="Arial" w:cs="Arial" w:eastAsia="Arial" w:hAnsi="Arial"/>
                <w:sz w:val="18"/>
                <w:szCs w:val="18"/>
                <w:color w:val="0000FF"/>
              </w:rPr>
              <w:t>7,472</w:t>
            </w: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920" w:type="dxa"/>
            <w:vAlign w:val="bottom"/>
            <w:gridSpan w:val="3"/>
            <w:vMerge w:val="restart"/>
          </w:tcPr>
          <w:p>
            <w:pPr>
              <w:ind w:left="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67.6271</w:t>
            </w:r>
            <w:r>
              <w:rPr>
                <w:rFonts w:ascii="Arial" w:cs="Arial" w:eastAsia="Arial" w:hAnsi="Arial"/>
                <w:sz w:val="22"/>
                <w:szCs w:val="22"/>
                <w:color w:val="008000"/>
                <w:w w:val="92"/>
                <w:vertAlign w:val="superscript"/>
              </w:rPr>
              <w:t>(2)</w:t>
            </w:r>
          </w:p>
        </w:tc>
        <w:tc>
          <w:tcPr>
            <w:tcW w:w="1200" w:type="dxa"/>
            <w:vAlign w:val="bottom"/>
            <w:gridSpan w:val="2"/>
            <w:vMerge w:val="restart"/>
          </w:tcPr>
          <w:p>
            <w:pPr>
              <w:ind w:left="220"/>
              <w:spacing w:after="0"/>
              <w:rPr>
                <w:sz w:val="20"/>
                <w:szCs w:val="20"/>
                <w:color w:val="auto"/>
              </w:rPr>
            </w:pPr>
            <w:r>
              <w:rPr>
                <w:rFonts w:ascii="Arial" w:cs="Arial" w:eastAsia="Arial" w:hAnsi="Arial"/>
                <w:sz w:val="18"/>
                <w:szCs w:val="18"/>
                <w:color w:val="0000FF"/>
              </w:rPr>
              <w:t>214,708</w:t>
            </w:r>
            <w:r>
              <w:rPr>
                <w:rFonts w:ascii="Arial" w:cs="Arial" w:eastAsia="Arial" w:hAnsi="Arial"/>
                <w:sz w:val="22"/>
                <w:szCs w:val="22"/>
                <w:color w:val="008000"/>
                <w:vertAlign w:val="superscript"/>
              </w:rPr>
              <w:t>(3)</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540" w:type="dxa"/>
            <w:vAlign w:val="bottom"/>
            <w:gridSpan w:val="2"/>
            <w:vMerge w:val="restart"/>
          </w:tcPr>
          <w:p>
            <w:pPr>
              <w:ind w:left="540"/>
              <w:spacing w:after="0"/>
              <w:rPr>
                <w:sz w:val="20"/>
                <w:szCs w:val="20"/>
                <w:color w:val="auto"/>
              </w:rPr>
            </w:pPr>
            <w:r>
              <w:rPr>
                <w:rFonts w:ascii="Arial" w:cs="Arial" w:eastAsia="Arial" w:hAnsi="Arial"/>
                <w:sz w:val="18"/>
                <w:szCs w:val="18"/>
                <w:color w:val="0000FF"/>
              </w:rPr>
              <w:t>12/18/2019</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ind w:left="140"/>
              <w:spacing w:after="0"/>
              <w:rPr>
                <w:sz w:val="20"/>
                <w:szCs w:val="20"/>
                <w:color w:val="auto"/>
              </w:rPr>
            </w:pPr>
            <w:r>
              <w:rPr>
                <w:rFonts w:ascii="Arial" w:cs="Arial" w:eastAsia="Arial" w:hAnsi="Arial"/>
                <w:sz w:val="18"/>
                <w:szCs w:val="18"/>
                <w:color w:val="0000FF"/>
              </w:rPr>
              <w:t>3,595</w:t>
            </w: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920" w:type="dxa"/>
            <w:vAlign w:val="bottom"/>
            <w:gridSpan w:val="3"/>
            <w:vMerge w:val="restart"/>
          </w:tcPr>
          <w:p>
            <w:pPr>
              <w:ind w:left="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66.3929</w:t>
            </w:r>
            <w:r>
              <w:rPr>
                <w:rFonts w:ascii="Arial" w:cs="Arial" w:eastAsia="Arial" w:hAnsi="Arial"/>
                <w:sz w:val="22"/>
                <w:szCs w:val="22"/>
                <w:color w:val="008000"/>
                <w:w w:val="92"/>
                <w:vertAlign w:val="superscript"/>
              </w:rPr>
              <w:t>(5)</w:t>
            </w:r>
          </w:p>
        </w:tc>
        <w:tc>
          <w:tcPr>
            <w:tcW w:w="1200" w:type="dxa"/>
            <w:vAlign w:val="bottom"/>
            <w:gridSpan w:val="2"/>
            <w:vMerge w:val="restart"/>
          </w:tcPr>
          <w:p>
            <w:pPr>
              <w:ind w:left="240"/>
              <w:spacing w:after="0"/>
              <w:rPr>
                <w:sz w:val="20"/>
                <w:szCs w:val="20"/>
                <w:color w:val="auto"/>
              </w:rPr>
            </w:pPr>
            <w:r>
              <w:rPr>
                <w:rFonts w:ascii="Arial" w:cs="Arial" w:eastAsia="Arial" w:hAnsi="Arial"/>
                <w:sz w:val="18"/>
                <w:szCs w:val="18"/>
                <w:color w:val="0000FF"/>
              </w:rPr>
              <w:t>211,113</w:t>
            </w:r>
            <w:r>
              <w:rPr>
                <w:rFonts w:ascii="Arial" w:cs="Arial" w:eastAsia="Arial" w:hAnsi="Arial"/>
                <w:sz w:val="22"/>
                <w:szCs w:val="22"/>
                <w:color w:val="008000"/>
                <w:vertAlign w:val="superscript"/>
              </w:rPr>
              <w:t>(3)</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Rule 10b5-1 trading plan adopted by the Reporting Person.</w:t>
      </w:r>
    </w:p>
    <w:p>
      <w:pPr>
        <w:spacing w:after="0" w:line="41"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$67.28 to $68.11.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4"/>
          <w:szCs w:val="14"/>
          <w:color w:val="008000"/>
        </w:rPr>
      </w:pPr>
    </w:p>
    <w:p>
      <w:pPr>
        <w:ind w:left="40" w:right="1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694 shares of Class A Common Stock acquired pursuant to the Zoom Video Communications, Inc. 2019 Employee Stock Purchase Plan ("ESPP"), for the purchase period of April 17, 2019 to December 12, 2019. This transaction is exempt from Rule 16b-3(c). In accordance with the ESPP, these shares were purchased at a price equal to 85% of the closing price of Issuer's Class A Common Stock on April 17, 2019.</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held of record by Kelly Steckelberg Trust dated July 29, 2006, for which the Reporting Person serves as trustee.</w:t>
      </w:r>
    </w:p>
    <w:p>
      <w:pPr>
        <w:spacing w:after="0" w:line="41"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$66.16 to $67.16.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Aparna Bawa,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12/20/2019</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9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2019-12-20T18:00:35Z</dcterms:created>
  <dcterms:modified xsi:type="dcterms:W3CDTF">2019-12-20T18:00:35Z</dcterms:modified>
</cp:coreProperties>
</file>