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7046595" cy="570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70166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Azus Ryan</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280"/>
        <w:spacing w:after="0" w:line="379"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78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5"/>
                <w:szCs w:val="5"/>
                <w:color w:val="auto"/>
              </w:rPr>
            </w:pPr>
          </w:p>
        </w:tc>
        <w:tc>
          <w:tcPr>
            <w:tcW w:w="134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Chief Revenue Officer</w:t>
            </w:r>
          </w:p>
        </w:tc>
        <w:tc>
          <w:tcPr>
            <w:tcW w:w="0" w:type="dxa"/>
            <w:vAlign w:val="bottom"/>
          </w:tcPr>
          <w:p>
            <w:pPr>
              <w:spacing w:after="0"/>
              <w:rPr>
                <w:sz w:val="1"/>
                <w:szCs w:val="1"/>
                <w:color w:val="auto"/>
              </w:rPr>
            </w:pPr>
          </w:p>
        </w:tc>
      </w:tr>
      <w:tr>
        <w:trPr>
          <w:trHeight w:val="217"/>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04/08/2022</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80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0"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7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rPr>
              <w:t>139</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04/08/2022</w:t>
            </w:r>
          </w:p>
        </w:tc>
        <w:tc>
          <w:tcPr>
            <w:tcW w:w="1080" w:type="dxa"/>
            <w:vAlign w:val="bottom"/>
          </w:tcPr>
          <w:p>
            <w:pPr>
              <w:spacing w:after="0"/>
              <w:rPr>
                <w:sz w:val="12"/>
                <w:szCs w:val="12"/>
                <w:color w:val="auto"/>
              </w:rPr>
            </w:pPr>
          </w:p>
        </w:tc>
        <w:tc>
          <w:tcPr>
            <w:tcW w:w="8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jc w:val="right"/>
              <w:ind w:right="81"/>
              <w:spacing w:after="0" w:line="142" w:lineRule="exact"/>
              <w:rPr>
                <w:sz w:val="20"/>
                <w:szCs w:val="20"/>
                <w:color w:val="auto"/>
              </w:rPr>
            </w:pPr>
            <w:r>
              <w:rPr>
                <w:rFonts w:ascii="Times New Roman" w:cs="Times New Roman" w:eastAsia="Times New Roman" w:hAnsi="Times New Roman"/>
                <w:sz w:val="13"/>
                <w:szCs w:val="13"/>
                <w:color w:val="0000FF"/>
              </w:rPr>
              <w:t>139</w:t>
            </w: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139</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9"/>
              </w:rPr>
              <w:t>6,315</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04/08/2022</w:t>
            </w:r>
          </w:p>
        </w:tc>
        <w:tc>
          <w:tcPr>
            <w:tcW w:w="1080" w:type="dxa"/>
            <w:vAlign w:val="bottom"/>
          </w:tcPr>
          <w:p>
            <w:pPr>
              <w:spacing w:after="0"/>
              <w:rPr>
                <w:sz w:val="12"/>
                <w:szCs w:val="12"/>
                <w:color w:val="auto"/>
              </w:rPr>
            </w:pPr>
          </w:p>
        </w:tc>
        <w:tc>
          <w:tcPr>
            <w:tcW w:w="8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jc w:val="right"/>
              <w:ind w:right="21"/>
              <w:spacing w:after="0" w:line="142" w:lineRule="exact"/>
              <w:rPr>
                <w:sz w:val="20"/>
                <w:szCs w:val="20"/>
                <w:color w:val="auto"/>
              </w:rPr>
            </w:pPr>
            <w:r>
              <w:rPr>
                <w:rFonts w:ascii="Times New Roman" w:cs="Times New Roman" w:eastAsia="Times New Roman" w:hAnsi="Times New Roman"/>
                <w:sz w:val="13"/>
                <w:szCs w:val="13"/>
                <w:color w:val="0000FF"/>
              </w:rPr>
              <w:t>6,315</w:t>
            </w: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5"/>
              </w:rPr>
              <w:t>6,315</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7"/>
              </w:rPr>
              <w:t>131,250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131,250</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rPr>
              <w:t>225</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225</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June 8, 2022.</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3" w:lineRule="exact"/>
        <w:rPr>
          <w:rFonts w:ascii="Times New Roman" w:cs="Times New Roman" w:eastAsia="Times New Roman" w:hAnsi="Times New Roman"/>
          <w:sz w:val="13"/>
          <w:szCs w:val="13"/>
          <w:color w:val="008000"/>
        </w:rPr>
      </w:pPr>
    </w:p>
    <w:p>
      <w:pPr>
        <w:ind w:left="40" w:right="7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September 10, 2020 and the remaining units will vest in equal quarterly installments thereafter, subject to theReporting Person's Continuous Service (as defined in the Issuer's 2019 Equity Incentive Plan) on each such vesting date. The restricted stock units are subject to accelerated vesting in the event of a termination of employment of the Reporting Person under certain circumstances in connection with a change in control of the Issuer.</w:t>
      </w:r>
    </w:p>
    <w:p>
      <w:pPr>
        <w:spacing w:after="0" w:line="26"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1"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8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04/12/2022</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87064"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2022-04-12T19:11:32Z</dcterms:created>
  <dcterms:modified xsi:type="dcterms:W3CDTF">2022-04-12T19:11:32Z</dcterms:modified>
</cp:coreProperties>
</file>