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w:t>
      </w:r>
    </w:p>
    <w:p>
      <w:pPr>
        <w:pStyle w:val="TextBody"/>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w:t>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 Securities Exchange Act of 1934</w:t>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February 28, 2022</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w:t>
      </w:r>
    </w:p>
    <w:p>
      <w:pPr>
        <w:pStyle w:val="TextBody"/>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Zoom Video Communications, Inc.</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w:t>
      </w:r>
    </w:p>
    <w:tbl>
      <w:tblPr>
        <w:tblW w:w="5668" w:type="dxa"/>
        <w:jc w:val="center"/>
        <w:tblInd w:w="0" w:type="dxa"/>
        <w:tblCellMar>
          <w:top w:w="28" w:type="dxa"/>
          <w:left w:w="28" w:type="dxa"/>
          <w:bottom w:w="28" w:type="dxa"/>
          <w:right w:w="28" w:type="dxa"/>
        </w:tblCellMar>
      </w:tblPr>
      <w:tblGrid>
        <w:gridCol w:w="776"/>
        <w:gridCol w:w="680"/>
        <w:gridCol w:w="688"/>
        <w:gridCol w:w="679"/>
        <w:gridCol w:w="679"/>
        <w:gridCol w:w="682"/>
        <w:gridCol w:w="434"/>
        <w:gridCol w:w="434"/>
        <w:gridCol w:w="616"/>
      </w:tblGrid>
      <w:tr>
        <w:trPr/>
        <w:tc>
          <w:tcPr>
            <w:tcW w:w="776"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Delaware</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001-38865</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61-1648780</w:t>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spacing w:lineRule="auto" w:line="288" w:before="50" w:after="283"/>
        <w:jc w:val="center"/>
        <w:rPr>
          <w:rFonts w:ascii="Times New Roman;sans-serif" w:hAnsi="Times New Roman;sans-serif"/>
          <w:b/>
          <w:color w:val="000000"/>
          <w:sz w:val="22"/>
        </w:rPr>
      </w:pPr>
      <w:r>
        <w:rPr>
          <w:rFonts w:ascii="Times New Roman;sans-serif" w:hAnsi="Times New Roman;sans-serif"/>
          <w:b/>
          <w:color w:val="000000"/>
          <w:sz w:val="22"/>
        </w:rPr>
        <w:t>55 Almaden Boulevard, 6th Floor</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San Jose, California 95113</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(888) 799-9666</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 Applicable</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CellMar>
          <w:top w:w="28" w:type="dxa"/>
          <w:left w:w="28" w:type="dxa"/>
          <w:bottom w:w="28" w:type="dxa"/>
          <w:right w:w="28" w:type="dxa"/>
        </w:tblCellMar>
      </w:tblPr>
      <w:tblGrid>
        <w:gridCol w:w="124"/>
        <w:gridCol w:w="109"/>
        <w:gridCol w:w="109"/>
        <w:gridCol w:w="2685"/>
        <w:gridCol w:w="2685"/>
        <w:gridCol w:w="381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381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534" w:type="dxa"/>
        <w:jc w:val="left"/>
        <w:tblInd w:w="0" w:type="dxa"/>
        <w:tblCellMar>
          <w:top w:w="28" w:type="dxa"/>
          <w:left w:w="28" w:type="dxa"/>
          <w:bottom w:w="28" w:type="dxa"/>
          <w:right w:w="28" w:type="dxa"/>
        </w:tblCellMar>
      </w:tblPr>
      <w:tblGrid>
        <w:gridCol w:w="1373"/>
        <w:gridCol w:w="1210"/>
        <w:gridCol w:w="1228"/>
        <w:gridCol w:w="484"/>
        <w:gridCol w:w="484"/>
        <w:gridCol w:w="486"/>
        <w:gridCol w:w="956"/>
        <w:gridCol w:w="956"/>
        <w:gridCol w:w="1357"/>
      </w:tblGrid>
      <w:tr>
        <w:trPr/>
        <w:tc>
          <w:tcPr>
            <w:tcW w:w="1373"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38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81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$0.001 par value per share</w:t>
            </w:r>
          </w:p>
        </w:tc>
        <w:tc>
          <w:tcPr>
            <w:tcW w:w="145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ZM</w:t>
            </w:r>
          </w:p>
        </w:tc>
        <w:tc>
          <w:tcPr>
            <w:tcW w:w="326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24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February 28, 2022, Zoom Video Communications, Inc. (the “Company”) issued a press release announcing its financial results for the three months and the fiscal year ended January 31, 2022.  A copy of the press release is furnished as Exhibit 99.1 to this report and is incorporated by reference.</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7991" w:type="dxa"/>
        <w:jc w:val="left"/>
        <w:tblInd w:w="0" w:type="dxa"/>
        <w:tblCellMar>
          <w:top w:w="28" w:type="dxa"/>
          <w:left w:w="28" w:type="dxa"/>
          <w:bottom w:w="28" w:type="dxa"/>
          <w:right w:w="28" w:type="dxa"/>
        </w:tblCellMar>
      </w:tblPr>
      <w:tblGrid>
        <w:gridCol w:w="385"/>
        <w:gridCol w:w="338"/>
        <w:gridCol w:w="341"/>
        <w:gridCol w:w="109"/>
        <w:gridCol w:w="109"/>
        <w:gridCol w:w="109"/>
        <w:gridCol w:w="1929"/>
        <w:gridCol w:w="1929"/>
        <w:gridCol w:w="2742"/>
      </w:tblGrid>
      <w:tr>
        <w:trPr/>
        <w:tc>
          <w:tcPr>
            <w:tcW w:w="385"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9" w:type="dxa"/>
            <w:tcBorders/>
            <w:shd w:fill="auto" w:val="clear"/>
            <w:vAlign w:val="center"/>
          </w:tcPr>
          <w:p>
            <w:pPr>
              <w:pStyle w:val="TableContents"/>
              <w:spacing w:before="0" w:after="283"/>
              <w:rPr>
                <w:sz w:val="4"/>
                <w:szCs w:val="4"/>
              </w:rPr>
            </w:pPr>
            <w:r>
              <w:rPr>
                <w:sz w:val="4"/>
                <w:szCs w:val="4"/>
              </w:rPr>
            </w:r>
          </w:p>
        </w:tc>
        <w:tc>
          <w:tcPr>
            <w:tcW w:w="1929" w:type="dxa"/>
            <w:tcBorders/>
            <w:shd w:fill="auto" w:val="clear"/>
            <w:vAlign w:val="center"/>
          </w:tcPr>
          <w:p>
            <w:pPr>
              <w:pStyle w:val="TableContents"/>
              <w:spacing w:before="0" w:after="283"/>
              <w:rPr>
                <w:sz w:val="4"/>
                <w:szCs w:val="4"/>
              </w:rPr>
            </w:pPr>
            <w:r>
              <w:rPr>
                <w:sz w:val="4"/>
                <w:szCs w:val="4"/>
              </w:rPr>
            </w:r>
          </w:p>
        </w:tc>
        <w:tc>
          <w:tcPr>
            <w:tcW w:w="2742" w:type="dxa"/>
            <w:tcBorders/>
            <w:shd w:fill="auto" w:val="clear"/>
            <w:vAlign w:val="center"/>
          </w:tcPr>
          <w:p>
            <w:pPr>
              <w:pStyle w:val="TableContents"/>
              <w:spacing w:before="0" w:after="283"/>
              <w:rPr>
                <w:sz w:val="4"/>
                <w:szCs w:val="4"/>
              </w:rPr>
            </w:pPr>
            <w:r>
              <w:rPr>
                <w:sz w:val="4"/>
                <w:szCs w:val="4"/>
              </w:rPr>
            </w:r>
          </w:p>
        </w:tc>
      </w:tr>
      <w:tr>
        <w:trPr/>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w:anchor="zm-20220228ex991.htm">
              <w:r>
                <w:rPr>
                  <w:rStyle w:val="InternetLink"/>
                  <w:rFonts w:ascii="Times New Roman;sans-serif" w:hAnsi="Times New Roman;sans-serif"/>
                  <w:b w:val="false"/>
                  <w:color w:val="0000FF"/>
                  <w:sz w:val="20"/>
                  <w:u w:val="single"/>
                </w:rPr>
                <w:t>Press release dated February 28, 2022 of Zoom Video Communications, Inc.</w:t>
              </w:r>
            </w:hyperlink>
          </w:p>
        </w:tc>
      </w:tr>
      <w:tr>
        <w:trPr/>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before="0" w:after="0"/>
        <w:ind w:left="0" w:right="0" w:hanging="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5703" w:type="dxa"/>
        <w:jc w:val="left"/>
        <w:tblInd w:w="0" w:type="dxa"/>
        <w:tblCellMar>
          <w:top w:w="28" w:type="dxa"/>
          <w:left w:w="28" w:type="dxa"/>
          <w:bottom w:w="28" w:type="dxa"/>
          <w:right w:w="28" w:type="dxa"/>
        </w:tblCellMar>
      </w:tblPr>
      <w:tblGrid>
        <w:gridCol w:w="792"/>
        <w:gridCol w:w="696"/>
        <w:gridCol w:w="702"/>
        <w:gridCol w:w="481"/>
        <w:gridCol w:w="481"/>
        <w:gridCol w:w="481"/>
        <w:gridCol w:w="606"/>
        <w:gridCol w:w="606"/>
        <w:gridCol w:w="858"/>
      </w:tblGrid>
      <w:tr>
        <w:trPr/>
        <w:tc>
          <w:tcPr>
            <w:tcW w:w="79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Zoom Video Communications, Inc.</w:t>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28, 2022</w:t>
            </w:r>
          </w:p>
        </w:tc>
        <w:tc>
          <w:tcPr>
            <w:tcW w:w="14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Steckelberg</w:t>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w:t>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ind w:left="0" w:right="0" w:firstLine="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99.1</w:t>
      </w:r>
    </w:p>
    <w:p>
      <w:pPr>
        <w:pStyle w:val="TextBody"/>
        <w:spacing w:lineRule="auto" w:line="288" w:before="240" w:after="283"/>
        <w:rPr>
          <w:rFonts w:ascii="Times New Roman;sans-serif" w:hAnsi="Times New Roman;sans-serif"/>
          <w:b/>
          <w:color w:val="000000"/>
          <w:sz w:val="20"/>
          <w:u w:val="single"/>
        </w:rPr>
      </w:pPr>
      <w:r>
        <w:rPr>
          <w:rFonts w:ascii="Times New Roman;sans-serif" w:hAnsi="Times New Roman;sans-serif"/>
          <w:b/>
          <w:color w:val="000000"/>
          <w:sz w:val="20"/>
          <w:u w:val="single"/>
        </w:rPr>
        <w:t>Zoom Video Communications Reports Fourth Quarter and Fiscal Year 2022 Financial Results</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Year-end number of customers contributing more than $100,000 in trailing 12 months revenue up approximately 66% year over year</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Fourth quarter total revenue of $1,071.4 million, up 21% year over year; full fiscal year total revenue of $4,099.9 million, up 55% year over year</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Fourth quarter GAAP income from operations of $251.8 million, down 2% year over year; full fiscal year GAAP income from operations of $1,063.6 million, up 61% year over year</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Fourth quarter non-GAAP income from operations of $420.3 million, up 16% year over year; full fiscal year non-GAAP income from operations of $1,657.1 million, up 69% year over year</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Authorization to repurchase up to $1.0 billion of Zoom’s Class A common stock</w:t>
      </w:r>
    </w:p>
    <w:p>
      <w:pPr>
        <w:pStyle w:val="TextBody"/>
        <w:spacing w:lineRule="auto" w:line="288" w:before="240" w:after="283"/>
        <w:rPr/>
      </w:pPr>
      <w:r>
        <w:rPr>
          <w:rFonts w:ascii="Times New Roman;sans-serif" w:hAnsi="Times New Roman;sans-serif"/>
          <w:b/>
          <w:color w:val="000000"/>
          <w:sz w:val="20"/>
        </w:rPr>
        <w:t>San Jose, California – </w:t>
      </w:r>
      <w:r>
        <w:rPr>
          <w:rFonts w:ascii="Times New Roman;sans-serif" w:hAnsi="Times New Roman;sans-serif"/>
          <w:b w:val="false"/>
          <w:color w:val="000000"/>
          <w:sz w:val="20"/>
        </w:rPr>
        <w:t>February 28, 2022 – Zoom Video Communications, Inc. (NASDAQ: ZM), a leading provider of video-first unified communications, today announced financial results for the fourth quarter and fiscal year ended January 31, 2022.</w:t>
      </w:r>
    </w:p>
    <w:p>
      <w:pPr>
        <w:pStyle w:val="TextBody"/>
        <w:spacing w:before="0" w:after="0"/>
        <w:rPr/>
      </w:pPr>
      <w:r>
        <w:rPr/>
      </w:r>
    </w:p>
    <w:p>
      <w:pPr>
        <w:pStyle w:val="TextBody"/>
        <w:spacing w:lineRule="auto" w:line="276" w:before="0" w:after="0"/>
        <w:rPr>
          <w:color w:val="000000"/>
        </w:rPr>
      </w:pPr>
      <w:r>
        <w:rPr>
          <w:color w:val="000000"/>
        </w:rPr>
        <w:t>“</w:t>
      </w:r>
      <w:r>
        <w:rPr>
          <w:rFonts w:ascii="Times New Roman;sans-serif" w:hAnsi="Times New Roman;sans-serif"/>
          <w:b w:val="false"/>
          <w:color w:val="000000"/>
          <w:sz w:val="20"/>
        </w:rPr>
        <w:t>In fiscal year 2022, we delivered strong results with total revenue of more than $4 billion growing 55% year over year along with increased profitability and operating cash flow growth as our global customer base continued to grow and find new use cases for our broadening communications platform,” said Zoom founder and CEO, Eric S. Yuan. “Looking forward, we are addressing a large opportunity as we expect customers will continue to transform how they work and engage with their customers. It is apparent that businesses want a full communications platform that is integrated, secure, and easy to use. We are proud to lead the charge of the digital transformation for communications. To sustain and enhance our leadership position, in fiscal year 2023 we plan to build out our platform to further enrich the customer experience with new cloud-based technologies and expand our go-to-market motions, which we believe will enable us to drive future growth.”</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Fourth Quarter Fiscal Year 2022 Financial Highlights:</w:t>
      </w:r>
    </w:p>
    <w:p>
      <w:pPr>
        <w:pStyle w:val="TextBody"/>
        <w:spacing w:lineRule="auto" w:line="288" w:before="240" w:after="283"/>
        <w:ind w:left="0" w:right="0" w:hanging="360"/>
        <w:rPr/>
      </w:pPr>
      <w:r>
        <w:rPr>
          <w:color w:val="000000"/>
        </w:rPr>
        <w:t>•</w:t>
      </w:r>
      <w:r>
        <w:rPr>
          <w:rFonts w:ascii="Times New Roman;sans-serif" w:hAnsi="Times New Roman;sans-serif"/>
          <w:b/>
          <w:color w:val="000000"/>
          <w:sz w:val="20"/>
        </w:rPr>
        <w:t>Revenue:</w:t>
      </w:r>
      <w:r>
        <w:rPr>
          <w:color w:val="000000"/>
        </w:rPr>
        <w:t xml:space="preserve"> </w:t>
      </w:r>
      <w:r>
        <w:rPr>
          <w:rFonts w:ascii="Times New Roman;sans-serif" w:hAnsi="Times New Roman;sans-serif"/>
          <w:b w:val="false"/>
          <w:color w:val="000000"/>
          <w:sz w:val="20"/>
        </w:rPr>
        <w:t>Total revenue for the quarter was $1,071.4 million, up 21% year over year.</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Income from Operations and Operating Margin:</w:t>
      </w:r>
      <w:r>
        <w:rPr>
          <w:color w:val="000000"/>
        </w:rPr>
        <w:t xml:space="preserve"> </w:t>
      </w:r>
      <w:r>
        <w:rPr>
          <w:rFonts w:ascii="Times New Roman;sans-serif" w:hAnsi="Times New Roman;sans-serif"/>
          <w:b w:val="false"/>
          <w:color w:val="000000"/>
          <w:sz w:val="20"/>
        </w:rPr>
        <w:t>GAAP income from operations for the quarter was $251.8 million, compared to GAAP income from operations of $256.1 million in the fourth quarter of fiscal year 2021. After adjusting for stock-based compensation expense and related payroll taxes, and acquisition-related expenses, non-GAAP income from operations for the fourth quarter was $420.3 million, up from $360.9 million in the fourth quarter of fiscal year 2021. For the fourth quarter, GAAP operating margin was 23.5% and non-GAAP operating margin was 39.2%.</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Net Income and Diluted Net Income Per Share:</w:t>
      </w:r>
      <w:r>
        <w:rPr>
          <w:color w:val="000000"/>
        </w:rPr>
        <w:t xml:space="preserve"> </w:t>
      </w:r>
      <w:r>
        <w:rPr>
          <w:rFonts w:ascii="Times New Roman;sans-serif" w:hAnsi="Times New Roman;sans-serif"/>
          <w:b w:val="false"/>
          <w:color w:val="000000"/>
          <w:sz w:val="20"/>
        </w:rPr>
        <w:t>GAAP net income attributable to common stockholders for the quarter was $490.5 million, or $1.60 per share, compared to GAAP net income attributable to common stockholders of $260.4 million, or $0.87 per share in the fourth quarter of fiscal year 2021.</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Non-GAAP net income for the quarter was $393.6 million, after adjusting for stock-based compensation expense and related payroll taxes, acquisition-related expenses, losses on strategic investments, income tax benefits from discrete activities, and undistributed earnings attributable to participating securities. Non-GAAP net income per share was $1.29. In the fourth quarter of fiscal year 2021, non-GAAP net income was $365.4 million, or $1.22 per share. </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 xml:space="preserve">Cash and Marketable Securities: </w:t>
      </w:r>
      <w:r>
        <w:rPr>
          <w:rFonts w:ascii="Times New Roman;sans-serif" w:hAnsi="Times New Roman;sans-serif"/>
          <w:b w:val="false"/>
          <w:color w:val="000000"/>
          <w:sz w:val="20"/>
        </w:rPr>
        <w:t>Total cash, cash equivalents, and marketable securities, excluding restricted cash, as of January 31, 2022 was $5,419.3 million.</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Cash Flow:</w:t>
      </w:r>
      <w:r>
        <w:rPr>
          <w:color w:val="000000"/>
        </w:rPr>
        <w:t xml:space="preserve"> </w:t>
      </w:r>
      <w:r>
        <w:rPr>
          <w:rFonts w:ascii="Times New Roman;sans-serif" w:hAnsi="Times New Roman;sans-serif"/>
          <w:b w:val="false"/>
          <w:color w:val="000000"/>
          <w:sz w:val="20"/>
        </w:rPr>
        <w:t>Net cash provided by operating activities was $209.4 million for the quarter, compared to $399.4 million in the fourth quarter of fiscal year 2021. Adjusted free cash flow, which is net cash provided by operating activities less purchases of property and equipment, plus litigation settlement payments, net, was $273.6 million, compared to $377.9 million in the fourth quarter of fiscal year 2021.</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Full Fiscal Year 2022 Financial Highlights:</w:t>
      </w:r>
    </w:p>
    <w:p>
      <w:pPr>
        <w:pStyle w:val="TextBody"/>
        <w:spacing w:lineRule="auto" w:line="288" w:before="240" w:after="283"/>
        <w:ind w:left="0" w:right="0" w:hanging="360"/>
        <w:rPr/>
      </w:pPr>
      <w:r>
        <w:rPr>
          <w:color w:val="000000"/>
        </w:rPr>
        <w:t>•</w:t>
      </w:r>
      <w:r>
        <w:rPr>
          <w:rFonts w:ascii="Times New Roman;sans-serif" w:hAnsi="Times New Roman;sans-serif"/>
          <w:b/>
          <w:color w:val="000000"/>
          <w:sz w:val="20"/>
        </w:rPr>
        <w:t>Revenue:</w:t>
      </w:r>
      <w:r>
        <w:rPr>
          <w:color w:val="000000"/>
        </w:rPr>
        <w:t xml:space="preserve"> </w:t>
      </w:r>
      <w:r>
        <w:rPr>
          <w:rFonts w:ascii="Times New Roman;sans-serif" w:hAnsi="Times New Roman;sans-serif"/>
          <w:b w:val="false"/>
          <w:color w:val="000000"/>
          <w:sz w:val="20"/>
        </w:rPr>
        <w:t>Total revenue for the fiscal year was $4,099.9 million, up 55% year over year.</w:t>
      </w:r>
      <w:r>
        <w:br w:type="page"/>
      </w: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Income from Operations and Operating Margin:</w:t>
      </w:r>
      <w:r>
        <w:rPr>
          <w:color w:val="000000"/>
        </w:rPr>
        <w:t xml:space="preserve"> </w:t>
      </w:r>
      <w:r>
        <w:rPr>
          <w:rFonts w:ascii="Times New Roman;sans-serif" w:hAnsi="Times New Roman;sans-serif"/>
          <w:b w:val="false"/>
          <w:color w:val="000000"/>
          <w:sz w:val="20"/>
        </w:rPr>
        <w:t>GAAP income from operations for the fiscal year was $1,063.6 million, compared to GAAP income from operations of $659.8 million for fiscal year 2021. After adjusting for stock-based compensation expense and related payroll taxes, expenses related to charitable donation of common stock, litigation settlements, net, and acquisition-related expenses, non-GAAP income from operations for the fiscal year was $1,657.1 million, up from $983.3 million for fiscal year 2021. For the fiscal year, GAAP operating margin was 25.9% and non-GAAP operating margin was 40.4%.</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Net Income and Diluted Net Income Per Share:</w:t>
      </w:r>
      <w:r>
        <w:rPr>
          <w:color w:val="000000"/>
        </w:rPr>
        <w:t xml:space="preserve"> </w:t>
      </w:r>
      <w:r>
        <w:rPr>
          <w:rFonts w:ascii="Times New Roman;sans-serif" w:hAnsi="Times New Roman;sans-serif"/>
          <w:b w:val="false"/>
          <w:color w:val="000000"/>
          <w:sz w:val="20"/>
        </w:rPr>
        <w:t>GAAP net income attributable to common stockholders for the fiscal year was $1,375.1 million, or $4.50 per share, compared to GAAP net income attributable to common stockholders of $671.5 million, or $2.25 per share for fiscal year 2021.</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Non-GAAP net income for the fiscal year was $1,549.1 million, after adjusting for stock-based compensation expense and related payroll taxes, expenses related to charitable donation of common stock, acquisition-related expenses, gains on strategic investments, litigation settlements, net, income tax benefits from discrete activities, and undistributed earnings attributable to participating securities. Non-GAAP net income per share was $5.07. In fiscal year 2021, non-GAAP net income was $995.7 million, or $3.34 per share. </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Cash Flow:</w:t>
      </w:r>
      <w:r>
        <w:rPr>
          <w:color w:val="000000"/>
        </w:rPr>
        <w:t xml:space="preserve"> </w:t>
      </w:r>
      <w:r>
        <w:rPr>
          <w:rFonts w:ascii="Times New Roman;sans-serif" w:hAnsi="Times New Roman;sans-serif"/>
          <w:b w:val="false"/>
          <w:color w:val="000000"/>
          <w:sz w:val="20"/>
        </w:rPr>
        <w:t>Net cash provided by operating activities was $1,605.3 million for the fiscal year, compared to $1,471.2 million for fiscal year 2021. Adjusted free cash flow, which is net cash provided by operating activities less purchases of property and equipment, plus litigation settlement payments, net, was $1,557.7 million, compared to $1,391.2 million for fiscal year 2021.</w:t>
      </w:r>
    </w:p>
    <w:p>
      <w:pPr>
        <w:pStyle w:val="TextBody"/>
        <w:spacing w:lineRule="auto" w:line="288" w:before="240" w:after="283"/>
        <w:rPr/>
      </w:pPr>
      <w:r>
        <w:rPr>
          <w:rFonts w:ascii="Times New Roman;sans-serif" w:hAnsi="Times New Roman;sans-serif"/>
          <w:b/>
          <w:color w:val="000000"/>
          <w:sz w:val="20"/>
        </w:rPr>
        <w:t>Customer Metrics:</w:t>
      </w:r>
      <w:r>
        <w:rPr>
          <w:color w:val="000000"/>
        </w:rPr>
        <w:t> </w:t>
      </w:r>
      <w:r>
        <w:rPr>
          <w:rFonts w:ascii="Times New Roman;sans-serif" w:hAnsi="Times New Roman;sans-serif"/>
          <w:b w:val="false"/>
          <w:color w:val="000000"/>
          <w:sz w:val="20"/>
        </w:rPr>
        <w:t>Drivers of total revenue included acquiring new customers and expanding across existing customers. At the end of the fourth quarter of fiscal year 2022, Zoom had: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2,725 customers contributing more than $100,000 in trailing 12 months revenue, up approximately 66% from the same quarter last fiscal year.</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Approximately 509,800 customers with more than 10 employees, up approximately 9% from the same quarter last fiscal year.</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 trailing 12-month net dollar expansion rate for customers with more than 10 employees of approximately 129%.</w:t>
      </w:r>
    </w:p>
    <w:p>
      <w:pPr>
        <w:pStyle w:val="TextBody"/>
        <w:spacing w:lineRule="auto" w:line="288" w:before="120" w:after="283"/>
        <w:rPr/>
      </w:pPr>
      <w:r>
        <w:rPr>
          <w:rFonts w:ascii="Times New Roman;sans-serif" w:hAnsi="Times New Roman;sans-serif"/>
          <w:b w:val="false"/>
          <w:color w:val="000000"/>
          <w:sz w:val="20"/>
        </w:rPr>
        <w:t>As Zoom approaches its three-year anniversary as a public company, Zoom’s business has evolved substantially and the metrics that management uses to evaluate the business have changed. Beginning with the first quarter of fiscal year 2023, Zoom will no longer present the number of customers with more than 10 employees and the trailing 12-month net dollar expansion rate for customers with more than 10 employees.</w:t>
      </w:r>
      <w:r>
        <w:rPr>
          <w:color w:val="000000"/>
        </w:rPr>
        <w:t xml:space="preserve"> </w:t>
      </w:r>
      <w:r>
        <w:rPr>
          <w:rFonts w:ascii="Times New Roman;sans-serif" w:hAnsi="Times New Roman;sans-serif"/>
          <w:b w:val="false"/>
          <w:color w:val="000000"/>
          <w:sz w:val="20"/>
        </w:rPr>
        <w:t>However, Zoom will still provide these metrics through the end of fiscal year 2023 in the appendix to the investor deck that Zoom will continue to post on its IR site each quarter at https://investors.zoom.us.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Going forward, Zoom will provide the following metrics in addition to the number of customers contributing more than $100,000 in trailing 12 months revenue: the number of Enterprise customers and the net dollar expansion rate for Enterprise customers. Zoom defines Enterprise customers as distinct business units who have been engaged by either Zoom’s direct sales team, channel partners or independent software vendor partners. At the end of the fourth quarter of fiscal year 2022, Zoom had: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Approximately 191,000 Enterprise customers, up 35% year over year.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 trailing 12-month net dollar expansion rate for Enterprise customers of 130%.</w:t>
      </w:r>
    </w:p>
    <w:p>
      <w:pPr>
        <w:pStyle w:val="TextBody"/>
        <w:spacing w:lineRule="auto" w:line="288" w:before="240" w:after="283"/>
        <w:rPr/>
      </w:pPr>
      <w:r>
        <w:rPr>
          <w:rFonts w:ascii="Times New Roman;sans-serif" w:hAnsi="Times New Roman;sans-serif"/>
          <w:b/>
          <w:color w:val="000000"/>
          <w:sz w:val="20"/>
        </w:rPr>
        <w:t>Financial Outlook:</w:t>
      </w:r>
      <w:r>
        <w:rPr>
          <w:color w:val="000000"/>
        </w:rPr>
        <w:t> </w:t>
      </w:r>
      <w:r>
        <w:rPr>
          <w:rFonts w:ascii="Times New Roman;sans-serif" w:hAnsi="Times New Roman;sans-serif"/>
          <w:b w:val="false"/>
          <w:color w:val="000000"/>
          <w:sz w:val="20"/>
        </w:rPr>
        <w:t>Zoom is providing the following guidance for its first quarter of fiscal year 2023 and its full fiscal year 2023.</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First Quarter Fiscal Year 2023: Total revenue is expected to be between $1.070 billion and $1.075 billion and non-GAAP income from operations is expected to be between $345.0 million and $350.0 million. First quarter non-GAAP diluted EPS is expected to be between $0.86 and $0.88 with approximately 309 million non-GAAP weighted average shares outstanding.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Full Fiscal Year 2023: Total revenue is expected to be between $4.530 billion and $4.550 billion and non-GAAP income from operations is expected to be between $1.430 billion and $1.450 billion. Full fiscal year non-GAAP diluted EPS is expected to be between $3.45 and $3.51 with approximately 312 million non-GAAP weighted average shares outstanding.</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w:t>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may be incurred in the future, although it is important to note that these factors could be material to Zoom's results computed in accordance with GAAP.</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 supplemental financial presentation and other information can be accessed through Zoom’s investor relations website at investors.zoom.us.</w:t>
      </w:r>
    </w:p>
    <w:p>
      <w:pPr>
        <w:pStyle w:val="TextBody"/>
        <w:spacing w:lineRule="auto" w:line="288" w:before="240" w:after="283"/>
        <w:rPr/>
      </w:pPr>
      <w:r>
        <w:rPr>
          <w:rFonts w:ascii="Times New Roman;sans-serif" w:hAnsi="Times New Roman;sans-serif"/>
          <w:b/>
          <w:color w:val="000000"/>
          <w:sz w:val="20"/>
        </w:rPr>
        <w:t>Stock Repurchase Authorization:</w:t>
      </w:r>
      <w:r>
        <w:rPr>
          <w:color w:val="000000"/>
        </w:rPr>
        <w:t xml:space="preserve"> </w:t>
      </w:r>
      <w:r>
        <w:rPr>
          <w:rFonts w:ascii="Times New Roman;sans-serif" w:hAnsi="Times New Roman;sans-serif"/>
          <w:b w:val="false"/>
          <w:color w:val="000000"/>
          <w:sz w:val="20"/>
        </w:rPr>
        <w:t>Zoom’s Board of Directors has authorized a stock repurchase program of up to $1.0 billion of Zoom’s outstanding Class A common stock. The program will expire in February 2024.</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Repurchases of Zoom’s Class A common stock may be effected, from time to time, either on the open market (including pre-set trading plans), in privately negotiated transactions, and other transactions in accordance with applicable securities laws.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timing and the amount of any repurchased Class A common stock will be determined by Zoom's management based on its evaluation of market conditions and other factors. The repurchase program will be funded using Zoom's working capital. Any repurchased shares of Class A common stock will be retired. The repurchase program does not obligate Zoom to acquire any particular amount of Class A common stock, and the repurchase program may be suspended or discontinued at any time at Zoom’s discretion.</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Zoom Video Earnings Call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Zoom will host a Zoom Video Webinar for investors on February 28, 2022 at 2:00 p.m. Pacific Time / 5:00 p.m. Eastern Time to discuss the company’s financial results, business highlights and financial outlook. Investors are invited to join the Zoom Video Webinar by visiting: https://investors.zoom.us/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About Zoom</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Zoom is for you. Zoom is a space where you can connect to others, share ideas, make plans, and build toward a future limited only by your imagination. Our frictionless communications platform is the only one that started with video as its foundation, and we have set the standard for innovation ever since. That is why we are an intuitive, scalable, and secure choice for large enterprises, small businesses, and individuals alike. Founded in 2011, Zoom is publicly traded (NASDAQ:ZM) and headquartered in San Jose, California. Visit zoom.com and follow @zoom.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This press release contains express and implied “forward-looking statements” within the meaning of the Private Securities Litigation Reform Act of 1995, including statements regarding Zoom's financial outlook for the first quarter of fiscal year 2023 and full fiscal year 2023, Zoom’s market position, opportunities, and growth strategy, product initiatives and go-to-market motions and the expected benefits resulting from the same, market trends and Zoom’s stock repurchase program.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and hosts, renewals or upgrades, difficulties in evaluating our prospects and future results of operations given our limited operating history, competition from other providers of communications platforms, continued uncertainty regarding the extent and duration of the impact of COVID-19 and the responses of government and private industry thereto, including the potential effect on our user growth rate as the impact of the COVID-19 pandemic tapers, particularly as vaccines become widely available and distributed, and users return to work or school or are otherwise no longer subject to limitations on in-person meetings, as well as the impact of COVID-19 on the overall economic environment, any or all of which will have an impact on demand for remote work solutions for businesses as well as overall distributed, face-to-face interactions and collaboration using Zoom, delays or outages in services from our co-located data centers, failures in internet infrastructure or interference with broadband access which could cause current or potential users to believe that our systems are unreliable, market volatility, and global security concerns and their potential impact on regional and global economies and supply chains.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fiscal quarter ended October 31, 2021.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are not meant to be considered in isolation or as a substitute for comparable GAAP financial measures and should be read only in conjunction with Zoom’s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Non-GAAP Income From Operations and Non-GAAP Operating Margin. Zoom defines non-GAAP income from operations as income from operations excluding stock-based compensation expense and related payroll taxes, expenses related to charitable donation of common stock, acquisition-related expenses, and litigation settlements, net. Zoom excludes stock-based compensation expense and expenses related to charitable donation of common stock because they are non-cash in nature and excluding these expenses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Zoom excludes significant litigation settlements, net of amounts covered by insurance, that we deem not to be in the ordinary course of our business. In particular, Zoom believes the consideration of measures that exclude such expenses can assist in the comparison of operational performance in different periods which may or may not include such expenses and assist in the comparison with the results of other companies in the industry.</w:t>
      </w:r>
      <w:r>
        <w:br w:type="page"/>
      </w: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Non-GAAP Net Income and Non-GAAP Net Income Per Share, Basic and Diluted. Zoom defines non-GAAP net income and non-GAAP net income per share, basic and diluted, as GAAP net income attributable to common stockholders and GAAP net income per share attributable to common stockholders, basic and diluted, respectively, adjusted to exclude stock-based compensation expense and related payroll taxes, expenses related to charitable donation of common stock, acquisition-related expenses, gains on strategic investments, litigation settlements, net, income tax benefits from discrete activities, and undistributed earnings attributable to participating securities. Zoom excludes gains on strategic investments, net because given the size and volatility in the ongoing adjustments to the valuation of our strategic investments, we believe that excluding these gains or losses facilitates a more meaningful evaluation of our operational performance. Zoom excludes income tax benefits from discrete activities, including the income tax benefit related to the release of the US federal and state valuation allowance, because of their nonrecurring nature.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Free Cash Flow, Adjusted Free Cash Flow and Adjusted Free Cash Flow Margin. Zoom defines free cash flow as GAAP net cash provided by operating activities less purchases of property and equipment. Zoom defines adjusted FCF as free cash flow plus litigation settlement payments, net. Zoom adds back litigation settlement payments, net because they are not part of Zoom's ongoing operating activities, and the consideration of measures that exclude such payments can assist in the comparison of cash generated from operations in different periods which may or may not include such payments and assist in the comparison with the results of other companies in the industry. Zoom considers free cash flow and adjusted free cash flow to be liquidity measures that provide useful information to management and investors regarding net cash provided by operating activities and cash used for investments in property and equipment required to maintain and grow the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Customer Metrics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Zoom defines a customer as a separate and distinct buying entity, which can be a single paid host or an organization of any size (including a distinct unit of an organization) that has multiple paid hosts. Zoom defines Enterprise customers as distinct business units who have been engaged by either Zoom’s direct sales team, channel partners or independent software vendor partners.</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Zoom calculates net dollar expansion rate as of a period end by starting with the annual recurring revenue (“ARR”) from all customers with more than 10 employees or Enterprise customers, as the case may be, as of 12 months prior (“Prior Period ARR”). Zoom defines ARR as the annualized revenue run rate of subscription agreements from all customers at a point in time. Zoom then calculates the ARR from these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Press Relations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Colleen Rodriguez</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Head of Global Public Relations and Executive Communications for Zoom</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press@zoom.us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Investor Relations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Tom McCallum</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Head of Investor Relations for Zoom</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investors@zoom.us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7355" w:type="dxa"/>
        <w:jc w:val="center"/>
        <w:tblInd w:w="0" w:type="dxa"/>
        <w:tblCellMar>
          <w:top w:w="28" w:type="dxa"/>
          <w:left w:w="28" w:type="dxa"/>
          <w:bottom w:w="28" w:type="dxa"/>
          <w:right w:w="28" w:type="dxa"/>
        </w:tblCellMar>
      </w:tblPr>
      <w:tblGrid>
        <w:gridCol w:w="1464"/>
        <w:gridCol w:w="1291"/>
        <w:gridCol w:w="1309"/>
        <w:gridCol w:w="109"/>
        <w:gridCol w:w="109"/>
        <w:gridCol w:w="109"/>
        <w:gridCol w:w="211"/>
        <w:gridCol w:w="976"/>
        <w:gridCol w:w="109"/>
        <w:gridCol w:w="109"/>
        <w:gridCol w:w="109"/>
        <w:gridCol w:w="109"/>
        <w:gridCol w:w="211"/>
        <w:gridCol w:w="976"/>
        <w:gridCol w:w="154"/>
      </w:tblGrid>
      <w:tr>
        <w:trPr/>
        <w:tc>
          <w:tcPr>
            <w:tcW w:w="1464"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4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2,240,303 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2,004,410 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4,792,865 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7,551,318 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5,297,993 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1,141,435 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858,284 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1,437,226 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3,749,514 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3,187,168 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3,860,767 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7,551,318 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5,297,993 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Note: The amount of unbilled accounts receivable included within accounts receivable, net on the consolidated balance sheets was $59.7 million and $24.6 million as of January 31, 2022 and 2021,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and per share amounts)</w:t>
      </w:r>
    </w:p>
    <w:tbl>
      <w:tblPr>
        <w:tblW w:w="10205" w:type="dxa"/>
        <w:jc w:val="center"/>
        <w:tblInd w:w="0" w:type="dxa"/>
        <w:tblCellMar>
          <w:top w:w="28" w:type="dxa"/>
          <w:left w:w="28" w:type="dxa"/>
          <w:bottom w:w="28" w:type="dxa"/>
          <w:right w:w="28" w:type="dxa"/>
        </w:tblCellMar>
      </w:tblPr>
      <w:tblGrid>
        <w:gridCol w:w="1662"/>
        <w:gridCol w:w="1004"/>
        <w:gridCol w:w="1001"/>
        <w:gridCol w:w="109"/>
        <w:gridCol w:w="109"/>
        <w:gridCol w:w="109"/>
        <w:gridCol w:w="211"/>
        <w:gridCol w:w="976"/>
        <w:gridCol w:w="109"/>
        <w:gridCol w:w="109"/>
        <w:gridCol w:w="109"/>
        <w:gridCol w:w="109"/>
        <w:gridCol w:w="241"/>
        <w:gridCol w:w="945"/>
        <w:gridCol w:w="109"/>
        <w:gridCol w:w="109"/>
        <w:gridCol w:w="109"/>
        <w:gridCol w:w="109"/>
        <w:gridCol w:w="211"/>
        <w:gridCol w:w="976"/>
        <w:gridCol w:w="109"/>
        <w:gridCol w:w="109"/>
        <w:gridCol w:w="109"/>
        <w:gridCol w:w="109"/>
        <w:gridCol w:w="211"/>
        <w:gridCol w:w="976"/>
        <w:gridCol w:w="156"/>
      </w:tblGrid>
      <w:tr>
        <w:trPr/>
        <w:tc>
          <w:tcPr>
            <w:tcW w:w="1662"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January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36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6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2,651,368 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821,989 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1,829,379 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164,080 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1,135,959 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684,904 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320,547 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1,169,531 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on strategic investments,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(benefit from) 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678,034 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672,316 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Undistributed earnings attributable to participating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298,374,298 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287,598,299 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296,334,894 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283,853,654 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306,010,113 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300,613,251 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305,826,505 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298,127,669 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6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36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36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36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36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36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36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10205" w:type="dxa"/>
        <w:jc w:val="center"/>
        <w:tblInd w:w="0" w:type="dxa"/>
        <w:tblCellMar>
          <w:top w:w="28" w:type="dxa"/>
          <w:left w:w="28" w:type="dxa"/>
          <w:bottom w:w="28" w:type="dxa"/>
          <w:right w:w="28" w:type="dxa"/>
        </w:tblCellMar>
      </w:tblPr>
      <w:tblGrid>
        <w:gridCol w:w="1592"/>
        <w:gridCol w:w="1275"/>
        <w:gridCol w:w="127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6"/>
      </w:tblGrid>
      <w:tr>
        <w:trPr/>
        <w:tc>
          <w:tcPr>
            <w:tcW w:w="1592"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January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 Ended January 31,</w:t>
            </w:r>
          </w:p>
        </w:tc>
      </w:tr>
      <w:tr>
        <w:trPr/>
        <w:tc>
          <w:tcPr>
            <w:tcW w:w="4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2021</w:t>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490,641 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260,610 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1,375,639 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672,316 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96,261 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477,287 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275,818 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 benefit from release of valuation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(327,957)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(327,957)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deferred contract acquisition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51,592 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33,025 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104,306 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(Losses) gains on strategic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110,736 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(43,761)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48,188 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28,857 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Provision for accounts receivable allowances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36,747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32,007 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Non-cash operating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18,387 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10,887 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Charitable donation of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23,312 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on marketable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5,433 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(50,642)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(159,183)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(219,039)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(83,936)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(155,934)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(68,521)</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(82,066)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(40,774)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(247,371)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(307,068)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3,481 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(70,545)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47,735 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251,654 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293,887 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665,724 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liabilities,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(6,379)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209,396 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399,396 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1,605,266 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1,471,177 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(988,436)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(1,040,361)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(4,434,749)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(2,056,470)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685,498 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174,188 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1,733,043 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580,795 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Sales of marketable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296,867 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36,897 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(20,774)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(21,455)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(132,590)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(79,972)</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of strategic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(178,800)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(305,149)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(13,000)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4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acquisition, net of cash acquired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(26,486)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of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(5,843)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(491,999)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(889,043)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(2,859,097)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(1,562,420)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issuance of common stock for employee stock purchase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21,485 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59,331 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38,433 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exercise of stock options, net of repurchases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28,550 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employee equity transactions (remitted) to be remitted to employees and tax authorities,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(247,553)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4,088 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follow-on public offering, net of underwriting discounts and commissions and other offering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1,979,206 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1,979,206 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1,754,035 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2,050,277 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1,264,388 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(1,219,763)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1,959,034 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cash—beginning of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1,342,773 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1,028,728 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2,293,116 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334,082 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cash—end of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1,073,353 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2,293,116 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1,073,353 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2,293,116 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GAAP to Non-GAAP Measures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and per share amounts)</w:t>
      </w:r>
    </w:p>
    <w:tbl>
      <w:tblPr>
        <w:tblW w:w="10205" w:type="dxa"/>
        <w:jc w:val="center"/>
        <w:tblInd w:w="0" w:type="dxa"/>
        <w:tblCellMar>
          <w:top w:w="28" w:type="dxa"/>
          <w:left w:w="28" w:type="dxa"/>
          <w:bottom w:w="28" w:type="dxa"/>
          <w:right w:w="28" w:type="dxa"/>
        </w:tblCellMar>
      </w:tblPr>
      <w:tblGrid>
        <w:gridCol w:w="1435"/>
        <w:gridCol w:w="763"/>
        <w:gridCol w:w="766"/>
        <w:gridCol w:w="109"/>
        <w:gridCol w:w="109"/>
        <w:gridCol w:w="109"/>
        <w:gridCol w:w="237"/>
        <w:gridCol w:w="949"/>
        <w:gridCol w:w="271"/>
        <w:gridCol w:w="109"/>
        <w:gridCol w:w="109"/>
        <w:gridCol w:w="109"/>
        <w:gridCol w:w="211"/>
        <w:gridCol w:w="976"/>
        <w:gridCol w:w="271"/>
        <w:gridCol w:w="109"/>
        <w:gridCol w:w="109"/>
        <w:gridCol w:w="109"/>
        <w:gridCol w:w="211"/>
        <w:gridCol w:w="1003"/>
        <w:gridCol w:w="271"/>
        <w:gridCol w:w="109"/>
        <w:gridCol w:w="109"/>
        <w:gridCol w:w="109"/>
        <w:gridCol w:w="211"/>
        <w:gridCol w:w="1003"/>
        <w:gridCol w:w="319"/>
      </w:tblGrid>
      <w:tr>
        <w:trPr/>
        <w:tc>
          <w:tcPr>
            <w:tcW w:w="1435"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2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January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2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income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659,848 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and related payroll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164,511 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504,336 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290,832 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66,916 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9,278 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Charitable donation of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23,312 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income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1,657,120 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983,270 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operating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net income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490,525 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260,393 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1,375,057 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671,527 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and related payroll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164,511 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504,336 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290,832 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66,916 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on strategic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110,736 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9,278 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Charitable donation of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23,312 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benefits from discrete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(376,266)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(376,266)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Undistributed earnings attributable to participating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393,582 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365,401 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1,549,141 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995,738 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 and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net income per share - 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per share - 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per share -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and non-GAAP weighted-average shares used to compute net income per share - 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298,374,298 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287,598,299 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296,334,894 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283,853,654 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3" w:type="dxa"/>
            <w:gridSpan w:val="3"/>
            <w:tcBorders/>
            <w:shd w:fill="auto" w:val="clear"/>
            <w:vAlign w:val="center"/>
          </w:tcPr>
          <w:p>
            <w:pPr>
              <w:pStyle w:val="TableContents"/>
              <w:spacing w:before="0" w:after="283"/>
              <w:rPr>
                <w:sz w:val="4"/>
                <w:szCs w:val="4"/>
              </w:rPr>
            </w:pPr>
            <w:r>
              <w:rPr>
                <w:sz w:val="4"/>
                <w:szCs w:val="4"/>
              </w:rPr>
            </w:r>
          </w:p>
        </w:tc>
      </w:tr>
      <w:tr>
        <w:trPr/>
        <w:tc>
          <w:tcPr>
            <w:tcW w:w="29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3" w:type="dxa"/>
            <w:gridSpan w:val="3"/>
            <w:tcBorders/>
            <w:shd w:fill="auto" w:val="clear"/>
            <w:vAlign w:val="center"/>
          </w:tcPr>
          <w:p>
            <w:pPr>
              <w:pStyle w:val="TableContents"/>
              <w:spacing w:before="0" w:after="283"/>
              <w:rPr>
                <w:sz w:val="4"/>
                <w:szCs w:val="4"/>
              </w:rPr>
            </w:pPr>
            <w:r>
              <w:rPr>
                <w:sz w:val="4"/>
                <w:szCs w:val="4"/>
              </w:rPr>
            </w:r>
          </w:p>
        </w:tc>
      </w:tr>
      <w:tr>
        <w:trPr/>
        <w:tc>
          <w:tcPr>
            <w:tcW w:w="29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3" w:type="dxa"/>
            <w:gridSpan w:val="3"/>
            <w:tcBorders/>
            <w:shd w:fill="auto" w:val="clear"/>
            <w:vAlign w:val="center"/>
          </w:tcPr>
          <w:p>
            <w:pPr>
              <w:pStyle w:val="TableContents"/>
              <w:spacing w:before="0" w:after="283"/>
              <w:rPr>
                <w:sz w:val="4"/>
                <w:szCs w:val="4"/>
              </w:rPr>
            </w:pPr>
            <w:r>
              <w:rPr>
                <w:sz w:val="4"/>
                <w:szCs w:val="4"/>
              </w:rPr>
            </w:r>
          </w:p>
        </w:tc>
      </w:tr>
      <w:tr>
        <w:trPr/>
        <w:tc>
          <w:tcPr>
            <w:tcW w:w="29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3" w:type="dxa"/>
            <w:gridSpan w:val="3"/>
            <w:tcBorders/>
            <w:shd w:fill="auto" w:val="cle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and non-GAAP weighted-average shares used to compute net income per share -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306,010,113 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300,613,251 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305,826,505 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298,127,669 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3" w:type="dxa"/>
            <w:gridSpan w:val="3"/>
            <w:tcBorders/>
            <w:shd w:fill="auto" w:val="clear"/>
            <w:vAlign w:val="center"/>
          </w:tcPr>
          <w:p>
            <w:pPr>
              <w:pStyle w:val="TableContents"/>
              <w:spacing w:before="0" w:after="283"/>
              <w:rPr>
                <w:sz w:val="4"/>
                <w:szCs w:val="4"/>
              </w:rPr>
            </w:pPr>
            <w:r>
              <w:rPr>
                <w:sz w:val="4"/>
                <w:szCs w:val="4"/>
              </w:rPr>
            </w:r>
          </w:p>
        </w:tc>
      </w:tr>
      <w:tr>
        <w:trPr/>
        <w:tc>
          <w:tcPr>
            <w:tcW w:w="29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3" w:type="dxa"/>
            <w:gridSpan w:val="3"/>
            <w:tcBorders/>
            <w:shd w:fill="auto" w:val="clear"/>
            <w:vAlign w:val="center"/>
          </w:tcPr>
          <w:p>
            <w:pPr>
              <w:pStyle w:val="TableContents"/>
              <w:spacing w:before="0" w:after="283"/>
              <w:rPr>
                <w:sz w:val="4"/>
                <w:szCs w:val="4"/>
              </w:rPr>
            </w:pPr>
            <w:r>
              <w:rPr>
                <w:sz w:val="4"/>
                <w:szCs w:val="4"/>
              </w:rPr>
            </w:r>
          </w:p>
        </w:tc>
      </w:tr>
      <w:tr>
        <w:trPr/>
        <w:tc>
          <w:tcPr>
            <w:tcW w:w="29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3" w:type="dxa"/>
            <w:gridSpan w:val="3"/>
            <w:tcBorders/>
            <w:shd w:fill="auto" w:val="cle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209,396 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399,396 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1,605,266 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1,471,177 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(21,455)</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(132,590)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(79,972)</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(non-GAAP)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1,472,676 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1,391,205 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Litigation settlement payments,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free cash flow (non-GAAP)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1,557,676 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1,391,205 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(491,999)</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(889,043)</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(2,859,097)</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(1,562,420)</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1,754,035 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2,050,277 </w:t>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 margin (GAAP)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free cash flow margin (non-GAAP)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4945</Words>
  <CharactersWithSpaces>33319</CharactersWithSpaces>
  <Paragraphs>800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