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320040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1" w:lineRule="auto"/>
        <w:rPr>
          <w:sz w:val="20"/>
          <w:szCs w:val="20"/>
          <w:color w:val="auto"/>
        </w:rPr>
      </w:pPr>
      <w:r>
        <w:rPr>
          <w:rFonts w:ascii="Arial" w:cs="Arial" w:eastAsia="Arial" w:hAnsi="Arial"/>
          <w:sz w:val="18"/>
          <w:szCs w:val="18"/>
          <w:color w:val="auto"/>
        </w:rPr>
        <w:t>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spacing w:after="0"/>
              <w:rPr>
                <w:sz w:val="20"/>
                <w:szCs w:val="20"/>
                <w:color w:val="auto"/>
              </w:rPr>
            </w:pPr>
            <w:r>
              <w:rPr>
                <w:rFonts w:ascii="Arial" w:cs="Arial" w:eastAsia="Arial" w:hAnsi="Arial"/>
                <w:sz w:val="18"/>
                <w:szCs w:val="18"/>
                <w:color w:val="auto"/>
                <w:w w:val="92"/>
              </w:rPr>
              <w:t>CUSIP No. 98980L101</w:t>
            </w:r>
          </w:p>
        </w:tc>
        <w:tc>
          <w:tcPr>
            <w:tcW w:w="120" w:type="dxa"/>
            <w:vAlign w:val="bottom"/>
          </w:tcPr>
          <w:p>
            <w:pPr>
              <w:spacing w:after="0"/>
              <w:rPr>
                <w:sz w:val="20"/>
                <w:szCs w:val="20"/>
                <w:color w:val="auto"/>
              </w:rPr>
            </w:pPr>
          </w:p>
        </w:tc>
        <w:tc>
          <w:tcPr>
            <w:tcW w:w="680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2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Li Ka Shing</w:t>
            </w: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Hong Kong</w:t>
            </w: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14,558,398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14,558,398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14,558,398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11.6% (2)(3)(4)</w:t>
            </w: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180" w:hanging="436"/>
        <w:spacing w:after="0" w:line="276"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(i) 14,208,398 shares of Class B common stock of the Issuer owned directly by Bucantini Enterprises Limited (“</w:t>
      </w:r>
      <w:r>
        <w:rPr>
          <w:rFonts w:ascii="Arial" w:cs="Arial" w:eastAsia="Arial" w:hAnsi="Arial"/>
          <w:sz w:val="17"/>
          <w:szCs w:val="17"/>
          <w:b w:val="1"/>
          <w:bCs w:val="1"/>
          <w:color w:val="auto"/>
        </w:rPr>
        <w:t>Bucantini</w:t>
      </w:r>
      <w:r>
        <w:rPr>
          <w:rFonts w:ascii="Arial" w:cs="Arial" w:eastAsia="Arial" w:hAnsi="Arial"/>
          <w:sz w:val="17"/>
          <w:szCs w:val="17"/>
          <w:color w:val="auto"/>
        </w:rPr>
        <w:t>”), and (ii) 350,000 shares of Class A common stock of the Issuer owned directly by Bonus Goal International Limited (“</w:t>
      </w:r>
      <w:r>
        <w:rPr>
          <w:rFonts w:ascii="Arial" w:cs="Arial" w:eastAsia="Arial" w:hAnsi="Arial"/>
          <w:sz w:val="17"/>
          <w:szCs w:val="17"/>
          <w:b w:val="1"/>
          <w:bCs w:val="1"/>
          <w:color w:val="auto"/>
        </w:rPr>
        <w:t>Bonus Goal</w:t>
      </w:r>
      <w:r>
        <w:rPr>
          <w:rFonts w:ascii="Arial" w:cs="Arial" w:eastAsia="Arial" w:hAnsi="Arial"/>
          <w:sz w:val="17"/>
          <w:szCs w:val="17"/>
          <w:color w:val="auto"/>
        </w:rPr>
        <w:t>”).</w:t>
      </w:r>
    </w:p>
    <w:p>
      <w:pPr>
        <w:ind w:left="440" w:right="60" w:hanging="436"/>
        <w:spacing w:after="0" w:line="265"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Eric S. Yuan (“</w:t>
      </w:r>
      <w:r>
        <w:rPr>
          <w:rFonts w:ascii="Arial" w:cs="Arial" w:eastAsia="Arial" w:hAnsi="Arial"/>
          <w:sz w:val="17"/>
          <w:szCs w:val="17"/>
          <w:b w:val="1"/>
          <w:bCs w:val="1"/>
          <w:color w:val="auto"/>
        </w:rPr>
        <w:t>Mr. Yuan</w:t>
      </w:r>
      <w:r>
        <w:rPr>
          <w:rFonts w:ascii="Arial" w:cs="Arial" w:eastAsia="Arial" w:hAnsi="Arial"/>
          <w:sz w:val="17"/>
          <w:szCs w:val="17"/>
          <w:color w:val="auto"/>
        </w:rPr>
        <w:t>”),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440" w:right="200" w:hanging="436"/>
        <w:spacing w:after="0" w:line="265"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14,208,398 Class B common stock of the Issuer owned directly by Bucantini, as described in paragraph (1) above (with such shares treated as converted into 14,208,398 shares of Class A common stock only for purposes of computing the percentage ownership of the reporting person pursuant to the Act).</w:t>
      </w:r>
    </w:p>
    <w:p>
      <w:pPr>
        <w:ind w:left="440" w:right="100" w:hanging="436"/>
        <w:spacing w:after="0" w:line="287"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00" w:type="dxa"/>
            <w:vAlign w:val="bottom"/>
            <w:gridSpan w:val="6"/>
          </w:tcPr>
          <w:p>
            <w:pPr>
              <w:jc w:val="center"/>
              <w:ind w:right="210"/>
              <w:spacing w:after="0"/>
              <w:rPr>
                <w:sz w:val="20"/>
                <w:szCs w:val="20"/>
                <w:color w:val="auto"/>
              </w:rPr>
            </w:pPr>
            <w:r>
              <w:rPr>
                <w:rFonts w:ascii="Arial" w:cs="Arial" w:eastAsia="Arial" w:hAnsi="Arial"/>
                <w:sz w:val="18"/>
                <w:szCs w:val="18"/>
                <w:color w:val="auto"/>
                <w:w w:val="92"/>
              </w:rPr>
              <w:t>CUSIP No. 98980L101</w:t>
            </w:r>
          </w:p>
        </w:tc>
        <w:tc>
          <w:tcPr>
            <w:tcW w:w="6680" w:type="dxa"/>
            <w:vAlign w:val="bottom"/>
          </w:tcPr>
          <w:p>
            <w:pPr>
              <w:ind w:left="304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3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Mayspin Management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8"/>
              </w:rPr>
              <w:t xml:space="preserve">(a)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(b) </w:t>
            </w:r>
            <w:r>
              <w:rPr>
                <w:rFonts w:ascii="MS PGothic" w:cs="MS PGothic" w:eastAsia="MS PGothic" w:hAnsi="MS PGothic"/>
                <w:sz w:val="18"/>
                <w:szCs w:val="18"/>
                <w:color w:val="auto"/>
                <w:w w:val="98"/>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668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gridSpan w:val="2"/>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British Virgin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vMerge w:val="restart"/>
          </w:tcPr>
          <w:p>
            <w:pPr>
              <w:ind w:left="60"/>
              <w:spacing w:after="0"/>
              <w:rPr>
                <w:sz w:val="20"/>
                <w:szCs w:val="20"/>
                <w:color w:val="auto"/>
              </w:rPr>
            </w:pPr>
            <w:r>
              <w:rPr>
                <w:rFonts w:ascii="Arial" w:cs="Arial" w:eastAsia="Arial" w:hAnsi="Arial"/>
                <w:sz w:val="18"/>
                <w:szCs w:val="18"/>
                <w:color w:val="auto"/>
              </w:rPr>
              <w:t>14,558,398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66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66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68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14,558,398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4"/>
              </w:rPr>
              <w:t>14,558,398 (1)(2)</w:t>
            </w: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11.6% (2)(3)(4)</w:t>
            </w: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120" w:hanging="436"/>
        <w:spacing w:after="0" w:line="25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 14,208,398 shares of Class B common stock of the Issuer owned directly by Bucantini, and (ii) 350,000 shares of Class A common stock of the Issuer owned directly by Bonus Goal.</w:t>
      </w:r>
    </w:p>
    <w:p>
      <w:pPr>
        <w:spacing w:after="0" w:line="1" w:lineRule="exact"/>
        <w:rPr>
          <w:rFonts w:ascii="Arial" w:cs="Arial" w:eastAsia="Arial" w:hAnsi="Arial"/>
          <w:sz w:val="18"/>
          <w:szCs w:val="18"/>
          <w:color w:val="auto"/>
        </w:rPr>
      </w:pPr>
    </w:p>
    <w:p>
      <w:pPr>
        <w:ind w:left="440" w:right="100" w:hanging="436"/>
        <w:spacing w:after="0" w:line="265"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Yuan,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440" w:right="200" w:hanging="436"/>
        <w:spacing w:after="0" w:line="265"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14,208,398 Class B common stock of the Issuer owned directly by Bucantini, as described in paragraph (1) above (with such shares treated as converted into 14,208,398 shares of Class A common stock only for purposes of computing the percentage ownership of the reporting person pursuant to the Act).</w:t>
      </w:r>
    </w:p>
    <w:p>
      <w:pPr>
        <w:ind w:left="440" w:right="100" w:hanging="436"/>
        <w:spacing w:after="0" w:line="287"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spacing w:after="0"/>
              <w:rPr>
                <w:sz w:val="20"/>
                <w:szCs w:val="20"/>
                <w:color w:val="auto"/>
              </w:rPr>
            </w:pPr>
            <w:r>
              <w:rPr>
                <w:rFonts w:ascii="Arial" w:cs="Arial" w:eastAsia="Arial" w:hAnsi="Arial"/>
                <w:sz w:val="18"/>
                <w:szCs w:val="18"/>
                <w:color w:val="auto"/>
                <w:w w:val="92"/>
              </w:rPr>
              <w:t>CUSIP No. 98980L101</w:t>
            </w:r>
          </w:p>
        </w:tc>
        <w:tc>
          <w:tcPr>
            <w:tcW w:w="120" w:type="dxa"/>
            <w:vAlign w:val="bottom"/>
          </w:tcPr>
          <w:p>
            <w:pPr>
              <w:spacing w:after="0"/>
              <w:rPr>
                <w:sz w:val="20"/>
                <w:szCs w:val="20"/>
                <w:color w:val="auto"/>
              </w:rPr>
            </w:pPr>
          </w:p>
        </w:tc>
        <w:tc>
          <w:tcPr>
            <w:tcW w:w="680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4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Prime Doyen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British Virgin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14,208,398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14,208,398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14,208,398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6"/>
              </w:rPr>
              <w:t>11.3% (2)(3)(4)</w:t>
            </w: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40" w:hanging="336"/>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14,208,398 shares of Class B common stock of the Issuer owned directly by Bucantini.</w:t>
      </w:r>
    </w:p>
    <w:p>
      <w:pPr>
        <w:spacing w:after="0" w:line="23" w:lineRule="exact"/>
        <w:rPr>
          <w:rFonts w:ascii="Arial" w:cs="Arial" w:eastAsia="Arial" w:hAnsi="Arial"/>
          <w:sz w:val="18"/>
          <w:szCs w:val="18"/>
          <w:color w:val="auto"/>
        </w:rPr>
      </w:pPr>
    </w:p>
    <w:p>
      <w:pPr>
        <w:ind w:left="340" w:right="20" w:hanging="336"/>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Yuan,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340" w:right="60" w:hanging="336"/>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14,208,398 Class B common stock of the Issuer owned directly by Bucantini, as described in paragraph (1) above (with such shares treated as converted into 14,208,398 shares of Class A common stock only for purposes of computing the percentage ownership of the reporting person pursuant to the Act).</w:t>
      </w:r>
    </w:p>
    <w:p>
      <w:pPr>
        <w:ind w:left="340" w:right="100" w:hanging="336"/>
        <w:spacing w:after="0" w:line="28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00" w:type="dxa"/>
            <w:vAlign w:val="bottom"/>
            <w:gridSpan w:val="6"/>
          </w:tcPr>
          <w:p>
            <w:pPr>
              <w:jc w:val="center"/>
              <w:ind w:right="210"/>
              <w:spacing w:after="0"/>
              <w:rPr>
                <w:sz w:val="20"/>
                <w:szCs w:val="20"/>
                <w:color w:val="auto"/>
              </w:rPr>
            </w:pPr>
            <w:r>
              <w:rPr>
                <w:rFonts w:ascii="Arial" w:cs="Arial" w:eastAsia="Arial" w:hAnsi="Arial"/>
                <w:sz w:val="18"/>
                <w:szCs w:val="18"/>
                <w:color w:val="auto"/>
                <w:w w:val="92"/>
              </w:rPr>
              <w:t>CUSIP No. 98980L101</w:t>
            </w:r>
          </w:p>
        </w:tc>
        <w:tc>
          <w:tcPr>
            <w:tcW w:w="6680" w:type="dxa"/>
            <w:vAlign w:val="bottom"/>
          </w:tcPr>
          <w:p>
            <w:pPr>
              <w:ind w:left="304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5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Bucantini Enterprises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8"/>
              </w:rPr>
              <w:t xml:space="preserve">(a)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(b) </w:t>
            </w:r>
            <w:r>
              <w:rPr>
                <w:rFonts w:ascii="MS PGothic" w:cs="MS PGothic" w:eastAsia="MS PGothic" w:hAnsi="MS PGothic"/>
                <w:sz w:val="18"/>
                <w:szCs w:val="18"/>
                <w:color w:val="auto"/>
                <w:w w:val="98"/>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w w:val="99"/>
              </w:rPr>
              <w:t>SEC USE ONLY</w:t>
            </w:r>
          </w:p>
        </w:tc>
        <w:tc>
          <w:tcPr>
            <w:tcW w:w="668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gridSpan w:val="2"/>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British Virgin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vMerge w:val="restart"/>
          </w:tcPr>
          <w:p>
            <w:pPr>
              <w:ind w:left="60"/>
              <w:spacing w:after="0"/>
              <w:rPr>
                <w:sz w:val="20"/>
                <w:szCs w:val="20"/>
                <w:color w:val="auto"/>
              </w:rPr>
            </w:pPr>
            <w:r>
              <w:rPr>
                <w:rFonts w:ascii="Arial" w:cs="Arial" w:eastAsia="Arial" w:hAnsi="Arial"/>
                <w:sz w:val="18"/>
                <w:szCs w:val="18"/>
                <w:color w:val="auto"/>
              </w:rPr>
              <w:t>14,208,398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5"/>
                <w:szCs w:val="15"/>
                <w:color w:val="auto"/>
              </w:rPr>
            </w:pPr>
          </w:p>
        </w:tc>
        <w:tc>
          <w:tcPr>
            <w:tcW w:w="66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tcPr>
          <w:p>
            <w:pPr>
              <w:ind w:left="6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2"/>
                <w:szCs w:val="12"/>
                <w:color w:val="auto"/>
              </w:rPr>
            </w:pPr>
          </w:p>
        </w:tc>
        <w:tc>
          <w:tcPr>
            <w:tcW w:w="66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68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14,208,398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4"/>
              </w:rPr>
              <w:t>14,208,398 (1)(2)</w:t>
            </w: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6"/>
              </w:rPr>
              <w:t>11.3% (2)(3)(4)</w:t>
            </w: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14,208,398 shares of Class B common stock of the Issuer owned directly by Bucantini.</w:t>
      </w:r>
    </w:p>
    <w:p>
      <w:pPr>
        <w:spacing w:after="0" w:line="23" w:lineRule="exact"/>
        <w:rPr>
          <w:rFonts w:ascii="Arial" w:cs="Arial" w:eastAsia="Arial" w:hAnsi="Arial"/>
          <w:sz w:val="18"/>
          <w:szCs w:val="18"/>
          <w:color w:val="auto"/>
        </w:rPr>
      </w:pPr>
    </w:p>
    <w:p>
      <w:pPr>
        <w:ind w:left="440" w:right="100" w:hanging="436"/>
        <w:spacing w:after="0" w:line="265"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Yuan,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440" w:right="200" w:hanging="436"/>
        <w:spacing w:after="0" w:line="265"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14,208,398 Class B common stock of the Issuer owned directly by Bucantini, as described in paragraph (1) above (with such shares treated as converted into 14,208,398 shares of Class A common stock only for purposes of computing the percentage ownership of the reporting person pursuant to the Act).</w:t>
      </w:r>
    </w:p>
    <w:p>
      <w:pPr>
        <w:ind w:left="440" w:right="100" w:hanging="436"/>
        <w:spacing w:after="0" w:line="28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spacing w:after="0"/>
              <w:rPr>
                <w:sz w:val="20"/>
                <w:szCs w:val="20"/>
                <w:color w:val="auto"/>
              </w:rPr>
            </w:pPr>
            <w:r>
              <w:rPr>
                <w:rFonts w:ascii="Arial" w:cs="Arial" w:eastAsia="Arial" w:hAnsi="Arial"/>
                <w:sz w:val="18"/>
                <w:szCs w:val="18"/>
                <w:color w:val="auto"/>
                <w:w w:val="92"/>
              </w:rPr>
              <w:t>CUSIP No. 98980L101</w:t>
            </w:r>
          </w:p>
        </w:tc>
        <w:tc>
          <w:tcPr>
            <w:tcW w:w="120" w:type="dxa"/>
            <w:vAlign w:val="bottom"/>
          </w:tcPr>
          <w:p>
            <w:pPr>
              <w:spacing w:after="0"/>
              <w:rPr>
                <w:sz w:val="20"/>
                <w:szCs w:val="20"/>
                <w:color w:val="auto"/>
              </w:rPr>
            </w:pPr>
          </w:p>
        </w:tc>
        <w:tc>
          <w:tcPr>
            <w:tcW w:w="680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6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Prime Tech Global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British Virgin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350,000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350,000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4"/>
              </w:rPr>
              <w:t>350,000 (1)(2)</w:t>
            </w: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3"/>
              </w:rPr>
              <w:t>0.3% (2)(3)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w:t>
      </w:r>
    </w:p>
    <w:p>
      <w:pPr>
        <w:spacing w:after="0" w:line="23" w:lineRule="exact"/>
        <w:rPr>
          <w:rFonts w:ascii="Arial" w:cs="Arial" w:eastAsia="Arial" w:hAnsi="Arial"/>
          <w:sz w:val="18"/>
          <w:szCs w:val="18"/>
          <w:color w:val="auto"/>
        </w:rPr>
      </w:pPr>
    </w:p>
    <w:p>
      <w:pPr>
        <w:ind w:left="440" w:right="180" w:hanging="436"/>
        <w:spacing w:after="0" w:line="261"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111,794,527 shares of Class A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spacing w:after="0"/>
              <w:rPr>
                <w:sz w:val="20"/>
                <w:szCs w:val="20"/>
                <w:color w:val="auto"/>
              </w:rPr>
            </w:pPr>
            <w:r>
              <w:rPr>
                <w:rFonts w:ascii="Arial" w:cs="Arial" w:eastAsia="Arial" w:hAnsi="Arial"/>
                <w:sz w:val="18"/>
                <w:szCs w:val="18"/>
                <w:color w:val="auto"/>
                <w:w w:val="92"/>
              </w:rPr>
              <w:t>CUSIP No. 98980L101</w:t>
            </w:r>
          </w:p>
        </w:tc>
        <w:tc>
          <w:tcPr>
            <w:tcW w:w="120" w:type="dxa"/>
            <w:vAlign w:val="bottom"/>
          </w:tcPr>
          <w:p>
            <w:pPr>
              <w:spacing w:after="0"/>
              <w:rPr>
                <w:sz w:val="20"/>
                <w:szCs w:val="20"/>
                <w:color w:val="auto"/>
              </w:rPr>
            </w:pPr>
          </w:p>
        </w:tc>
        <w:tc>
          <w:tcPr>
            <w:tcW w:w="6800" w:type="dxa"/>
            <w:vAlign w:val="bottom"/>
          </w:tcPr>
          <w:p>
            <w:pPr>
              <w:ind w:left="3160"/>
              <w:spacing w:after="0"/>
              <w:rPr>
                <w:sz w:val="20"/>
                <w:szCs w:val="20"/>
                <w:color w:val="auto"/>
              </w:rPr>
            </w:pPr>
            <w:r>
              <w:rPr>
                <w:rFonts w:ascii="Arial" w:cs="Arial" w:eastAsia="Arial" w:hAnsi="Arial"/>
                <w:sz w:val="18"/>
                <w:szCs w:val="18"/>
                <w:color w:val="auto"/>
              </w:rPr>
              <w:t>SCHEDULE 13G</w:t>
            </w:r>
          </w:p>
        </w:tc>
        <w:tc>
          <w:tcPr>
            <w:tcW w:w="2380" w:type="dxa"/>
            <w:vAlign w:val="bottom"/>
          </w:tcPr>
          <w:p>
            <w:pPr>
              <w:ind w:left="980"/>
              <w:spacing w:after="0"/>
              <w:rPr>
                <w:sz w:val="20"/>
                <w:szCs w:val="20"/>
                <w:color w:val="auto"/>
              </w:rPr>
            </w:pPr>
            <w:r>
              <w:rPr>
                <w:rFonts w:ascii="Arial" w:cs="Arial" w:eastAsia="Arial" w:hAnsi="Arial"/>
                <w:sz w:val="18"/>
                <w:szCs w:val="18"/>
                <w:color w:val="auto"/>
                <w:w w:val="85"/>
              </w:rPr>
              <w:t>Page 7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Bonus Goal International Limited</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British Virgin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350,000 (1)(2)</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0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80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68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0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350,000 (1)(2)</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4"/>
              </w:rPr>
              <w:t>350,000 (1)(2)</w:t>
            </w: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3"/>
              </w:rPr>
              <w:t>0.3% (2)(3)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w:t>
      </w:r>
    </w:p>
    <w:p>
      <w:pPr>
        <w:spacing w:after="0" w:line="23" w:lineRule="exact"/>
        <w:rPr>
          <w:rFonts w:ascii="Arial" w:cs="Arial" w:eastAsia="Arial" w:hAnsi="Arial"/>
          <w:sz w:val="18"/>
          <w:szCs w:val="18"/>
          <w:color w:val="auto"/>
        </w:rPr>
      </w:pPr>
    </w:p>
    <w:p>
      <w:pPr>
        <w:ind w:left="440" w:right="180" w:hanging="436"/>
        <w:spacing w:after="0" w:line="261"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111,794,527 shares of Class A common stock (as reported in the Issuer’s Quarterly Report on Form 10-Q as filed by the Issuer with the SEC on December 9, 2019).</w:t>
      </w:r>
    </w:p>
    <w:p>
      <w:pPr>
        <w:sectPr>
          <w:pgSz w:w="11900" w:h="16838" w:orient="portrait"/>
          <w:cols w:equalWidth="0" w:num="1">
            <w:col w:w="11040"/>
          </w:cols>
          <w:pgMar w:left="440" w:top="274" w:right="4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CUSIP No. 98980L101</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Arial" w:cs="Arial" w:eastAsia="Arial" w:hAnsi="Arial"/>
          <w:sz w:val="17"/>
          <w:szCs w:val="17"/>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-208915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12 Pages</w:t>
      </w:r>
    </w:p>
    <w:p>
      <w:pPr>
        <w:spacing w:after="0" w:line="187" w:lineRule="exact"/>
        <w:rPr>
          <w:sz w:val="20"/>
          <w:szCs w:val="20"/>
          <w:color w:val="auto"/>
        </w:rPr>
      </w:pPr>
    </w:p>
    <w:p>
      <w:pPr>
        <w:sectPr>
          <w:pgSz w:w="11900" w:h="16838" w:orient="portrait"/>
          <w:cols w:equalWidth="0" w:num="3">
            <w:col w:w="4320" w:space="720"/>
            <w:col w:w="3900" w:space="720"/>
            <w:col w:w="1360"/>
          </w:cols>
          <w:pgMar w:left="440" w:top="274"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Issuer</w:t>
      </w:r>
    </w:p>
    <w:p>
      <w:pPr>
        <w:spacing w:after="0" w:line="155" w:lineRule="exact"/>
        <w:rPr>
          <w:sz w:val="20"/>
          <w:szCs w:val="20"/>
          <w:color w:val="auto"/>
        </w:rPr>
      </w:pPr>
    </w:p>
    <w:p>
      <w:pPr>
        <w:sectPr>
          <w:pgSz w:w="11900" w:h="16838" w:orient="portrait"/>
          <w:cols w:equalWidth="0" w:num="2">
            <w:col w:w="800" w:space="720"/>
            <w:col w:w="9500"/>
          </w:cols>
          <w:pgMar w:left="440" w:top="274" w:right="439" w:bottom="1440" w:gutter="0" w:footer="0" w:header="0"/>
          <w:type w:val="continuous"/>
        </w:sectPr>
      </w:pPr>
    </w:p>
    <w:p>
      <w:pPr>
        <w:ind w:left="1520" w:hanging="76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20" w:hanging="76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20" w:right="706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18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00" w:hanging="24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17"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 Ka Shing, a Hong Kong citizen;</w:t>
      </w:r>
    </w:p>
    <w:p>
      <w:pPr>
        <w:spacing w:after="0" w:line="130"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Mayspin Management Limited, a British Virgin Islands company;</w:t>
      </w:r>
    </w:p>
    <w:p>
      <w:pPr>
        <w:spacing w:after="0" w:line="130"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Prime Doyen Limited, a British Virgin Islands company;</w:t>
      </w:r>
    </w:p>
    <w:p>
      <w:pPr>
        <w:spacing w:after="0" w:line="130"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Bucantini Enterprises Limited, a British Virgin Islands company;</w:t>
      </w:r>
    </w:p>
    <w:p>
      <w:pPr>
        <w:spacing w:after="0" w:line="130"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Prime Tech Global Limited, a British Virgin Islands company; and</w:t>
      </w:r>
    </w:p>
    <w:p>
      <w:pPr>
        <w:spacing w:after="0" w:line="130" w:lineRule="exact"/>
        <w:rPr>
          <w:rFonts w:ascii="Arial" w:cs="Arial" w:eastAsia="Arial" w:hAnsi="Arial"/>
          <w:sz w:val="18"/>
          <w:szCs w:val="18"/>
          <w:color w:val="auto"/>
        </w:rPr>
      </w:pPr>
    </w:p>
    <w:p>
      <w:pPr>
        <w:ind w:left="1860" w:hanging="344"/>
        <w:spacing w:after="0"/>
        <w:tabs>
          <w:tab w:leader="none" w:pos="1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Bonus Goal International Limited, a British Virgin Islands company.</w:t>
      </w:r>
    </w:p>
    <w:p>
      <w:pPr>
        <w:spacing w:after="0" w:line="131" w:lineRule="exact"/>
        <w:rPr>
          <w:sz w:val="20"/>
          <w:szCs w:val="20"/>
          <w:color w:val="auto"/>
        </w:rPr>
      </w:pPr>
    </w:p>
    <w:p>
      <w:pPr>
        <w:ind w:left="1520" w:right="24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are Cheung Kong Center, 7</w:t>
      </w:r>
      <w:r>
        <w:rPr>
          <w:rFonts w:ascii="Arial" w:cs="Arial" w:eastAsia="Arial" w:hAnsi="Arial"/>
          <w:sz w:val="15"/>
          <w:szCs w:val="15"/>
          <w:color w:val="auto"/>
        </w:rPr>
        <w:t>th</w:t>
      </w:r>
      <w:r>
        <w:rPr>
          <w:rFonts w:ascii="Arial" w:cs="Arial" w:eastAsia="Arial" w:hAnsi="Arial"/>
          <w:sz w:val="18"/>
          <w:szCs w:val="18"/>
          <w:color w:val="auto"/>
        </w:rPr>
        <w:t xml:space="preserve"> Floor, 2 Queen’s Road Central, Hong Kong.</w:t>
      </w:r>
    </w:p>
    <w:p>
      <w:pPr>
        <w:spacing w:after="0" w:line="76" w:lineRule="exact"/>
        <w:rPr>
          <w:sz w:val="20"/>
          <w:szCs w:val="20"/>
          <w:color w:val="auto"/>
        </w:rPr>
      </w:pPr>
    </w:p>
    <w:p>
      <w:pPr>
        <w:ind w:left="1520" w:hanging="76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520" w:right="8300" w:hanging="760"/>
        <w:spacing w:after="0" w:line="483"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880" w:right="640" w:hanging="1120"/>
        <w:spacing w:after="0" w:line="239" w:lineRule="exact"/>
        <w:tabs>
          <w:tab w:leader="none" w:pos="1515"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520" w:hanging="760"/>
        <w:spacing w:after="0" w:line="207" w:lineRule="exact"/>
        <w:tabs>
          <w:tab w:leader="none" w:pos="15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4" w:right="439" w:bottom="1440" w:gutter="0" w:footer="0" w:header="0"/>
          <w:type w:val="continuous"/>
        </w:sectPr>
      </w:pPr>
    </w:p>
    <w:bookmarkStart w:id="8" w:name="page9"/>
    <w:bookmarkEnd w:id="8"/>
    <w:p>
      <w:pPr>
        <w:spacing w:after="0"/>
        <w:tabs>
          <w:tab w:leader="none" w:pos="502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12 Pages</w:t>
      </w:r>
    </w:p>
    <w:p>
      <w:pPr>
        <w:spacing w:after="0" w:line="2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00" w:hanging="24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7" w:lineRule="exact"/>
        <w:rPr>
          <w:rFonts w:ascii="Arial" w:cs="Arial" w:eastAsia="Arial" w:hAnsi="Arial"/>
          <w:sz w:val="18"/>
          <w:szCs w:val="18"/>
          <w:color w:val="auto"/>
        </w:rPr>
      </w:pPr>
    </w:p>
    <w:p>
      <w:pPr>
        <w:ind w:left="2220" w:hanging="474"/>
        <w:spacing w:after="0" w:line="291" w:lineRule="auto"/>
        <w:tabs>
          <w:tab w:leader="none" w:pos="2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Bucantini directly owns 14,208,398 shares of Class B common stock, which, when such shares are treated as converted into shares of Class A common stock only for purposes of computing the percentage ownership of the reporting person pursuant to the Act, represents approximately 11.3%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w:t>
      </w:r>
    </w:p>
    <w:p>
      <w:pPr>
        <w:spacing w:after="0" w:line="55" w:lineRule="exact"/>
        <w:rPr>
          <w:rFonts w:ascii="Arial" w:cs="Arial" w:eastAsia="Arial" w:hAnsi="Arial"/>
          <w:sz w:val="16"/>
          <w:szCs w:val="16"/>
          <w:color w:val="auto"/>
        </w:rPr>
      </w:pPr>
    </w:p>
    <w:p>
      <w:pPr>
        <w:ind w:left="2220" w:right="20" w:hanging="474"/>
        <w:spacing w:after="0" w:line="254" w:lineRule="auto"/>
        <w:tabs>
          <w:tab w:leader="none" w:pos="2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Prime Doyen Limited (“</w:t>
      </w:r>
      <w:r>
        <w:rPr>
          <w:rFonts w:ascii="Arial" w:cs="Arial" w:eastAsia="Arial" w:hAnsi="Arial"/>
          <w:sz w:val="18"/>
          <w:szCs w:val="18"/>
          <w:b w:val="1"/>
          <w:bCs w:val="1"/>
          <w:color w:val="auto"/>
        </w:rPr>
        <w:t>Prime Doyen</w:t>
      </w:r>
      <w:r>
        <w:rPr>
          <w:rFonts w:ascii="Arial" w:cs="Arial" w:eastAsia="Arial" w:hAnsi="Arial"/>
          <w:sz w:val="18"/>
          <w:szCs w:val="18"/>
          <w:color w:val="auto"/>
        </w:rPr>
        <w:t>”) is the sole shareholder of Bucantini, and as such, Prime Doyen may also be deemed to beneficially own 14,208,398 shares of Class B common stock, which, when such shares are treated as converted into shares of Class A common stock only for purposes of computing the percentage ownership of the reporting person pursuant to the Act, represents approximately 11.3%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w:t>
      </w:r>
    </w:p>
    <w:p>
      <w:pPr>
        <w:spacing w:after="0" w:line="85" w:lineRule="exact"/>
        <w:rPr>
          <w:rFonts w:ascii="Arial" w:cs="Arial" w:eastAsia="Arial" w:hAnsi="Arial"/>
          <w:sz w:val="18"/>
          <w:szCs w:val="18"/>
          <w:color w:val="auto"/>
        </w:rPr>
      </w:pPr>
    </w:p>
    <w:p>
      <w:pPr>
        <w:ind w:left="2220" w:right="640" w:hanging="474"/>
        <w:spacing w:after="0" w:line="277" w:lineRule="auto"/>
        <w:tabs>
          <w:tab w:leader="none" w:pos="2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Bonus Goal directly owns 350,000 shares of Class A common stock, which represents approximately 0.3% of the outstanding shares of Class A common stock of the Issuer.</w:t>
      </w:r>
    </w:p>
    <w:p>
      <w:pPr>
        <w:spacing w:after="0" w:line="58" w:lineRule="exact"/>
        <w:rPr>
          <w:rFonts w:ascii="Arial" w:cs="Arial" w:eastAsia="Arial" w:hAnsi="Arial"/>
          <w:sz w:val="18"/>
          <w:szCs w:val="18"/>
          <w:color w:val="auto"/>
        </w:rPr>
      </w:pPr>
    </w:p>
    <w:p>
      <w:pPr>
        <w:ind w:left="2220" w:right="140" w:hanging="474"/>
        <w:spacing w:after="0" w:line="266" w:lineRule="auto"/>
        <w:tabs>
          <w:tab w:leader="none" w:pos="2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Prime Tech Global Limited (“</w:t>
      </w:r>
      <w:r>
        <w:rPr>
          <w:rFonts w:ascii="Arial" w:cs="Arial" w:eastAsia="Arial" w:hAnsi="Arial"/>
          <w:sz w:val="18"/>
          <w:szCs w:val="18"/>
          <w:b w:val="1"/>
          <w:bCs w:val="1"/>
          <w:color w:val="auto"/>
        </w:rPr>
        <w:t>Prime Tech</w:t>
      </w:r>
      <w:r>
        <w:rPr>
          <w:rFonts w:ascii="Arial" w:cs="Arial" w:eastAsia="Arial" w:hAnsi="Arial"/>
          <w:sz w:val="18"/>
          <w:szCs w:val="18"/>
          <w:color w:val="auto"/>
        </w:rPr>
        <w:t>”) is the sole shareholder of Bonus Goal, and as such, Prime Tech may also be deemed to beneficially own 350,000 shares of Class A common stock, which represents approximately 0.3% of the outstanding shares of Class A common stock of the Issuer.</w:t>
      </w:r>
    </w:p>
    <w:p>
      <w:pPr>
        <w:spacing w:after="0" w:line="68" w:lineRule="exact"/>
        <w:rPr>
          <w:rFonts w:ascii="Arial" w:cs="Arial" w:eastAsia="Arial" w:hAnsi="Arial"/>
          <w:sz w:val="18"/>
          <w:szCs w:val="18"/>
          <w:color w:val="auto"/>
        </w:rPr>
      </w:pPr>
    </w:p>
    <w:p>
      <w:pPr>
        <w:ind w:left="2220" w:right="20" w:hanging="474"/>
        <w:spacing w:after="0" w:line="271" w:lineRule="auto"/>
        <w:tabs>
          <w:tab w:leader="none" w:pos="2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Mayspin Management Limited (“</w:t>
      </w:r>
      <w:r>
        <w:rPr>
          <w:rFonts w:ascii="Arial" w:cs="Arial" w:eastAsia="Arial" w:hAnsi="Arial"/>
          <w:sz w:val="17"/>
          <w:szCs w:val="17"/>
          <w:b w:val="1"/>
          <w:bCs w:val="1"/>
          <w:color w:val="auto"/>
        </w:rPr>
        <w:t>Mayspin</w:t>
      </w:r>
      <w:r>
        <w:rPr>
          <w:rFonts w:ascii="Arial" w:cs="Arial" w:eastAsia="Arial" w:hAnsi="Arial"/>
          <w:sz w:val="17"/>
          <w:szCs w:val="17"/>
          <w:color w:val="auto"/>
        </w:rPr>
        <w:t>”) is the sole shareholder of Prime Doyen, which is the sole shareholder of Bucantini, and as such, Mayspin may also be deemed to beneficially own 14,208,398 shares of Class B common stock, which, when such shares are treated as converted into shares of Class A common stock only for purposes of computing the percentage ownership of the reporting person pursuant to the Act, represents approximately 11.3%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w:t>
      </w:r>
    </w:p>
    <w:p>
      <w:pPr>
        <w:spacing w:after="0" w:line="83" w:lineRule="exact"/>
        <w:rPr>
          <w:rFonts w:ascii="Arial" w:cs="Arial" w:eastAsia="Arial" w:hAnsi="Arial"/>
          <w:sz w:val="17"/>
          <w:szCs w:val="17"/>
          <w:color w:val="auto"/>
        </w:rPr>
      </w:pPr>
    </w:p>
    <w:p>
      <w:pPr>
        <w:jc w:val="both"/>
        <w:ind w:left="2220" w:right="220"/>
        <w:spacing w:after="0" w:line="264" w:lineRule="auto"/>
        <w:rPr>
          <w:rFonts w:ascii="Arial" w:cs="Arial" w:eastAsia="Arial" w:hAnsi="Arial"/>
          <w:sz w:val="17"/>
          <w:szCs w:val="17"/>
          <w:color w:val="auto"/>
        </w:rPr>
      </w:pPr>
      <w:r>
        <w:rPr>
          <w:rFonts w:ascii="Arial" w:cs="Arial" w:eastAsia="Arial" w:hAnsi="Arial"/>
          <w:sz w:val="18"/>
          <w:szCs w:val="18"/>
          <w:color w:val="auto"/>
        </w:rPr>
        <w:t>Mayspin is also the sole shareholder of Prime Tech, which is the sole shareholder of Bonus Goal, and as such, Mayspin may also be deemed to beneficially own 350,000 shares of the Class A common stock, which represents approximately 0.3% of the outstanding shares of Class A common stock of the Issuer.</w:t>
      </w:r>
    </w:p>
    <w:p>
      <w:pPr>
        <w:spacing w:after="0" w:line="86" w:lineRule="exact"/>
        <w:rPr>
          <w:rFonts w:ascii="Arial" w:cs="Arial" w:eastAsia="Arial" w:hAnsi="Arial"/>
          <w:sz w:val="17"/>
          <w:szCs w:val="17"/>
          <w:color w:val="auto"/>
        </w:rPr>
      </w:pPr>
    </w:p>
    <w:p>
      <w:pPr>
        <w:jc w:val="both"/>
        <w:ind w:left="2220" w:right="140"/>
        <w:spacing w:after="0" w:line="312" w:lineRule="auto"/>
        <w:rPr>
          <w:rFonts w:ascii="Arial" w:cs="Arial" w:eastAsia="Arial" w:hAnsi="Arial"/>
          <w:sz w:val="17"/>
          <w:szCs w:val="17"/>
          <w:color w:val="auto"/>
        </w:rPr>
      </w:pPr>
      <w:r>
        <w:rPr>
          <w:rFonts w:ascii="Arial" w:cs="Arial" w:eastAsia="Arial" w:hAnsi="Arial"/>
          <w:sz w:val="16"/>
          <w:szCs w:val="16"/>
          <w:color w:val="auto"/>
        </w:rPr>
        <w:t>Collectively, Mayspin may be deemed to beneficially own 11.6% of the outstanding shares of Class A common stock of the Issuer (with the shares of Class B common stock beneficially owned by it treated as converted into shares of Class A common stock only for purposes of computing the percentage ownership of the reporting person pursuant to the Act).</w:t>
      </w:r>
    </w:p>
    <w:p>
      <w:pPr>
        <w:spacing w:after="0" w:line="48" w:lineRule="exact"/>
        <w:rPr>
          <w:rFonts w:ascii="Arial" w:cs="Arial" w:eastAsia="Arial" w:hAnsi="Arial"/>
          <w:sz w:val="17"/>
          <w:szCs w:val="17"/>
          <w:color w:val="auto"/>
        </w:rPr>
      </w:pPr>
    </w:p>
    <w:p>
      <w:pPr>
        <w:ind w:left="2220" w:right="100" w:hanging="474"/>
        <w:spacing w:after="0" w:line="298" w:lineRule="auto"/>
        <w:tabs>
          <w:tab w:leader="none" w:pos="2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Li Ka Shing (“</w:t>
      </w:r>
      <w:r>
        <w:rPr>
          <w:rFonts w:ascii="Arial" w:cs="Arial" w:eastAsia="Arial" w:hAnsi="Arial"/>
          <w:sz w:val="16"/>
          <w:szCs w:val="16"/>
          <w:b w:val="1"/>
          <w:bCs w:val="1"/>
          <w:color w:val="auto"/>
        </w:rPr>
        <w:t>Mr. Li</w:t>
      </w:r>
      <w:r>
        <w:rPr>
          <w:rFonts w:ascii="Arial" w:cs="Arial" w:eastAsia="Arial" w:hAnsi="Arial"/>
          <w:sz w:val="16"/>
          <w:szCs w:val="16"/>
          <w:color w:val="auto"/>
        </w:rPr>
        <w:t>”) is the sole shareholder of Mayspin, which is the sole shareholder of Prime Doyen, which is the sole shareholder of Bucantini, and as such, Mr. Li may also be deemed to beneficially own 14,208,398 shares of Class B common stock, which, when such shares are treated as converted into shares of Class A common stock only for purposes of computing the percentage ownership of the reporting person pursuant to the Act, represents approximately 11.3% of the outstanding shares of Class A common stock. In accordance with Rule 13d-3, the percentage</w:t>
      </w:r>
    </w:p>
    <w:p>
      <w:pPr>
        <w:sectPr>
          <w:pgSz w:w="11900" w:h="16838" w:orient="portrait"/>
          <w:cols w:equalWidth="0" w:num="1">
            <w:col w:w="11020"/>
          </w:cols>
          <w:pgMar w:left="440" w:top="274" w:right="439" w:bottom="1440" w:gutter="0" w:footer="0" w:header="0"/>
        </w:sectPr>
      </w:pPr>
    </w:p>
    <w:bookmarkStart w:id="9" w:name="page10"/>
    <w:bookmarkEnd w:id="9"/>
    <w:p>
      <w:pPr>
        <w:spacing w:after="0"/>
        <w:tabs>
          <w:tab w:leader="none" w:pos="50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12 Pages</w:t>
      </w:r>
    </w:p>
    <w:p>
      <w:pPr>
        <w:spacing w:after="0" w:line="158" w:lineRule="exact"/>
        <w:rPr>
          <w:sz w:val="20"/>
          <w:szCs w:val="20"/>
          <w:color w:val="auto"/>
        </w:rPr>
      </w:pPr>
    </w:p>
    <w:p>
      <w:pPr>
        <w:jc w:val="both"/>
        <w:ind w:left="560" w:right="160"/>
        <w:spacing w:after="0" w:line="312" w:lineRule="auto"/>
        <w:rPr>
          <w:sz w:val="20"/>
          <w:szCs w:val="20"/>
          <w:color w:val="auto"/>
        </w:rPr>
      </w:pPr>
      <w:r>
        <w:rPr>
          <w:rFonts w:ascii="Arial" w:cs="Arial" w:eastAsia="Arial" w:hAnsi="Arial"/>
          <w:sz w:val="16"/>
          <w:szCs w:val="16"/>
          <w:color w:val="auto"/>
        </w:rPr>
        <w:t>reported does not reflect the ten for one voting power of the Class B common stock because the Class B common stock is not a registered class of voting equity securities under the Act. The 14,208,398 shares of Class B common stock owned directly by Bucantini represents 8.1% of the aggregate combined voting power of the outstanding shares of the Class A common stock and the Class B common stock of the Issuer.</w:t>
      </w:r>
    </w:p>
    <w:p>
      <w:pPr>
        <w:spacing w:after="0" w:line="52" w:lineRule="exact"/>
        <w:rPr>
          <w:sz w:val="20"/>
          <w:szCs w:val="20"/>
          <w:color w:val="auto"/>
        </w:rPr>
      </w:pPr>
    </w:p>
    <w:p>
      <w:pPr>
        <w:ind w:left="560" w:right="280"/>
        <w:spacing w:after="0" w:line="264" w:lineRule="auto"/>
        <w:rPr>
          <w:sz w:val="20"/>
          <w:szCs w:val="20"/>
          <w:color w:val="auto"/>
        </w:rPr>
      </w:pPr>
      <w:r>
        <w:rPr>
          <w:rFonts w:ascii="Arial" w:cs="Arial" w:eastAsia="Arial" w:hAnsi="Arial"/>
          <w:sz w:val="18"/>
          <w:szCs w:val="18"/>
          <w:color w:val="auto"/>
        </w:rPr>
        <w:t>Since Mayspin is also the sole shareholder of Prime Tech, which is the sole shareholder of Bonus Goal, Mr. Li, as the sole shareholder of Mayspin, may also be deemed to beneficially own 350,000 shares of the Class A common stock, which represents approximately 0.3% of the outstanding shares of Class A common stock of the Issuer.</w:t>
      </w:r>
    </w:p>
    <w:p>
      <w:pPr>
        <w:spacing w:after="0" w:line="87" w:lineRule="exact"/>
        <w:rPr>
          <w:sz w:val="20"/>
          <w:szCs w:val="20"/>
          <w:color w:val="auto"/>
        </w:rPr>
      </w:pPr>
    </w:p>
    <w:p>
      <w:pPr>
        <w:jc w:val="both"/>
        <w:ind w:left="560" w:right="80"/>
        <w:spacing w:after="0" w:line="264" w:lineRule="auto"/>
        <w:rPr>
          <w:sz w:val="20"/>
          <w:szCs w:val="20"/>
          <w:color w:val="auto"/>
        </w:rPr>
      </w:pPr>
      <w:r>
        <w:rPr>
          <w:rFonts w:ascii="Arial" w:cs="Arial" w:eastAsia="Arial" w:hAnsi="Arial"/>
          <w:sz w:val="18"/>
          <w:szCs w:val="18"/>
          <w:color w:val="auto"/>
        </w:rPr>
        <w:t>Collectively, Mr. Li may be deemed to beneficially own 11.6% of the outstanding shares of Class A common stock of the Issuer (with the shares of Class B common stock beneficially owned by him treated as converted into shares of Class A common stock only for purposes of computing the percentage ownership of the reporting person pursuant to the Act).</w:t>
      </w:r>
    </w:p>
    <w:p>
      <w:pPr>
        <w:spacing w:after="0" w:line="208" w:lineRule="exact"/>
        <w:rPr>
          <w:sz w:val="20"/>
          <w:szCs w:val="20"/>
          <w:color w:val="auto"/>
        </w:rPr>
      </w:pPr>
    </w:p>
    <w:p>
      <w:pPr>
        <w:jc w:val="both"/>
        <w:ind w:left="560" w:right="60"/>
        <w:spacing w:after="0" w:line="286" w:lineRule="auto"/>
        <w:rPr>
          <w:sz w:val="20"/>
          <w:szCs w:val="20"/>
          <w:color w:val="auto"/>
        </w:rPr>
      </w:pPr>
      <w:r>
        <w:rPr>
          <w:rFonts w:ascii="Arial" w:cs="Arial" w:eastAsia="Arial" w:hAnsi="Arial"/>
          <w:sz w:val="17"/>
          <w:szCs w:val="17"/>
          <w:color w:val="auto"/>
        </w:rPr>
        <w:t>The percent of the class and voting power were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  Number of shares as to which such person has: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3080" w:type="dxa"/>
            <w:vAlign w:val="bottom"/>
            <w:gridSpan w:val="8"/>
          </w:tcPr>
          <w:p>
            <w:pPr>
              <w:ind w:left="120"/>
              <w:spacing w:after="0"/>
              <w:rPr>
                <w:sz w:val="20"/>
                <w:szCs w:val="20"/>
                <w:color w:val="auto"/>
              </w:rPr>
            </w:pPr>
            <w:r>
              <w:rPr>
                <w:rFonts w:ascii="Arial" w:cs="Arial" w:eastAsia="Arial" w:hAnsi="Arial"/>
                <w:sz w:val="14"/>
                <w:szCs w:val="14"/>
                <w:b w:val="1"/>
                <w:bCs w:val="1"/>
                <w:color w:val="auto"/>
                <w:w w:val="98"/>
              </w:rPr>
              <w:t>Number of Shares of Class A Common Stock</w:t>
            </w:r>
          </w:p>
        </w:tc>
        <w:tc>
          <w:tcPr>
            <w:tcW w:w="0" w:type="dxa"/>
            <w:vAlign w:val="bottom"/>
          </w:tcPr>
          <w:p>
            <w:pPr>
              <w:spacing w:after="0"/>
              <w:rPr>
                <w:sz w:val="1"/>
                <w:szCs w:val="1"/>
                <w:color w:val="auto"/>
              </w:rPr>
            </w:pPr>
          </w:p>
        </w:tc>
      </w:tr>
      <w:tr>
        <w:trPr>
          <w:trHeight w:val="149"/>
        </w:trPr>
        <w:tc>
          <w:tcPr>
            <w:tcW w:w="7060" w:type="dxa"/>
            <w:vAlign w:val="bottom"/>
            <w:gridSpan w:val="3"/>
            <w:vMerge w:val="continue"/>
          </w:tcPr>
          <w:p>
            <w:pPr>
              <w:spacing w:after="0"/>
              <w:rPr>
                <w:sz w:val="12"/>
                <w:szCs w:val="12"/>
                <w:color w:val="auto"/>
              </w:rPr>
            </w:pPr>
          </w:p>
        </w:tc>
        <w:tc>
          <w:tcPr>
            <w:tcW w:w="5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(i)</w:t>
            </w:r>
          </w:p>
        </w:tc>
        <w:tc>
          <w:tcPr>
            <w:tcW w:w="1120" w:type="dxa"/>
            <w:vAlign w:val="bottom"/>
            <w:tcBorders>
              <w:top w:val="single" w:sz="8" w:color="auto"/>
            </w:tcBorders>
            <w:gridSpan w:val="2"/>
          </w:tcPr>
          <w:p>
            <w:pPr>
              <w:ind w:left="340"/>
              <w:spacing w:after="0" w:line="129" w:lineRule="exact"/>
              <w:rPr>
                <w:sz w:val="20"/>
                <w:szCs w:val="20"/>
                <w:color w:val="auto"/>
              </w:rPr>
            </w:pPr>
            <w:r>
              <w:rPr>
                <w:rFonts w:ascii="Arial" w:cs="Arial" w:eastAsia="Arial" w:hAnsi="Arial"/>
                <w:sz w:val="14"/>
                <w:szCs w:val="14"/>
                <w:b w:val="1"/>
                <w:bCs w:val="1"/>
                <w:color w:val="auto"/>
              </w:rPr>
              <w:t>(ii)</w:t>
            </w:r>
          </w:p>
        </w:tc>
        <w:tc>
          <w:tcPr>
            <w:tcW w:w="5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(iii)</w:t>
            </w:r>
          </w:p>
        </w:tc>
        <w:tc>
          <w:tcPr>
            <w:tcW w:w="88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Li Ka Shing</w:t>
            </w:r>
          </w:p>
        </w:tc>
        <w:tc>
          <w:tcPr>
            <w:tcW w:w="5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-0-</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14,558,398</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14,558,398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Mayspin Management Limited</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14,558,398</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14,558,398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Doyen Limited</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14,208,398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14,208,398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Bucantini Enterprises Limited</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14,208,398</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14,208,398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Tech Global Limited</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Bonus Goal International Limited</w:t>
            </w:r>
          </w:p>
        </w:tc>
        <w:tc>
          <w:tcPr>
            <w:tcW w:w="260" w:type="dxa"/>
            <w:vAlign w:val="bottom"/>
          </w:tcPr>
          <w:p>
            <w:pPr>
              <w:ind w:left="40"/>
              <w:spacing w:after="0"/>
              <w:rPr>
                <w:sz w:val="20"/>
                <w:szCs w:val="20"/>
                <w:color w:val="auto"/>
              </w:rPr>
            </w:pPr>
            <w:r>
              <w:rPr>
                <w:rFonts w:ascii="Arial" w:cs="Arial" w:eastAsia="Arial" w:hAnsi="Arial"/>
                <w:sz w:val="18"/>
                <w:szCs w:val="18"/>
                <w:color w:val="auto"/>
                <w:w w:val="90"/>
              </w:rPr>
              <w:t>-0-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00" w:hanging="35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500" w:hanging="35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480" w:hanging="333"/>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500" w:hanging="353"/>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31" w:lineRule="exact"/>
        <w:rPr>
          <w:sz w:val="20"/>
          <w:szCs w:val="20"/>
          <w:color w:val="auto"/>
        </w:rPr>
      </w:pPr>
    </w:p>
    <w:p>
      <w:pPr>
        <w:ind w:left="780" w:right="20"/>
        <w:spacing w:after="0" w:line="279" w:lineRule="auto"/>
        <w:rPr>
          <w:sz w:val="20"/>
          <w:szCs w:val="20"/>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14,208,398 shares of Class B common stock of the Issuer owned directly by Bucantini, as described above (assuming all such shares of Class B common stock were converted into 14,208,398 shares of Class A common stock of the Issuer as described in paragraph (2) above on December 31, 2019).</w:t>
      </w:r>
    </w:p>
    <w:p>
      <w:pPr>
        <w:spacing w:after="0" w:line="2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78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780" w:right="100" w:hanging="782"/>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5020" w:val="left"/>
          <w:tab w:leader="none" w:pos="9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12 Pages</w:t>
      </w:r>
    </w:p>
    <w:p>
      <w:pPr>
        <w:spacing w:after="0" w:line="15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jc w:val="right"/>
        <w:ind w:right="9060"/>
        <w:spacing w:after="0"/>
        <w:tabs>
          <w:tab w:leader="none" w:pos="10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w:t>
      </w:r>
    </w:p>
    <w:p>
      <w:pPr>
        <w:spacing w:after="0" w:line="135"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1" w:name="page12"/>
    <w:bookmarkEnd w:id="11"/>
    <w:p>
      <w:pPr>
        <w:spacing w:after="0"/>
        <w:tabs>
          <w:tab w:leader="none" w:pos="50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12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lvl w:ilvl="1">
      <w:lvlJc w:val="left"/>
      <w:lvlText w:val="(%2)"/>
      <w:numFmt w:val="lowerRoman"/>
      <w:start w:val="1"/>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2020-02-13T16:38:31Z</dcterms:created>
  <dcterms:modified xsi:type="dcterms:W3CDTF">2020-02-13T16:38:31Z</dcterms:modified>
</cp:coreProperties>
</file>