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Zoom Communications,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001-38865</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55 Almaden Boulevard</w:t>
              <w:br/>
              <w:t>6th Floor</w:t>
              <w:br/>
              <w:t>San Jose</w:t>
              <w:br/>
              <w:t xml:space="preserve">CALIFORNIA </w:t>
              <w:br/>
              <w:t>95113</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1-888-799-9666</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Eric S. Yuan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Other: 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Class A Common Stock</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130424</w:t>
            </w:r>
          </w:p>
        </w:tc>
        <w:tc>
          <w:tcPr>
            <w:tcW w:w="1568" w:type="dxa"/>
            <w:tcBorders/>
            <w:vAlign w:val="center"/>
          </w:tcPr>
          <w:p>
            <w:pPr>
              <w:pStyle w:val="TableContents"/>
              <w:bidi w:val="0"/>
              <w:spacing w:before="0" w:after="283"/>
              <w:jc w:val="left"/>
              <w:rPr/>
            </w:pPr>
            <w:r>
              <w:rPr/>
              <w:t>11983357.12</w:t>
            </w:r>
          </w:p>
        </w:tc>
        <w:tc>
          <w:tcPr>
            <w:tcW w:w="1545" w:type="dxa"/>
            <w:tcBorders/>
            <w:vAlign w:val="center"/>
          </w:tcPr>
          <w:p>
            <w:pPr>
              <w:pStyle w:val="TableContents"/>
              <w:bidi w:val="0"/>
              <w:spacing w:before="0" w:after="283"/>
              <w:jc w:val="left"/>
              <w:rPr/>
            </w:pPr>
            <w:r>
              <w:rPr/>
              <w:t>264645644</w:t>
            </w:r>
          </w:p>
        </w:tc>
        <w:tc>
          <w:tcPr>
            <w:tcW w:w="1563" w:type="dxa"/>
            <w:tcBorders/>
            <w:vAlign w:val="center"/>
          </w:tcPr>
          <w:p>
            <w:pPr>
              <w:pStyle w:val="TableContents"/>
              <w:bidi w:val="0"/>
              <w:spacing w:before="0" w:after="283"/>
              <w:jc w:val="left"/>
              <w:rPr/>
            </w:pPr>
            <w:r>
              <w:rPr/>
              <w:t>07/13/2026</w:t>
            </w:r>
          </w:p>
        </w:tc>
        <w:tc>
          <w:tcPr>
            <w:tcW w:w="137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7"/>
        <w:gridCol w:w="1103"/>
        <w:gridCol w:w="1490"/>
        <w:gridCol w:w="1136"/>
        <w:gridCol w:w="514"/>
        <w:gridCol w:w="1103"/>
        <w:gridCol w:w="1140"/>
        <w:gridCol w:w="1043"/>
        <w:gridCol w:w="1599"/>
      </w:tblGrid>
      <w:tr>
        <w:trPr/>
        <w:tc>
          <w:tcPr>
            <w:tcW w:w="107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90" w:type="dxa"/>
            <w:tcBorders/>
            <w:vAlign w:val="center"/>
          </w:tcPr>
          <w:p>
            <w:pPr>
              <w:pStyle w:val="TableHeading"/>
              <w:suppressLineNumbers/>
              <w:bidi w:val="0"/>
              <w:spacing w:before="0" w:after="283"/>
              <w:jc w:val="center"/>
              <w:rPr/>
            </w:pPr>
            <w:r>
              <w:rPr/>
              <w:t>Nature of Acquisition Transaction</w:t>
            </w:r>
          </w:p>
        </w:tc>
        <w:tc>
          <w:tcPr>
            <w:tcW w:w="1136"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0"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7" w:type="dxa"/>
            <w:tcBorders/>
            <w:vAlign w:val="center"/>
          </w:tcPr>
          <w:p>
            <w:pPr>
              <w:pStyle w:val="TableContents"/>
              <w:bidi w:val="0"/>
              <w:spacing w:before="0" w:after="283"/>
              <w:jc w:val="left"/>
              <w:rPr/>
            </w:pPr>
            <w:r>
              <w:rPr/>
              <w:t>Class A Common Stock</w:t>
            </w:r>
          </w:p>
        </w:tc>
        <w:tc>
          <w:tcPr>
            <w:tcW w:w="1103" w:type="dxa"/>
            <w:tcBorders/>
            <w:vAlign w:val="center"/>
          </w:tcPr>
          <w:p>
            <w:pPr>
              <w:pStyle w:val="TableContents"/>
              <w:bidi w:val="0"/>
              <w:spacing w:before="0" w:after="283"/>
              <w:jc w:val="left"/>
              <w:rPr/>
            </w:pPr>
            <w:r>
              <w:rPr/>
              <w:t>06/22/2011</w:t>
            </w:r>
          </w:p>
        </w:tc>
        <w:tc>
          <w:tcPr>
            <w:tcW w:w="1490" w:type="dxa"/>
            <w:tcBorders/>
            <w:vAlign w:val="center"/>
          </w:tcPr>
          <w:p>
            <w:pPr>
              <w:pStyle w:val="TableContents"/>
              <w:bidi w:val="0"/>
              <w:spacing w:before="0" w:after="283"/>
              <w:jc w:val="left"/>
              <w:rPr/>
            </w:pPr>
            <w:r>
              <w:rPr/>
              <w:t>Founder's Class B common stock; Founder's Class B common stock to be converted to Class A common stock in connection with any sales</w:t>
            </w:r>
          </w:p>
        </w:tc>
        <w:tc>
          <w:tcPr>
            <w:tcW w:w="1136" w:type="dxa"/>
            <w:tcBorders/>
            <w:vAlign w:val="center"/>
          </w:tcPr>
          <w:p>
            <w:pPr>
              <w:pStyle w:val="TableContents"/>
              <w:bidi w:val="0"/>
              <w:spacing w:before="0" w:after="283"/>
              <w:jc w:val="left"/>
              <w:rPr/>
            </w:pPr>
            <w:r>
              <w:rPr/>
              <w:t>The 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96800</w:t>
            </w:r>
          </w:p>
        </w:tc>
        <w:tc>
          <w:tcPr>
            <w:tcW w:w="1043" w:type="dxa"/>
            <w:tcBorders/>
            <w:vAlign w:val="center"/>
          </w:tcPr>
          <w:p>
            <w:pPr>
              <w:pStyle w:val="TableContents"/>
              <w:bidi w:val="0"/>
              <w:spacing w:before="0" w:after="283"/>
              <w:jc w:val="left"/>
              <w:rPr/>
            </w:pPr>
            <w:r>
              <w:rPr/>
              <w:t>06/22/2011</w:t>
            </w:r>
          </w:p>
        </w:tc>
        <w:tc>
          <w:tcPr>
            <w:tcW w:w="1599" w:type="dxa"/>
            <w:tcBorders/>
            <w:vAlign w:val="center"/>
          </w:tcPr>
          <w:p>
            <w:pPr>
              <w:pStyle w:val="TableContents"/>
              <w:bidi w:val="0"/>
              <w:spacing w:before="0" w:after="283"/>
              <w:jc w:val="left"/>
              <w:rPr/>
            </w:pPr>
            <w:r>
              <w:rPr/>
              <w:t>None</w:t>
            </w:r>
          </w:p>
        </w:tc>
      </w:tr>
      <w:tr>
        <w:trPr/>
        <w:tc>
          <w:tcPr>
            <w:tcW w:w="1077" w:type="dxa"/>
            <w:tcBorders/>
            <w:vAlign w:val="center"/>
          </w:tcPr>
          <w:p>
            <w:pPr>
              <w:pStyle w:val="TableContents"/>
              <w:bidi w:val="0"/>
              <w:spacing w:before="0" w:after="283"/>
              <w:jc w:val="left"/>
              <w:rPr/>
            </w:pPr>
            <w:r>
              <w:rPr/>
              <w:t>Class A Common Stock</w:t>
            </w:r>
          </w:p>
        </w:tc>
        <w:tc>
          <w:tcPr>
            <w:tcW w:w="1103" w:type="dxa"/>
            <w:tcBorders/>
            <w:vAlign w:val="center"/>
          </w:tcPr>
          <w:p>
            <w:pPr>
              <w:pStyle w:val="TableContents"/>
              <w:bidi w:val="0"/>
              <w:spacing w:before="0" w:after="283"/>
              <w:jc w:val="left"/>
              <w:rPr/>
            </w:pPr>
            <w:r>
              <w:rPr/>
              <w:t>07/08/2026</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The 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18804</w:t>
            </w:r>
          </w:p>
        </w:tc>
        <w:tc>
          <w:tcPr>
            <w:tcW w:w="1043" w:type="dxa"/>
            <w:tcBorders/>
            <w:vAlign w:val="center"/>
          </w:tcPr>
          <w:p>
            <w:pPr>
              <w:pStyle w:val="TableContents"/>
              <w:bidi w:val="0"/>
              <w:spacing w:before="0" w:after="283"/>
              <w:jc w:val="left"/>
              <w:rPr/>
            </w:pPr>
            <w:r>
              <w:rPr/>
              <w:t>07/08/2026</w:t>
            </w:r>
          </w:p>
        </w:tc>
        <w:tc>
          <w:tcPr>
            <w:tcW w:w="1599" w:type="dxa"/>
            <w:tcBorders/>
            <w:vAlign w:val="center"/>
          </w:tcPr>
          <w:p>
            <w:pPr>
              <w:pStyle w:val="TableContents"/>
              <w:bidi w:val="0"/>
              <w:spacing w:before="0" w:after="283"/>
              <w:jc w:val="left"/>
              <w:rPr/>
            </w:pPr>
            <w:r>
              <w:rPr/>
              <w:t>Compensation</w:t>
            </w:r>
          </w:p>
        </w:tc>
      </w:tr>
      <w:tr>
        <w:trPr/>
        <w:tc>
          <w:tcPr>
            <w:tcW w:w="1077" w:type="dxa"/>
            <w:tcBorders/>
            <w:vAlign w:val="center"/>
          </w:tcPr>
          <w:p>
            <w:pPr>
              <w:pStyle w:val="TableContents"/>
              <w:bidi w:val="0"/>
              <w:spacing w:before="0" w:after="283"/>
              <w:jc w:val="left"/>
              <w:rPr/>
            </w:pPr>
            <w:r>
              <w:rPr/>
              <w:t>Class A Common Stock</w:t>
            </w:r>
          </w:p>
        </w:tc>
        <w:tc>
          <w:tcPr>
            <w:tcW w:w="1103" w:type="dxa"/>
            <w:tcBorders/>
            <w:vAlign w:val="center"/>
          </w:tcPr>
          <w:p>
            <w:pPr>
              <w:pStyle w:val="TableContents"/>
              <w:bidi w:val="0"/>
              <w:spacing w:before="0" w:after="283"/>
              <w:jc w:val="left"/>
              <w:rPr/>
            </w:pPr>
            <w:r>
              <w:rPr/>
              <w:t>07/08/2026</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The 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14820</w:t>
            </w:r>
          </w:p>
        </w:tc>
        <w:tc>
          <w:tcPr>
            <w:tcW w:w="1043" w:type="dxa"/>
            <w:tcBorders/>
            <w:vAlign w:val="center"/>
          </w:tcPr>
          <w:p>
            <w:pPr>
              <w:pStyle w:val="TableContents"/>
              <w:bidi w:val="0"/>
              <w:spacing w:before="0" w:after="283"/>
              <w:jc w:val="left"/>
              <w:rPr/>
            </w:pPr>
            <w:r>
              <w:rPr/>
              <w:t>07/08/2026</w:t>
            </w:r>
          </w:p>
        </w:tc>
        <w:tc>
          <w:tcPr>
            <w:tcW w:w="1599"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04/13/2026</w:t>
            </w:r>
          </w:p>
        </w:tc>
        <w:tc>
          <w:tcPr>
            <w:tcW w:w="1556" w:type="dxa"/>
            <w:tcBorders/>
            <w:vAlign w:val="center"/>
          </w:tcPr>
          <w:p>
            <w:pPr>
              <w:pStyle w:val="TableContents"/>
              <w:bidi w:val="0"/>
              <w:spacing w:before="0" w:after="283"/>
              <w:jc w:val="left"/>
              <w:rPr/>
            </w:pPr>
            <w:r>
              <w:rPr/>
              <w:t>33623</w:t>
            </w:r>
          </w:p>
        </w:tc>
        <w:tc>
          <w:tcPr>
            <w:tcW w:w="1839" w:type="dxa"/>
            <w:tcBorders/>
            <w:vAlign w:val="center"/>
          </w:tcPr>
          <w:p>
            <w:pPr>
              <w:pStyle w:val="TableContents"/>
              <w:bidi w:val="0"/>
              <w:spacing w:before="0" w:after="283"/>
              <w:jc w:val="left"/>
              <w:rPr/>
            </w:pPr>
            <w:r>
              <w:rPr/>
              <w:t>2730691.95</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04/13/2026</w:t>
            </w:r>
          </w:p>
        </w:tc>
        <w:tc>
          <w:tcPr>
            <w:tcW w:w="1556" w:type="dxa"/>
            <w:tcBorders/>
            <w:vAlign w:val="center"/>
          </w:tcPr>
          <w:p>
            <w:pPr>
              <w:pStyle w:val="TableContents"/>
              <w:bidi w:val="0"/>
              <w:spacing w:before="0" w:after="283"/>
              <w:jc w:val="left"/>
              <w:rPr/>
            </w:pPr>
            <w:r>
              <w:rPr/>
              <w:t>36300</w:t>
            </w:r>
          </w:p>
        </w:tc>
        <w:tc>
          <w:tcPr>
            <w:tcW w:w="1839" w:type="dxa"/>
            <w:tcBorders/>
            <w:vAlign w:val="center"/>
          </w:tcPr>
          <w:p>
            <w:pPr>
              <w:pStyle w:val="TableContents"/>
              <w:bidi w:val="0"/>
              <w:spacing w:before="0" w:after="283"/>
              <w:jc w:val="left"/>
              <w:rPr/>
            </w:pPr>
            <w:r>
              <w:rPr/>
              <w:t>2948148.06</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04/14/2026</w:t>
            </w:r>
          </w:p>
        </w:tc>
        <w:tc>
          <w:tcPr>
            <w:tcW w:w="1556" w:type="dxa"/>
            <w:tcBorders/>
            <w:vAlign w:val="center"/>
          </w:tcPr>
          <w:p>
            <w:pPr>
              <w:pStyle w:val="TableContents"/>
              <w:bidi w:val="0"/>
              <w:spacing w:before="0" w:after="283"/>
              <w:jc w:val="left"/>
              <w:rPr/>
            </w:pPr>
            <w:r>
              <w:rPr/>
              <w:t>3173</w:t>
            </w:r>
          </w:p>
        </w:tc>
        <w:tc>
          <w:tcPr>
            <w:tcW w:w="1839" w:type="dxa"/>
            <w:tcBorders/>
            <w:vAlign w:val="center"/>
          </w:tcPr>
          <w:p>
            <w:pPr>
              <w:pStyle w:val="TableContents"/>
              <w:bidi w:val="0"/>
              <w:spacing w:before="0" w:after="283"/>
              <w:jc w:val="left"/>
              <w:rPr/>
            </w:pPr>
            <w:r>
              <w:rPr/>
              <w:t>260853.92</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04/14/2026</w:t>
            </w:r>
          </w:p>
        </w:tc>
        <w:tc>
          <w:tcPr>
            <w:tcW w:w="1556" w:type="dxa"/>
            <w:tcBorders/>
            <w:vAlign w:val="center"/>
          </w:tcPr>
          <w:p>
            <w:pPr>
              <w:pStyle w:val="TableContents"/>
              <w:bidi w:val="0"/>
              <w:spacing w:before="0" w:after="283"/>
              <w:jc w:val="left"/>
              <w:rPr/>
            </w:pPr>
            <w:r>
              <w:rPr/>
              <w:t>12100</w:t>
            </w:r>
          </w:p>
        </w:tc>
        <w:tc>
          <w:tcPr>
            <w:tcW w:w="1839" w:type="dxa"/>
            <w:tcBorders/>
            <w:vAlign w:val="center"/>
          </w:tcPr>
          <w:p>
            <w:pPr>
              <w:pStyle w:val="TableContents"/>
              <w:bidi w:val="0"/>
              <w:spacing w:before="0" w:after="283"/>
              <w:jc w:val="left"/>
              <w:rPr/>
            </w:pPr>
            <w:r>
              <w:rPr/>
              <w:t>995033.82</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12100</w:t>
            </w:r>
          </w:p>
        </w:tc>
        <w:tc>
          <w:tcPr>
            <w:tcW w:w="1839" w:type="dxa"/>
            <w:tcBorders/>
            <w:vAlign w:val="center"/>
          </w:tcPr>
          <w:p>
            <w:pPr>
              <w:pStyle w:val="TableContents"/>
              <w:bidi w:val="0"/>
              <w:spacing w:before="0" w:after="283"/>
              <w:jc w:val="left"/>
              <w:rPr/>
            </w:pPr>
            <w:r>
              <w:rPr/>
              <w:t>1289910.82</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12100</w:t>
            </w:r>
          </w:p>
        </w:tc>
        <w:tc>
          <w:tcPr>
            <w:tcW w:w="1839" w:type="dxa"/>
            <w:tcBorders/>
            <w:vAlign w:val="center"/>
          </w:tcPr>
          <w:p>
            <w:pPr>
              <w:pStyle w:val="TableContents"/>
              <w:bidi w:val="0"/>
              <w:spacing w:before="0" w:after="283"/>
              <w:jc w:val="left"/>
              <w:rPr/>
            </w:pPr>
            <w:r>
              <w:rPr/>
              <w:t>1309583</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6" w:type="dxa"/>
            <w:tcBorders/>
            <w:vAlign w:val="center"/>
          </w:tcPr>
          <w:p>
            <w:pPr>
              <w:pStyle w:val="TableContents"/>
              <w:bidi w:val="0"/>
              <w:spacing w:before="0" w:after="283"/>
              <w:jc w:val="left"/>
              <w:rPr/>
            </w:pPr>
            <w:r>
              <w:rPr/>
              <w:t>12100</w:t>
            </w:r>
          </w:p>
        </w:tc>
        <w:tc>
          <w:tcPr>
            <w:tcW w:w="1839" w:type="dxa"/>
            <w:tcBorders/>
            <w:vAlign w:val="center"/>
          </w:tcPr>
          <w:p>
            <w:pPr>
              <w:pStyle w:val="TableContents"/>
              <w:bidi w:val="0"/>
              <w:spacing w:before="0" w:after="283"/>
              <w:jc w:val="left"/>
              <w:rPr/>
            </w:pPr>
            <w:r>
              <w:rPr/>
              <w:t>1350435.02</w:t>
            </w:r>
          </w:p>
        </w:tc>
      </w:tr>
      <w:tr>
        <w:trPr/>
        <w:tc>
          <w:tcPr>
            <w:tcW w:w="2951" w:type="dxa"/>
            <w:tcBorders/>
            <w:vAlign w:val="center"/>
          </w:tcPr>
          <w:p>
            <w:pPr>
              <w:pStyle w:val="TableContents"/>
              <w:bidi w:val="0"/>
              <w:spacing w:before="0" w:after="283"/>
              <w:jc w:val="left"/>
              <w:rPr/>
            </w:pPr>
            <w:r>
              <w:rPr/>
              <w:t>The 2018 Yuan and Zhang Revocable Trust</w:t>
              <w:br/>
              <w:t>55 Almaden Boulevard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12100</w:t>
            </w:r>
          </w:p>
        </w:tc>
        <w:tc>
          <w:tcPr>
            <w:tcW w:w="1839" w:type="dxa"/>
            <w:tcBorders/>
            <w:vAlign w:val="center"/>
          </w:tcPr>
          <w:p>
            <w:pPr>
              <w:pStyle w:val="TableContents"/>
              <w:bidi w:val="0"/>
              <w:spacing w:before="0" w:after="283"/>
              <w:jc w:val="left"/>
              <w:rPr/>
            </w:pPr>
            <w:r>
              <w:rPr/>
              <w:t>1288593.13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17"/>
        <w:gridCol w:w="7088"/>
      </w:tblGrid>
      <w:tr>
        <w:trPr/>
        <w:tc>
          <w:tcPr>
            <w:tcW w:w="3117" w:type="dxa"/>
            <w:tcBorders/>
            <w:vAlign w:val="center"/>
          </w:tcPr>
          <w:p>
            <w:pPr>
              <w:pStyle w:val="TableContents"/>
              <w:bidi w:val="0"/>
              <w:spacing w:before="0" w:after="283"/>
              <w:jc w:val="left"/>
              <w:rPr/>
            </w:pPr>
            <w:r>
              <w:rPr/>
              <w:t>Remarks</w:t>
            </w:r>
          </w:p>
        </w:tc>
        <w:tc>
          <w:tcPr>
            <w:tcW w:w="7088" w:type="dxa"/>
            <w:tcBorders/>
            <w:vAlign w:val="center"/>
          </w:tcPr>
          <w:p>
            <w:pPr>
              <w:pStyle w:val="TableContents"/>
              <w:bidi w:val="0"/>
              <w:spacing w:before="0" w:after="0"/>
              <w:jc w:val="left"/>
              <w:rPr/>
            </w:pPr>
            <w:r>
              <w:rPr/>
              <w:t xml:space="preserve">The sales of shares set forth herein are made in connection with a selling plan dated June 20th, 2025 that is intended to comply with Rule 10b5-1(c). All shares to be sold by The 2018 Yuan and Zhang Revocable Trust. </w:t>
            </w:r>
          </w:p>
        </w:tc>
      </w:tr>
      <w:tr>
        <w:trPr/>
        <w:tc>
          <w:tcPr>
            <w:tcW w:w="3117" w:type="dxa"/>
            <w:tcBorders/>
            <w:vAlign w:val="center"/>
          </w:tcPr>
          <w:p>
            <w:pPr>
              <w:pStyle w:val="TableContents"/>
              <w:bidi w:val="0"/>
              <w:spacing w:before="0" w:after="283"/>
              <w:jc w:val="left"/>
              <w:rPr/>
            </w:pPr>
            <w:r>
              <w:rPr/>
              <w:t>Date of Notice</w:t>
            </w:r>
          </w:p>
        </w:tc>
        <w:tc>
          <w:tcPr>
            <w:tcW w:w="7088" w:type="dxa"/>
            <w:tcBorders/>
            <w:vAlign w:val="center"/>
          </w:tcPr>
          <w:p>
            <w:pPr>
              <w:pStyle w:val="TableContents"/>
              <w:bidi w:val="0"/>
              <w:spacing w:before="0" w:after="0"/>
              <w:jc w:val="left"/>
              <w:rPr/>
            </w:pPr>
            <w:r>
              <w:rPr/>
              <w:t>07/13/2026</w:t>
            </w:r>
          </w:p>
        </w:tc>
      </w:tr>
      <w:tr>
        <w:trPr/>
        <w:tc>
          <w:tcPr>
            <w:tcW w:w="3117" w:type="dxa"/>
            <w:tcBorders/>
            <w:vAlign w:val="center"/>
          </w:tcPr>
          <w:p>
            <w:pPr>
              <w:pStyle w:val="TableContents"/>
              <w:bidi w:val="0"/>
              <w:spacing w:before="0" w:after="283"/>
              <w:jc w:val="left"/>
              <w:rPr/>
            </w:pPr>
            <w:r>
              <w:rPr/>
              <w:t>Date of Plan Adoption or Giving of Instruction, If Relying on Rule 10b5-1</w:t>
            </w:r>
          </w:p>
        </w:tc>
        <w:tc>
          <w:tcPr>
            <w:tcW w:w="7088"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17" w:type="dxa"/>
            <w:tcBorders/>
            <w:vAlign w:val="center"/>
          </w:tcPr>
          <w:p>
            <w:pPr>
              <w:pStyle w:val="TableContents"/>
              <w:bidi w:val="0"/>
              <w:spacing w:before="0" w:after="283"/>
              <w:jc w:val="left"/>
              <w:rPr/>
            </w:pPr>
            <w:r>
              <w:rPr/>
              <w:t>Signature</w:t>
            </w:r>
          </w:p>
        </w:tc>
        <w:tc>
          <w:tcPr>
            <w:tcW w:w="7088" w:type="dxa"/>
            <w:tcBorders/>
            <w:vAlign w:val="center"/>
          </w:tcPr>
          <w:p>
            <w:pPr>
              <w:pStyle w:val="TableContents"/>
              <w:bidi w:val="0"/>
              <w:spacing w:before="0" w:after="0"/>
              <w:jc w:val="left"/>
              <w:rPr/>
            </w:pPr>
            <w:r>
              <w:rPr/>
              <w:t>Goldman Sachs &amp; Co. LLC on behalf of Eric S. Yuan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4482</Characters>
  <CharactersWithSpaces>5299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