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7048500" cy="590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902960"/>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460"/>
            <w:col w:w="8440"/>
          </w:cols>
          <w:pgMar w:left="460" w:top="214" w:right="359" w:bottom="544"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line="36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40" w:type="dxa"/>
            <w:vAlign w:val="bottom"/>
            <w:vMerge w:val="restart"/>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1"/>
        </w:trPr>
        <w:tc>
          <w:tcPr>
            <w:tcW w:w="2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07/08/2022</w:t>
            </w: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88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08" w:lineRule="exact"/>
        <w:rPr>
          <w:sz w:val="24"/>
          <w:szCs w:val="24"/>
          <w:color w:val="auto"/>
        </w:rPr>
      </w:pPr>
    </w:p>
    <w:p>
      <w:pPr>
        <w:sectPr>
          <w:pgSz w:w="11900" w:h="16838" w:orient="portrait"/>
          <w:cols w:equalWidth="0" w:num="2">
            <w:col w:w="3380" w:space="460"/>
            <w:col w:w="7240"/>
          </w:cols>
          <w:pgMar w:left="460" w:top="214" w:right="359" w:bottom="54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612,499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0000FF"/>
              </w:rPr>
              <w:t>07/08/2022</w:t>
            </w:r>
          </w:p>
        </w:tc>
        <w:tc>
          <w:tcPr>
            <w:tcW w:w="1060" w:type="dxa"/>
            <w:vAlign w:val="bottom"/>
          </w:tcPr>
          <w:p>
            <w:pPr>
              <w:spacing w:after="0"/>
              <w:rPr>
                <w:sz w:val="11"/>
                <w:szCs w:val="1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612,499</w:t>
            </w: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1"/>
                <w:szCs w:val="11"/>
                <w:color w:val="auto"/>
              </w:rPr>
            </w:pPr>
          </w:p>
        </w:tc>
        <w:tc>
          <w:tcPr>
            <w:tcW w:w="680" w:type="dxa"/>
            <w:vAlign w:val="bottom"/>
          </w:tcPr>
          <w:p>
            <w:pPr>
              <w:ind w:left="28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612,499</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8,420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8,420</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67,245</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09/24/2028</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67,245</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0"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26,505</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09/24/2023</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26,505</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0"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22,527,492</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22,527,492</w:t>
            </w:r>
          </w:p>
        </w:tc>
        <w:tc>
          <w:tcPr>
            <w:tcW w:w="7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share of Issuer's Class A Common Stock.</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July 8, 2022, which will vest in equal quarterly installments over four years.</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April 8, 2022, 100% of which will vest on the first anniversary date of the grant.</w:t>
      </w:r>
    </w:p>
    <w:p>
      <w:pPr>
        <w:spacing w:after="0" w:line="49" w:lineRule="exact"/>
        <w:rPr>
          <w:rFonts w:ascii="Times New Roman" w:cs="Times New Roman" w:eastAsia="Times New Roman" w:hAnsi="Times New Roman"/>
          <w:sz w:val="12"/>
          <w:szCs w:val="12"/>
          <w:color w:val="008000"/>
        </w:rPr>
      </w:pPr>
    </w:p>
    <w:p>
      <w:pPr>
        <w:ind w:left="40" w:right="18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3" w:lineRule="exact"/>
        <w:rPr>
          <w:rFonts w:ascii="Times New Roman" w:cs="Times New Roman" w:eastAsia="Times New Roman" w:hAnsi="Times New Roman"/>
          <w:sz w:val="12"/>
          <w:szCs w:val="12"/>
          <w:color w:val="008000"/>
        </w:rPr>
      </w:pPr>
    </w:p>
    <w:p>
      <w:pPr>
        <w:ind w:left="40" w:right="400" w:hanging="3"/>
        <w:spacing w:after="0" w:line="249"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Times New Roman" w:cs="Times New Roman" w:eastAsia="Times New Roman" w:hAnsi="Times New Roman"/>
          <w:sz w:val="12"/>
          <w:szCs w:val="12"/>
          <w:color w:val="008000"/>
        </w:rPr>
      </w:pPr>
    </w:p>
    <w:p>
      <w:pPr>
        <w:ind w:left="40" w:right="320" w:hanging="3"/>
        <w:spacing w:after="0" w:line="255"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 The shares subject to this option are early exercisable, subject to the Issuer's right to repurchase.</w:t>
      </w:r>
    </w:p>
    <w:p>
      <w:pPr>
        <w:spacing w:after="0" w:line="15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07/08/2022</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80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5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2022-07-08T18:49:19Z</dcterms:created>
  <dcterms:modified xsi:type="dcterms:W3CDTF">2022-07-08T18:49:19Z</dcterms:modified>
</cp:coreProperties>
</file>