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21, 2024</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August 21, 2024, Zoom Video Communications, Inc. (the “Company”) issued a press release announcing its financial results for the three months ended July 31, 2024. A copy of the press release is furnished as Exhibit 99.1 to this report and is incorporated by reference.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3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212" w:lineRule="exact"/>
        <w:rPr>
          <w:sz w:val="20"/>
          <w:szCs w:val="20"/>
          <w:color w:val="auto"/>
        </w:rPr>
      </w:pPr>
    </w:p>
    <w:p>
      <w:pPr>
        <w:jc w:val="both"/>
        <w:ind w:firstLine="620"/>
        <w:spacing w:after="0" w:line="247" w:lineRule="auto"/>
        <w:rPr>
          <w:sz w:val="20"/>
          <w:szCs w:val="20"/>
          <w:color w:val="auto"/>
        </w:rPr>
      </w:pPr>
      <w:r>
        <w:rPr>
          <w:rFonts w:ascii="Times New Roman" w:cs="Times New Roman" w:eastAsia="Times New Roman" w:hAnsi="Times New Roman"/>
          <w:sz w:val="17"/>
          <w:szCs w:val="17"/>
          <w:color w:val="auto"/>
        </w:rPr>
        <w:t>On August 16, 2024, Kelly Steckelberg notified the Company that she intends to resign from her role as the Company’s Chief Financial Officer. Ms. Steckelberg’s decision was not the result of any disagreement with the Company. The Company has commenced a search process to identify Ms. Steckelberg’s successor.</w:t>
      </w:r>
    </w:p>
    <w:p>
      <w:pPr>
        <w:spacing w:after="0" w:line="198"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On August 21, 2024, the Company entered into a Transition and Separation Agreement with Ms. Steckelberg (the “Transition Agreement”), in connection with her departure from the Company. Pursuant to the Transition Agreement, Ms. Steckelberg will continue to serve as the Company’s Chief Financial Officer through the release of the Company’s earnings for the fiscal quarter ending October 31, 2024 (the “Transition Period”). Commencing October 10, 2024, she will be serving in this role on a part-time basis (the “Part-Time Period”). During the Transition Period and the Part-Time Period, Ms. Steckelberg will be entitled to receive her base salary at the same full-time rate as it was prior to the Transition Period and will continue to be eligible for the Company’s standard benefits. During the Transition Period, Ms. Steckelberg’s outstanding equity awards of the Company will continue to vest pursuant to their terms.</w:t>
      </w:r>
    </w:p>
    <w:p>
      <w:pPr>
        <w:spacing w:after="0" w:line="203"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The foregoing description of the terms of the Transition Agreement is not complete and is qualified in its entirety by the full text of the Transition Agreement, which is filed as Exhibit 10.1 to this Current Report on Form 8-K and is incorporated herein by reference.</w:t>
      </w:r>
    </w:p>
    <w:p>
      <w:pPr>
        <w:spacing w:after="0" w:line="16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color w:val="auto"/>
              </w:rPr>
              <w:t>10.1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3"/>
          </w:tcPr>
          <w:p>
            <w:pPr>
              <w:spacing w:after="0" w:line="174" w:lineRule="exact"/>
              <w:rPr>
                <w:sz w:val="20"/>
                <w:szCs w:val="20"/>
                <w:color w:val="auto"/>
              </w:rPr>
            </w:pPr>
            <w:r>
              <w:rPr>
                <w:rFonts w:ascii="Times New Roman" w:cs="Times New Roman" w:eastAsia="Times New Roman" w:hAnsi="Times New Roman"/>
                <w:sz w:val="17"/>
                <w:szCs w:val="17"/>
                <w:color w:val="0000FF"/>
              </w:rPr>
              <w:t>Transition and Separation Agreement between Zoom Video Communications, Inc. and Kelly Steckelberg, dated August 21, 2024</w:t>
            </w:r>
          </w:p>
        </w:tc>
        <w:tc>
          <w:tcPr>
            <w:tcW w:w="20" w:type="dxa"/>
            <w:vAlign w:val="bottom"/>
          </w:tcPr>
          <w:p>
            <w:pPr>
              <w:spacing w:after="0"/>
              <w:rPr>
                <w:sz w:val="15"/>
                <w:szCs w:val="15"/>
                <w:color w:val="auto"/>
              </w:rPr>
            </w:pPr>
          </w:p>
        </w:tc>
      </w:tr>
      <w:tr>
        <w:trPr>
          <w:trHeight w:val="200"/>
        </w:trPr>
        <w:tc>
          <w:tcPr>
            <w:tcW w:w="178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Press release dated August 21, 2024 of Zoom Video Communications, Inc.</w:t>
            </w:r>
          </w:p>
        </w:tc>
        <w:tc>
          <w:tcPr>
            <w:tcW w:w="120" w:type="dxa"/>
            <w:vAlign w:val="bottom"/>
            <w:gridSpan w:val="2"/>
          </w:tcPr>
          <w:p>
            <w:pPr>
              <w:spacing w:after="0"/>
              <w:rPr>
                <w:sz w:val="17"/>
                <w:szCs w:val="17"/>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39"/>
        </w:trPr>
        <w:tc>
          <w:tcPr>
            <w:tcW w:w="178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55"/>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440" w:type="dxa"/>
            <w:vAlign w:val="bottom"/>
          </w:tcPr>
          <w:p>
            <w:pPr>
              <w:spacing w:after="0"/>
              <w:rPr>
                <w:sz w:val="19"/>
                <w:szCs w:val="19"/>
                <w:color w:val="auto"/>
              </w:rPr>
            </w:pPr>
          </w:p>
        </w:tc>
        <w:tc>
          <w:tcPr>
            <w:tcW w:w="7260" w:type="dxa"/>
            <w:vAlign w:val="bottom"/>
            <w:gridSpan w:val="2"/>
          </w:tcPr>
          <w:p>
            <w:pPr>
              <w:ind w:left="180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Dated: August 21, 2024</w:t>
            </w:r>
          </w:p>
        </w:tc>
        <w:tc>
          <w:tcPr>
            <w:tcW w:w="2500" w:type="dxa"/>
            <w:vAlign w:val="bottom"/>
          </w:tcPr>
          <w:p>
            <w:pPr>
              <w:ind w:left="180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Aparna Bawa</w:t>
            </w:r>
          </w:p>
        </w:tc>
      </w:tr>
      <w:tr>
        <w:trPr>
          <w:trHeight w:val="205"/>
        </w:trPr>
        <w:tc>
          <w:tcPr>
            <w:tcW w:w="3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Aparna Bawa</w:t>
            </w:r>
          </w:p>
        </w:tc>
      </w:tr>
      <w:tr>
        <w:trPr>
          <w:trHeight w:val="227"/>
        </w:trPr>
        <w:tc>
          <w:tcPr>
            <w:tcW w:w="3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r>
    </w:tbl>
    <w:p>
      <w:pPr>
        <w:sectPr>
          <w:pgSz w:w="11900" w:h="16838" w:orient="portrait"/>
          <w:cols w:equalWidth="0" w:num="1">
            <w:col w:w="11340"/>
          </w:cols>
          <w:pgMar w:left="320" w:top="85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August 21, 2024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Kelly Steckelberg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Via E-mail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Transition and Separation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Kelly:</w:t>
      </w:r>
    </w:p>
    <w:p>
      <w:pPr>
        <w:spacing w:after="0" w:line="22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This letter sets forth the substance of the transition and separation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Zoom Video Communications,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offering to you to aid in your employment transition.</w:t>
      </w:r>
    </w:p>
    <w:p>
      <w:pPr>
        <w:spacing w:after="0" w:line="186" w:lineRule="exact"/>
        <w:rPr>
          <w:sz w:val="20"/>
          <w:szCs w:val="20"/>
          <w:color w:val="auto"/>
        </w:rPr>
      </w:pPr>
    </w:p>
    <w:p>
      <w:pPr>
        <w:jc w:val="both"/>
        <w:ind w:left="620" w:hanging="307"/>
        <w:spacing w:after="0" w:line="236" w:lineRule="auto"/>
        <w:tabs>
          <w:tab w:leader="none" w:pos="6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Separation</w:t>
      </w:r>
      <w:r>
        <w:rPr>
          <w:rFonts w:ascii="Times New Roman" w:cs="Times New Roman" w:eastAsia="Times New Roman" w:hAnsi="Times New Roman"/>
          <w:sz w:val="21"/>
          <w:szCs w:val="21"/>
          <w:color w:val="auto"/>
        </w:rPr>
        <w:t>. Your last day of work with the Company and your employment termination date will be the day after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announces earnings for the quarter ending October 31, 2024 or such later date as agreed to by you and the Company (the “</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unless your employment terminates sooner pursuant to Section 3(c) below. If termination occurs earlier or later, the actual date of termination shall become the “Separation Date” for purposes of this Agreement. You understand and agree that, as of the Separation Date, you shall cease to be an employee of the Company, which shall include termination of your position as Chief Financial Officer (and any other officer titles or officer positions you may hold) of the Company (and any of its affiliates and subsidiaries).</w:t>
      </w:r>
    </w:p>
    <w:p>
      <w:pPr>
        <w:spacing w:after="0" w:line="198" w:lineRule="exact"/>
        <w:rPr>
          <w:sz w:val="20"/>
          <w:szCs w:val="20"/>
          <w:color w:val="auto"/>
        </w:rPr>
      </w:pPr>
    </w:p>
    <w:p>
      <w:pPr>
        <w:jc w:val="both"/>
        <w:ind w:left="620" w:hanging="307"/>
        <w:spacing w:after="0" w:line="237" w:lineRule="auto"/>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Final Pay</w:t>
      </w:r>
      <w:r>
        <w:rPr>
          <w:rFonts w:ascii="Times New Roman" w:cs="Times New Roman" w:eastAsia="Times New Roman" w:hAnsi="Times New Roman"/>
          <w:sz w:val="21"/>
          <w:szCs w:val="21"/>
          <w:color w:val="auto"/>
        </w:rPr>
        <w:t>. On or shortly after the Separation Date, the Company will pay you all accrued salary earned through the Separation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subject to standard payroll deductions and withholdings. You are entitled to this payment by law. If it is determined under law that a vacation accrual payment or other paid time off payment is due, the Company will pay you through the Separation Date.</w:t>
      </w:r>
    </w:p>
    <w:p>
      <w:pPr>
        <w:spacing w:after="0" w:line="196"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Transition Period.</w:t>
      </w:r>
    </w:p>
    <w:p>
      <w:pPr>
        <w:spacing w:after="0" w:line="224" w:lineRule="exact"/>
        <w:rPr>
          <w:sz w:val="20"/>
          <w:szCs w:val="20"/>
          <w:color w:val="auto"/>
        </w:rPr>
      </w:pPr>
    </w:p>
    <w:p>
      <w:pPr>
        <w:jc w:val="both"/>
        <w:ind w:left="1240" w:hanging="306"/>
        <w:spacing w:after="0" w:line="233" w:lineRule="auto"/>
        <w:tabs>
          <w:tab w:leader="none" w:pos="122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Duties. </w:t>
      </w:r>
      <w:r>
        <w:rPr>
          <w:rFonts w:ascii="Times New Roman" w:cs="Times New Roman" w:eastAsia="Times New Roman" w:hAnsi="Times New Roman"/>
          <w:sz w:val="21"/>
          <w:szCs w:val="21"/>
          <w:color w:val="auto"/>
        </w:rPr>
        <w:t>Between now and the Separation Date (the “</w:t>
      </w:r>
      <w:r>
        <w:rPr>
          <w:rFonts w:ascii="Times New Roman" w:cs="Times New Roman" w:eastAsia="Times New Roman" w:hAnsi="Times New Roman"/>
          <w:sz w:val="21"/>
          <w:szCs w:val="21"/>
          <w:b w:val="1"/>
          <w:bCs w:val="1"/>
          <w:color w:val="auto"/>
        </w:rPr>
        <w:t>Transition Period</w:t>
      </w:r>
      <w:r>
        <w:rPr>
          <w:rFonts w:ascii="Times New Roman" w:cs="Times New Roman" w:eastAsia="Times New Roman" w:hAnsi="Times New Roman"/>
          <w:sz w:val="21"/>
          <w:szCs w:val="21"/>
          <w:color w:val="auto"/>
        </w:rPr>
        <w:t>”), you will remain in your current role and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to perform your regular duties, transition these duties and responsibilities and perform other tasks as requested by the Company (collectively, the “</w:t>
      </w:r>
      <w:r>
        <w:rPr>
          <w:rFonts w:ascii="Times New Roman" w:cs="Times New Roman" w:eastAsia="Times New Roman" w:hAnsi="Times New Roman"/>
          <w:sz w:val="21"/>
          <w:szCs w:val="21"/>
          <w:b w:val="1"/>
          <w:bCs w:val="1"/>
          <w:color w:val="auto"/>
        </w:rPr>
        <w:t>Transition Duties</w:t>
      </w:r>
      <w:r>
        <w:rPr>
          <w:rFonts w:ascii="Times New Roman" w:cs="Times New Roman" w:eastAsia="Times New Roman" w:hAnsi="Times New Roman"/>
          <w:sz w:val="21"/>
          <w:szCs w:val="21"/>
          <w:color w:val="auto"/>
        </w:rPr>
        <w:t>”); provided, however, that the Company may appoint your successor during the Transition Period, in which case you will cease to be an executive officer and your title will become Senior Advisor. Beginning October 10, 2024 through the Separation Date (the “</w:t>
      </w:r>
      <w:r>
        <w:rPr>
          <w:rFonts w:ascii="Times New Roman" w:cs="Times New Roman" w:eastAsia="Times New Roman" w:hAnsi="Times New Roman"/>
          <w:sz w:val="21"/>
          <w:szCs w:val="21"/>
          <w:b w:val="1"/>
          <w:bCs w:val="1"/>
          <w:color w:val="auto"/>
        </w:rPr>
        <w:t>Part-Time Period</w:t>
      </w:r>
      <w:r>
        <w:rPr>
          <w:rFonts w:ascii="Times New Roman" w:cs="Times New Roman" w:eastAsia="Times New Roman" w:hAnsi="Times New Roman"/>
          <w:sz w:val="21"/>
          <w:szCs w:val="21"/>
          <w:color w:val="auto"/>
        </w:rPr>
        <w:t>”), you will not be expected to devote your full-time attention to the Company, and will be permitted to work part-time for other entities, provided that such work does not create a conflict of interest with the Company. You agree to perform your Transition Duties in good faith and to the best of your abilities. During the Transition Period, you must continue to comply with all of the Company’s policies and procedures and with all of your statutory and contractual obligations to the Company, including, without limitation, your obligations under your Employment, Confidential Information and Assignment of Creative Works</w:t>
      </w:r>
    </w:p>
    <w:p>
      <w:pPr>
        <w:sectPr>
          <w:pgSz w:w="11900" w:h="16838" w:orient="portrait"/>
          <w:cols w:equalWidth="0" w:num="1">
            <w:col w:w="11240"/>
          </w:cols>
          <w:pgMar w:left="320" w:top="1355" w:right="339" w:bottom="1440" w:gutter="0" w:footer="0" w:header="0"/>
        </w:sectPr>
      </w:pPr>
    </w:p>
    <w:bookmarkStart w:id="4" w:name="page5"/>
    <w:bookmarkEnd w:id="4"/>
    <w:p>
      <w:pPr>
        <w:ind w:left="927"/>
        <w:spacing w:after="0" w:line="261" w:lineRule="auto"/>
        <w:rPr>
          <w:sz w:val="20"/>
          <w:szCs w:val="20"/>
          <w:color w:val="auto"/>
        </w:rPr>
      </w:pPr>
      <w:r>
        <w:rPr>
          <w:rFonts w:ascii="Times New Roman" w:cs="Times New Roman" w:eastAsia="Times New Roman" w:hAnsi="Times New Roman"/>
          <w:sz w:val="21"/>
          <w:szCs w:val="21"/>
          <w:color w:val="auto"/>
        </w:rPr>
        <w:t xml:space="preserve">Agreement (a copy of which is attached hereto as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which you acknowledge and agree are contractual commitments that remain binding upon you, both during and after the Transition Period.</w:t>
      </w:r>
    </w:p>
    <w:p>
      <w:pPr>
        <w:spacing w:after="0" w:line="173" w:lineRule="exact"/>
        <w:rPr>
          <w:sz w:val="20"/>
          <w:szCs w:val="20"/>
          <w:color w:val="auto"/>
        </w:rPr>
      </w:pPr>
    </w:p>
    <w:p>
      <w:pPr>
        <w:jc w:val="both"/>
        <w:ind w:left="927" w:hanging="306"/>
        <w:spacing w:after="0" w:line="247" w:lineRule="auto"/>
        <w:tabs>
          <w:tab w:leader="none" w:pos="92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Compensation/Benefits. </w:t>
      </w:r>
      <w:r>
        <w:rPr>
          <w:rFonts w:ascii="Times New Roman" w:cs="Times New Roman" w:eastAsia="Times New Roman" w:hAnsi="Times New Roman"/>
          <w:sz w:val="20"/>
          <w:szCs w:val="20"/>
          <w:color w:val="auto"/>
        </w:rPr>
        <w:t>During the Transition Period, including during the Part-Time Period, your base salary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 at the same full-time rate as it was prior to the Transition Period, and you will continue to be eligible for the Company’s standard benefits, to the extent permitted by the terms and conditions applicable to such plans and programs. During the Transition Period, your Awards (as defined below) will continue to vest as described in Section 5 below. During the Transition Period you will not be eligible to earn or receive any bonus or other cash incentive compensation and as of the date of your execution of this Agreement, you will cease to be eligible for any severance benefits under the Company’s Severance and Change in Control Plan adopted by the Company’s Board of Directors (and the Participation Agreement between you and the Company in connection therewith) and any other agreement or arrangement.</w:t>
      </w:r>
    </w:p>
    <w:p>
      <w:pPr>
        <w:spacing w:after="0" w:line="187" w:lineRule="exact"/>
        <w:rPr>
          <w:sz w:val="20"/>
          <w:szCs w:val="20"/>
          <w:color w:val="auto"/>
        </w:rPr>
      </w:pPr>
    </w:p>
    <w:p>
      <w:pPr>
        <w:jc w:val="both"/>
        <w:ind w:left="927" w:hanging="306"/>
        <w:spacing w:after="0" w:line="233" w:lineRule="auto"/>
        <w:tabs>
          <w:tab w:leader="none" w:pos="91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As part of this Agreement, the Company agrees that it will not terminate your employment other than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Cause (as defined herein) before the Company announces earnings for the quarter ending October 31, 2024;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may appoint your successor during the Transition Period, in which case your title will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 Senior Advisor, but your compensation and benefits as described in Section 3(b) above, as well as your status as an employee, will remain unchanged.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termination will be any one or more of the following: (i) the indictment of or plea of guilty or no contest by you to any felony involving dishonesty; (ii) participation in any fraud or material act of dishonesty against the Company; (iii) material breach of your contractual duties to the Company (including any material violation of any provision or obligation under this Agreement or Exhibit A); or (iv) your willful misconduct or other willful violation of Company policy that causes or could reasonably cause material harm to the Company.</w:t>
      </w:r>
    </w:p>
    <w:p>
      <w:pPr>
        <w:spacing w:after="0" w:line="201" w:lineRule="exact"/>
        <w:rPr>
          <w:sz w:val="20"/>
          <w:szCs w:val="20"/>
          <w:color w:val="auto"/>
        </w:rPr>
      </w:pPr>
    </w:p>
    <w:p>
      <w:pPr>
        <w:jc w:val="both"/>
        <w:ind w:left="307" w:hanging="307"/>
        <w:spacing w:after="0" w:line="234" w:lineRule="auto"/>
        <w:tabs>
          <w:tab w:leader="none" w:pos="307"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Health Insurance; COBRA. </w:t>
      </w:r>
      <w:r>
        <w:rPr>
          <w:rFonts w:ascii="Times New Roman" w:cs="Times New Roman" w:eastAsia="Times New Roman" w:hAnsi="Times New Roman"/>
          <w:sz w:val="21"/>
          <w:szCs w:val="21"/>
          <w:color w:val="auto"/>
        </w:rPr>
        <w:t>Unless you follow the procedures set forth in this paragraph, your participation in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group health insurance plan will end on the last day of the month in which the Separation Date occurs (or such earlier date required pursuant to the terms and conditions of such group health insurance plans). To the extent provided by the federal COBRA law or, if applicable, state insurance laws, and by the Company’s current group health insurance policies, you may be eligible to continue your group health insurance benefits at your own expense following the Separation Date or such earlier date when your participation ceases. Later, you may be able to convert to an individual policy through the provider of the Company’s health insurance, if you wish. If applicable, you will be provided with a separate notice describing your rights and obligations under COBRA and a form for electing COBRA coverage.</w:t>
      </w:r>
    </w:p>
    <w:p>
      <w:pPr>
        <w:spacing w:after="0" w:line="197" w:lineRule="exact"/>
        <w:rPr>
          <w:sz w:val="20"/>
          <w:szCs w:val="20"/>
          <w:color w:val="auto"/>
        </w:rPr>
      </w:pPr>
    </w:p>
    <w:p>
      <w:pPr>
        <w:ind w:left="307" w:hanging="307"/>
        <w:spacing w:after="0" w:line="261" w:lineRule="auto"/>
        <w:tabs>
          <w:tab w:leader="none" w:pos="307"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Equity. </w:t>
      </w:r>
      <w:r>
        <w:rPr>
          <w:rFonts w:ascii="Times New Roman" w:cs="Times New Roman" w:eastAsia="Times New Roman" w:hAnsi="Times New Roman"/>
          <w:sz w:val="21"/>
          <w:szCs w:val="21"/>
          <w:color w:val="auto"/>
        </w:rPr>
        <w:t>You were granted certain options to purchase shares of Company common stock and restricted stock unit awards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issued shares of Company common stock (as</w:t>
      </w:r>
    </w:p>
    <w:p>
      <w:pPr>
        <w:sectPr>
          <w:pgSz w:w="11900" w:h="16838" w:orient="portrait"/>
          <w:cols w:equalWidth="0" w:num="1">
            <w:col w:w="10927"/>
          </w:cols>
          <w:pgMar w:left="633" w:top="1351" w:right="339" w:bottom="1440" w:gutter="0" w:footer="0" w:header="0"/>
        </w:sectPr>
      </w:pPr>
    </w:p>
    <w:bookmarkStart w:id="5" w:name="page6"/>
    <w:bookmarkEnd w:id="5"/>
    <w:p>
      <w:pPr>
        <w:jc w:val="both"/>
        <w:ind w:left="307"/>
        <w:spacing w:after="0" w:line="234" w:lineRule="auto"/>
        <w:rPr>
          <w:sz w:val="20"/>
          <w:szCs w:val="20"/>
          <w:color w:val="auto"/>
        </w:rPr>
      </w:pPr>
      <w:r>
        <w:rPr>
          <w:rFonts w:ascii="Times New Roman" w:cs="Times New Roman" w:eastAsia="Times New Roman" w:hAnsi="Times New Roman"/>
          <w:sz w:val="21"/>
          <w:szCs w:val="21"/>
          <w:color w:val="auto"/>
        </w:rPr>
        <w:t>applicable, the “</w:t>
      </w:r>
      <w:r>
        <w:rPr>
          <w:rFonts w:ascii="Times New Roman" w:cs="Times New Roman" w:eastAsia="Times New Roman" w:hAnsi="Times New Roman"/>
          <w:sz w:val="21"/>
          <w:szCs w:val="21"/>
          <w:b w:val="1"/>
          <w:bCs w:val="1"/>
          <w:i w:val="1"/>
          <w:iCs w:val="1"/>
          <w:color w:val="auto"/>
        </w:rPr>
        <w:t>Awards</w:t>
      </w:r>
      <w:r>
        <w:rPr>
          <w:rFonts w:ascii="Times New Roman" w:cs="Times New Roman" w:eastAsia="Times New Roman" w:hAnsi="Times New Roman"/>
          <w:sz w:val="21"/>
          <w:szCs w:val="21"/>
          <w:color w:val="auto"/>
        </w:rPr>
        <w:t>”), pursuant to the Company’s Fourth Amended and Restated 2011 Global Share Plan and 2019 Equity Incentive Plan time (as applicable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option or award agreement grant documents thereunder (collectively, the “</w:t>
      </w:r>
      <w:r>
        <w:rPr>
          <w:rFonts w:ascii="Times New Roman" w:cs="Times New Roman" w:eastAsia="Times New Roman" w:hAnsi="Times New Roman"/>
          <w:sz w:val="21"/>
          <w:szCs w:val="21"/>
          <w:b w:val="1"/>
          <w:bCs w:val="1"/>
          <w:i w:val="1"/>
          <w:iCs w:val="1"/>
          <w:color w:val="auto"/>
        </w:rPr>
        <w:t>Equity Grant Documents</w:t>
      </w:r>
      <w:r>
        <w:rPr>
          <w:rFonts w:ascii="Times New Roman" w:cs="Times New Roman" w:eastAsia="Times New Roman" w:hAnsi="Times New Roman"/>
          <w:sz w:val="21"/>
          <w:szCs w:val="21"/>
          <w:color w:val="auto"/>
        </w:rPr>
        <w:t>”). The Awards that remain outstanding as of the date of this Agreement shall continue to be governed by the terms of the applicable grant notices, equity award agreements and the Plan and your continued employment during the Transition Period pursuant to this Agreement shall constitute “Continuous Service” and continued status as a “Service Provider”, as applicable, for purposes of such Awards continuing to vest and remaining outstanding pursuant to their terms. You acknowledge that (1) the final vesting date for your time-vesting restricted stock unit awards will be the regularly scheduled vest date on October 8, 2024, subject to your continued employment through such date, with all remaining unvested restricted stock units forfeited as of your Separation Date; and (2) your performance-vesting restricted stock unit awards are entirely unvested and will be forfeited as of your Separation Date.</w:t>
      </w:r>
    </w:p>
    <w:p>
      <w:pPr>
        <w:spacing w:after="0" w:line="193" w:lineRule="exact"/>
        <w:rPr>
          <w:sz w:val="20"/>
          <w:szCs w:val="20"/>
          <w:color w:val="auto"/>
        </w:rPr>
      </w:pPr>
    </w:p>
    <w:p>
      <w:pPr>
        <w:jc w:val="both"/>
        <w:ind w:left="307" w:hanging="307"/>
        <w:spacing w:after="0" w:line="246" w:lineRule="auto"/>
        <w:tabs>
          <w:tab w:leader="none" w:pos="30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Other Compensation or Benefits. </w:t>
      </w:r>
      <w:r>
        <w:rPr>
          <w:rFonts w:ascii="Times New Roman" w:cs="Times New Roman" w:eastAsia="Times New Roman" w:hAnsi="Times New Roman"/>
          <w:sz w:val="20"/>
          <w:szCs w:val="20"/>
          <w:color w:val="auto"/>
        </w:rPr>
        <w:t>You acknowledge and agree that, as of your execution of this Agreement, you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any severance or other benefits in connection with your transition and employment separation from the Company, including without limitation under your offer letter of employment with the Company, the Company’s Severance and Change in Control Plan adopted by the Company’s Board of Directors (and the Participation Agreement between you and the Company in connection therewith), or any other agreement, plan, policy or otherwise. You further acknowledge that your eligibility for any potential severance benefits under any plan, policy or agreement is hereby extinguished, and except as expressly provided in this Agreement, you have not earned, will not earn as a result of this Agreement or by the Separation Date, and will not receive from the Company any additional compensation (including base salary, bonus, incentive compensation, or equity, equity acceleration or vesting), severance, or benefits before or after the Separation Date, with the exception of any vested right you may have under the express terms of a written ERISA-qualified benefit plan (e.g., 401(k) account) or any vested equity awards.</w:t>
      </w:r>
    </w:p>
    <w:p>
      <w:pPr>
        <w:spacing w:after="0" w:line="188" w:lineRule="exact"/>
        <w:rPr>
          <w:sz w:val="20"/>
          <w:szCs w:val="20"/>
          <w:color w:val="auto"/>
        </w:rPr>
      </w:pPr>
    </w:p>
    <w:p>
      <w:pPr>
        <w:jc w:val="both"/>
        <w:ind w:left="307" w:hanging="307"/>
        <w:spacing w:after="0" w:line="241" w:lineRule="auto"/>
        <w:tabs>
          <w:tab w:leader="none" w:pos="30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Expense Reimbursements. </w:t>
      </w:r>
      <w:r>
        <w:rPr>
          <w:rFonts w:ascii="Times New Roman" w:cs="Times New Roman" w:eastAsia="Times New Roman" w:hAnsi="Times New Roman"/>
          <w:sz w:val="21"/>
          <w:szCs w:val="21"/>
          <w:color w:val="auto"/>
        </w:rPr>
        <w:t>You agree that, within thirty (30) calendar days after the Separation Date, you will submit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93" w:lineRule="exact"/>
        <w:rPr>
          <w:sz w:val="20"/>
          <w:szCs w:val="20"/>
          <w:color w:val="auto"/>
        </w:rPr>
      </w:pPr>
    </w:p>
    <w:p>
      <w:pPr>
        <w:jc w:val="both"/>
        <w:ind w:left="307" w:hanging="307"/>
        <w:spacing w:after="0" w:line="234" w:lineRule="auto"/>
        <w:tabs>
          <w:tab w:leader="none" w:pos="307"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Return of Company Property</w:t>
      </w:r>
      <w:r>
        <w:rPr>
          <w:rFonts w:ascii="Times New Roman" w:cs="Times New Roman" w:eastAsia="Times New Roman" w:hAnsi="Times New Roman"/>
          <w:sz w:val="21"/>
          <w:szCs w:val="21"/>
          <w:color w:val="auto"/>
        </w:rPr>
        <w:t>. By the Separation Date, or earlier if requested by the Company, you agree to return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all Company documents (and all copies thereof) and other Company property which you have in your possession or control, including, but not limited to, Company files, notes, drawings, records, plans, forecasts, reports, studies, analyses, proposals, agreements, financial information, research and development information, sales and marketing information, customer lists, prospect information, pipeline reports, sales reports,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w:t>
      </w:r>
    </w:p>
    <w:p>
      <w:pPr>
        <w:sectPr>
          <w:pgSz w:w="11900" w:h="16838" w:orient="portrait"/>
          <w:cols w:equalWidth="0" w:num="1">
            <w:col w:w="10927"/>
          </w:cols>
          <w:pgMar w:left="633" w:top="1349" w:right="339" w:bottom="1440" w:gutter="0" w:footer="0" w:header="0"/>
        </w:sectPr>
      </w:pPr>
    </w:p>
    <w:bookmarkStart w:id="6" w:name="page7"/>
    <w:bookmarkEnd w:id="6"/>
    <w:p>
      <w:pPr>
        <w:jc w:val="both"/>
        <w:ind w:left="307"/>
        <w:spacing w:after="0" w:line="233" w:lineRule="auto"/>
        <w:rPr>
          <w:sz w:val="20"/>
          <w:szCs w:val="20"/>
          <w:color w:val="auto"/>
        </w:rPr>
      </w:pPr>
      <w:r>
        <w:rPr>
          <w:rFonts w:ascii="Times New Roman" w:cs="Times New Roman" w:eastAsia="Times New Roman" w:hAnsi="Times New Roman"/>
          <w:sz w:val="21"/>
          <w:szCs w:val="21"/>
          <w:color w:val="auto"/>
        </w:rPr>
        <w:t>information of the Company (and all reproductions thereof in whole or in part). You agree that you will make a diligent search to locate any such documents, property and information by the close of business on the Separation Date. If you have used any personally owned computer, server, or e-mail system to receive, store, review, prepare or transmit any Company confidential or proprietary data, materials or information, within five (5) calendar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done. You also agree that within five (5) calendar days after the Separation Date you will update any social media and networking profiles (such as LinkedIn and Facebook) to reflect that you are no longer employed or affiliated with the Company.</w:t>
      </w:r>
    </w:p>
    <w:p>
      <w:pPr>
        <w:spacing w:after="0" w:line="199" w:lineRule="exact"/>
        <w:rPr>
          <w:sz w:val="20"/>
          <w:szCs w:val="20"/>
          <w:color w:val="auto"/>
        </w:rPr>
      </w:pPr>
    </w:p>
    <w:p>
      <w:pPr>
        <w:jc w:val="both"/>
        <w:ind w:left="307" w:hanging="307"/>
        <w:spacing w:after="0" w:line="241" w:lineRule="auto"/>
        <w:tabs>
          <w:tab w:leader="none" w:pos="307"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Non-Solicitation. </w:t>
      </w:r>
      <w:r>
        <w:rPr>
          <w:rFonts w:ascii="Times New Roman" w:cs="Times New Roman" w:eastAsia="Times New Roman" w:hAnsi="Times New Roman"/>
          <w:sz w:val="21"/>
          <w:szCs w:val="21"/>
          <w:color w:val="auto"/>
        </w:rPr>
        <w:t>To the extent permitted by applicable law, you agree that for the one year period after the Separation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will not, as an officer, director, employee, consultant, owner, partner or in any other capacity, either directly or through others, solicit, induce or encourage any person known to you to be an employee, consultant, or independent contractor of the Company to terminate his, her or its relationship with the Company.</w:t>
      </w:r>
    </w:p>
    <w:p>
      <w:pPr>
        <w:spacing w:after="0" w:line="193" w:lineRule="exact"/>
        <w:rPr>
          <w:sz w:val="20"/>
          <w:szCs w:val="20"/>
          <w:color w:val="auto"/>
        </w:rPr>
      </w:pPr>
    </w:p>
    <w:p>
      <w:pPr>
        <w:jc w:val="both"/>
        <w:ind w:left="307" w:hanging="307"/>
        <w:spacing w:after="0" w:line="241" w:lineRule="auto"/>
        <w:tabs>
          <w:tab w:leader="none" w:pos="30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Voluntary Adverse Action</w:t>
      </w:r>
      <w:r>
        <w:rPr>
          <w:rFonts w:ascii="Times New Roman" w:cs="Times New Roman" w:eastAsia="Times New Roman" w:hAnsi="Times New Roman"/>
          <w:sz w:val="21"/>
          <w:szCs w:val="21"/>
          <w:color w:val="auto"/>
        </w:rPr>
        <w:t>. You agree that you will not voluntarily (except in response to legal compulsion or as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80" w:lineRule="exact"/>
        <w:rPr>
          <w:rFonts w:ascii="Times New Roman" w:cs="Times New Roman" w:eastAsia="Times New Roman" w:hAnsi="Times New Roman"/>
          <w:sz w:val="21"/>
          <w:szCs w:val="21"/>
          <w:color w:val="auto"/>
        </w:rPr>
      </w:pPr>
    </w:p>
    <w:p>
      <w:pPr>
        <w:jc w:val="both"/>
        <w:ind w:left="307" w:hanging="307"/>
        <w:spacing w:after="0" w:line="236" w:lineRule="auto"/>
        <w:tabs>
          <w:tab w:leader="none" w:pos="29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Cooperation. </w:t>
      </w:r>
      <w:r>
        <w:rPr>
          <w:rFonts w:ascii="Times New Roman" w:cs="Times New Roman" w:eastAsia="Times New Roman" w:hAnsi="Times New Roman"/>
          <w:sz w:val="21"/>
          <w:szCs w:val="21"/>
          <w:color w:val="auto"/>
        </w:rPr>
        <w:t>You agree to cooperate fully with the Company in connection with its actual or contemplated defense,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198" w:lineRule="exact"/>
        <w:rPr>
          <w:rFonts w:ascii="Times New Roman" w:cs="Times New Roman" w:eastAsia="Times New Roman" w:hAnsi="Times New Roman"/>
          <w:sz w:val="21"/>
          <w:szCs w:val="21"/>
          <w:color w:val="auto"/>
        </w:rPr>
      </w:pPr>
    </w:p>
    <w:p>
      <w:pPr>
        <w:jc w:val="both"/>
        <w:ind w:left="307" w:hanging="307"/>
        <w:spacing w:after="0" w:line="246" w:lineRule="auto"/>
        <w:tabs>
          <w:tab w:leader="none" w:pos="30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Admissions. </w:t>
      </w:r>
      <w:r>
        <w:rPr>
          <w:rFonts w:ascii="Times New Roman" w:cs="Times New Roman" w:eastAsia="Times New Roman" w:hAnsi="Times New Roman"/>
          <w:sz w:val="21"/>
          <w:szCs w:val="21"/>
          <w:color w:val="auto"/>
        </w:rPr>
        <w:t>You understand and agree that the promises and payments in consideration of this Agreement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to be an admission of any liability or obligation by the Company to you or to any other person, and that the Company makes no such admission.</w:t>
      </w:r>
    </w:p>
    <w:p>
      <w:pPr>
        <w:spacing w:after="0" w:line="174" w:lineRule="exact"/>
        <w:rPr>
          <w:rFonts w:ascii="Times New Roman" w:cs="Times New Roman" w:eastAsia="Times New Roman" w:hAnsi="Times New Roman"/>
          <w:sz w:val="21"/>
          <w:szCs w:val="21"/>
          <w:color w:val="auto"/>
        </w:rPr>
      </w:pPr>
    </w:p>
    <w:p>
      <w:pPr>
        <w:ind w:left="307" w:hanging="307"/>
        <w:spacing w:after="0"/>
        <w:tabs>
          <w:tab w:leader="none" w:pos="30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w:t>
      </w:r>
    </w:p>
    <w:p>
      <w:pPr>
        <w:spacing w:after="0" w:line="17" w:lineRule="exact"/>
        <w:rPr>
          <w:sz w:val="20"/>
          <w:szCs w:val="20"/>
          <w:color w:val="auto"/>
        </w:rPr>
      </w:pPr>
    </w:p>
    <w:p>
      <w:pPr>
        <w:jc w:val="both"/>
        <w:ind w:left="927" w:hanging="306"/>
        <w:spacing w:after="0" w:line="235" w:lineRule="auto"/>
        <w:tabs>
          <w:tab w:leader="none" w:pos="91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General Release of Claims. </w:t>
      </w:r>
      <w:r>
        <w:rPr>
          <w:rFonts w:ascii="Times New Roman" w:cs="Times New Roman" w:eastAsia="Times New Roman" w:hAnsi="Times New Roman"/>
          <w:sz w:val="21"/>
          <w:szCs w:val="21"/>
          <w:color w:val="auto"/>
        </w:rPr>
        <w:t>In exchange for the consideration provided to you under this Agreement to which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would not otherwise be entitled, you hereby generally and completely release the Company, and its affiliated, related, parent</w:t>
      </w:r>
    </w:p>
    <w:p>
      <w:pPr>
        <w:sectPr>
          <w:pgSz w:w="11900" w:h="16838" w:orient="portrait"/>
          <w:cols w:equalWidth="0" w:num="1">
            <w:col w:w="10927"/>
          </w:cols>
          <w:pgMar w:left="633" w:top="1355" w:right="339" w:bottom="1440" w:gutter="0" w:footer="0" w:header="0"/>
        </w:sectPr>
      </w:pPr>
    </w:p>
    <w:bookmarkStart w:id="7" w:name="page8"/>
    <w:bookmarkEnd w:id="7"/>
    <w:p>
      <w:pPr>
        <w:jc w:val="both"/>
        <w:ind w:left="306"/>
        <w:spacing w:after="0"/>
        <w:rPr>
          <w:sz w:val="20"/>
          <w:szCs w:val="20"/>
          <w:color w:val="auto"/>
        </w:rPr>
      </w:pPr>
      <w:r>
        <w:rPr>
          <w:rFonts w:ascii="Times New Roman" w:cs="Times New Roman" w:eastAsia="Times New Roman" w:hAnsi="Times New Roman"/>
          <w:sz w:val="21"/>
          <w:szCs w:val="21"/>
          <w:color w:val="auto"/>
        </w:rPr>
        <w:t>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that arise out of or are in any way related to events, acts, conduct, or omissions occurring at any time prior to and including the date you sign this Agreement.</w:t>
      </w:r>
    </w:p>
    <w:p>
      <w:pPr>
        <w:spacing w:after="0" w:line="193" w:lineRule="exact"/>
        <w:rPr>
          <w:sz w:val="20"/>
          <w:szCs w:val="20"/>
          <w:color w:val="auto"/>
        </w:rPr>
      </w:pPr>
    </w:p>
    <w:p>
      <w:pPr>
        <w:jc w:val="both"/>
        <w:ind w:left="306" w:hanging="306"/>
        <w:spacing w:after="0" w:line="243" w:lineRule="auto"/>
        <w:tabs>
          <w:tab w:leader="none" w:pos="30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Scope of Release. </w:t>
      </w:r>
      <w:r>
        <w:rPr>
          <w:rFonts w:ascii="Times New Roman" w:cs="Times New Roman" w:eastAsia="Times New Roman" w:hAnsi="Times New Roman"/>
          <w:sz w:val="20"/>
          <w:szCs w:val="20"/>
          <w:color w:val="auto"/>
        </w:rPr>
        <w:t>This general release includes, but is not limited to: (i) all claims arising out of or in any way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employment with the Company or the termination of that employment; (ii) all claims related to your compensation or benefits from the Company, including salary, bonuses, commissions, vacation pay, expense reimbursements, severance pay, fringe benefits, securities of the Company, equity awards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xml:space="preserve">”), claims under the Texas Labor Code (including the Texas Payday law, the Texas Anti-Retaliation Act, Chapter 21 of the Texas Labor Code, and the Texas Whistleblower Act, the California Labor Code (as amended), and the California Family Rights Act). </w:t>
      </w:r>
      <w:r>
        <w:rPr>
          <w:rFonts w:ascii="Times New Roman" w:cs="Times New Roman" w:eastAsia="Times New Roman" w:hAnsi="Times New Roman"/>
          <w:sz w:val="20"/>
          <w:szCs w:val="20"/>
          <w:b w:val="1"/>
          <w:bCs w:val="1"/>
          <w:color w:val="auto"/>
        </w:rPr>
        <w:t>You acknowledge that you have been advised, consistent with California</w:t>
      </w:r>
    </w:p>
    <w:p>
      <w:pPr>
        <w:spacing w:after="0" w:line="9" w:lineRule="exact"/>
        <w:rPr>
          <w:rFonts w:ascii="Times New Roman" w:cs="Times New Roman" w:eastAsia="Times New Roman" w:hAnsi="Times New Roman"/>
          <w:sz w:val="20"/>
          <w:szCs w:val="20"/>
          <w:color w:val="auto"/>
        </w:rPr>
      </w:pPr>
    </w:p>
    <w:p>
      <w:pPr>
        <w:jc w:val="both"/>
        <w:ind w:left="306"/>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 xml:space="preserve">Government Code Section 12964.5(b)(4), that you have the right to consult an attorney regarding this Agreement and that you were given a reasonable time period of not less than five (5) business days in which to do so.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95" w:lineRule="exact"/>
        <w:rPr>
          <w:sz w:val="20"/>
          <w:szCs w:val="20"/>
          <w:color w:val="auto"/>
        </w:rPr>
      </w:pPr>
    </w:p>
    <w:p>
      <w:pPr>
        <w:jc w:val="both"/>
        <w:ind w:left="306" w:hanging="306"/>
        <w:spacing w:after="0" w:line="234" w:lineRule="auto"/>
        <w:tabs>
          <w:tab w:leader="none" w:pos="29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ADEA Release. </w:t>
      </w:r>
      <w:r>
        <w:rPr>
          <w:rFonts w:ascii="Times New Roman" w:cs="Times New Roman" w:eastAsia="Times New Roman" w:hAnsi="Times New Roman"/>
          <w:sz w:val="21"/>
          <w:szCs w:val="21"/>
          <w:color w:val="auto"/>
        </w:rPr>
        <w:t>You acknowledge that you are knowingly and voluntarily waiving and releasing any rights you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calendar days to consider this Agreement (although you may choose voluntarily to sign it sooner), and you agree that changes to this Agreement, whether material or immaterial, do not restart the running of the twenty-one (21) calendar day period; (d) you have seven (7) calendar days following the date you sign this Agreement to revoke this Agreement (in a written</w:t>
      </w:r>
    </w:p>
    <w:p>
      <w:pPr>
        <w:sectPr>
          <w:pgSz w:w="11900" w:h="16838" w:orient="portrait"/>
          <w:cols w:equalWidth="0" w:num="1">
            <w:col w:w="10306"/>
          </w:cols>
          <w:pgMar w:left="1254" w:top="1355" w:right="339" w:bottom="1440" w:gutter="0" w:footer="0" w:header="0"/>
        </w:sectPr>
      </w:pPr>
    </w:p>
    <w:bookmarkStart w:id="8" w:name="page9"/>
    <w:bookmarkEnd w:id="8"/>
    <w:p>
      <w:pPr>
        <w:jc w:val="both"/>
        <w:ind w:left="1240"/>
        <w:spacing w:after="0" w:line="244" w:lineRule="auto"/>
        <w:rPr>
          <w:sz w:val="20"/>
          <w:szCs w:val="20"/>
          <w:color w:val="auto"/>
        </w:rPr>
      </w:pPr>
      <w:r>
        <w:rPr>
          <w:rFonts w:ascii="Times New Roman" w:cs="Times New Roman" w:eastAsia="Times New Roman" w:hAnsi="Times New Roman"/>
          <w:sz w:val="21"/>
          <w:szCs w:val="21"/>
          <w:color w:val="auto"/>
        </w:rPr>
        <w:t>revocation sent to the Company); and (e) this Agreement will not be effective until the date upon which the revocation period has expired, which will be the eighth (8</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calendar day after you sign this Agreement provided that you do not revoke it.</w:t>
      </w:r>
    </w:p>
    <w:p>
      <w:pPr>
        <w:spacing w:after="0" w:line="190" w:lineRule="exact"/>
        <w:rPr>
          <w:sz w:val="20"/>
          <w:szCs w:val="20"/>
          <w:color w:val="auto"/>
        </w:rPr>
      </w:pPr>
    </w:p>
    <w:p>
      <w:pPr>
        <w:jc w:val="both"/>
        <w:ind w:left="1240" w:hanging="306"/>
        <w:spacing w:after="0" w:line="234" w:lineRule="auto"/>
        <w:tabs>
          <w:tab w:leader="none" w:pos="12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Excluded Claims and Acknowledgement. </w:t>
      </w:r>
      <w:r>
        <w:rPr>
          <w:rFonts w:ascii="Times New Roman" w:cs="Times New Roman" w:eastAsia="Times New Roman" w:hAnsi="Times New Roman"/>
          <w:sz w:val="21"/>
          <w:szCs w:val="21"/>
          <w:color w:val="auto"/>
        </w:rPr>
        <w:t>Notwithstanding the foregoing, you are not releasing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 to the extent such claims are not waivable as a matter of law with this release. You acknowledge and agree that the release of claims in this Agreement is not provided in exchange for a raise, bonus, or as a condition of continued employment, but rather in exchange for the materially modified terms and conditions of employment during the Transition Period and other consideration provided by the Company in this Agreement.</w:t>
      </w:r>
    </w:p>
    <w:p>
      <w:pPr>
        <w:spacing w:after="0" w:line="197" w:lineRule="exact"/>
        <w:rPr>
          <w:sz w:val="20"/>
          <w:szCs w:val="20"/>
          <w:color w:val="auto"/>
        </w:rPr>
      </w:pPr>
    </w:p>
    <w:p>
      <w:pPr>
        <w:ind w:left="620" w:hanging="309"/>
        <w:spacing w:after="0" w:line="261"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Section 1542 Waiver.</w:t>
      </w:r>
      <w:r>
        <w:rPr>
          <w:rFonts w:ascii="Times New Roman" w:cs="Times New Roman" w:eastAsia="Times New Roman" w:hAnsi="Times New Roman"/>
          <w:sz w:val="21"/>
          <w:szCs w:val="21"/>
          <w:color w:val="auto"/>
        </w:rPr>
        <w:t xml:space="preserve"> In giving the release herein, which includes claims which may be unknown to you at present, you acknowledge that you have read and understand Section 1542 of the California Civil Code, which reads as follows:</w:t>
      </w:r>
    </w:p>
    <w:p>
      <w:pPr>
        <w:spacing w:after="0" w:line="173"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21"/>
          <w:szCs w:val="21"/>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90" w:lineRule="exact"/>
        <w:rPr>
          <w:sz w:val="20"/>
          <w:szCs w:val="20"/>
          <w:color w:val="auto"/>
        </w:rPr>
      </w:pPr>
    </w:p>
    <w:p>
      <w:pPr>
        <w:jc w:val="both"/>
        <w:ind w:left="620" w:hanging="307"/>
        <w:spacing w:after="0" w:line="233" w:lineRule="auto"/>
        <w:tabs>
          <w:tab w:leader="none" w:pos="6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Protected Rights. </w:t>
      </w:r>
      <w:r>
        <w:rPr>
          <w:rFonts w:ascii="Times New Roman" w:cs="Times New Roman" w:eastAsia="Times New Roman" w:hAnsi="Times New Roman"/>
          <w:sz w:val="21"/>
          <w:szCs w:val="21"/>
          <w:color w:val="auto"/>
        </w:rPr>
        <w:t>You understand that nothing in this Agreement limits your ability to file a charge or complaint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the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if applicable (subject to the release of claims set forth herein).</w:t>
      </w:r>
    </w:p>
    <w:p>
      <w:pPr>
        <w:sectPr>
          <w:pgSz w:w="11900" w:h="16838" w:orient="portrait"/>
          <w:cols w:equalWidth="0" w:num="1">
            <w:col w:w="11240"/>
          </w:cols>
          <w:pgMar w:left="320" w:top="1355" w:right="339" w:bottom="1440" w:gutter="0" w:footer="0" w:header="0"/>
        </w:sectPr>
      </w:pPr>
    </w:p>
    <w:bookmarkStart w:id="9" w:name="page10"/>
    <w:bookmarkEnd w:id="9"/>
    <w:p>
      <w:pPr>
        <w:spacing w:after="0" w:line="144" w:lineRule="exact"/>
        <w:rPr>
          <w:sz w:val="20"/>
          <w:szCs w:val="20"/>
          <w:color w:val="auto"/>
        </w:rPr>
      </w:pPr>
    </w:p>
    <w:p>
      <w:pPr>
        <w:jc w:val="both"/>
        <w:ind w:left="307" w:hanging="307"/>
        <w:spacing w:after="0" w:line="241" w:lineRule="auto"/>
        <w:tabs>
          <w:tab w:leader="none" w:pos="30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Representations. </w:t>
      </w:r>
      <w:r>
        <w:rPr>
          <w:rFonts w:ascii="Times New Roman" w:cs="Times New Roman" w:eastAsia="Times New Roman" w:hAnsi="Times New Roman"/>
          <w:sz w:val="21"/>
          <w:szCs w:val="21"/>
          <w:color w:val="auto"/>
        </w:rPr>
        <w:t>You hereby represent that you have been paid all compensation owed and for all hours worked through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you sign this Agreement, have 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192" w:lineRule="exact"/>
        <w:rPr>
          <w:rFonts w:ascii="Times New Roman" w:cs="Times New Roman" w:eastAsia="Times New Roman" w:hAnsi="Times New Roman"/>
          <w:sz w:val="21"/>
          <w:szCs w:val="21"/>
          <w:color w:val="auto"/>
        </w:rPr>
      </w:pPr>
    </w:p>
    <w:p>
      <w:pPr>
        <w:jc w:val="both"/>
        <w:ind w:left="307" w:hanging="307"/>
        <w:spacing w:after="0" w:line="242" w:lineRule="auto"/>
        <w:tabs>
          <w:tab w:leader="none" w:pos="30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This Agreement, including its exhibit(s), constitutes the complete, final and exclusive embodiment of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Texas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may be delivered and executed via facsimile, electronic mail (including PDF or any electronic signature complying with the U.S. federal ESIGN Act of 2000, Uniform Electronic Transactions Act or other</w:t>
      </w:r>
    </w:p>
    <w:p>
      <w:pPr>
        <w:spacing w:after="0" w:line="10" w:lineRule="exact"/>
        <w:rPr>
          <w:sz w:val="20"/>
          <w:szCs w:val="20"/>
          <w:color w:val="auto"/>
        </w:rPr>
      </w:pPr>
    </w:p>
    <w:p>
      <w:pPr>
        <w:ind w:left="307"/>
        <w:spacing w:after="0" w:line="231" w:lineRule="auto"/>
        <w:rPr>
          <w:sz w:val="20"/>
          <w:szCs w:val="20"/>
          <w:color w:val="auto"/>
        </w:rPr>
      </w:pPr>
      <w:r>
        <w:rPr>
          <w:rFonts w:ascii="Times New Roman" w:cs="Times New Roman" w:eastAsia="Times New Roman" w:hAnsi="Times New Roman"/>
          <w:sz w:val="21"/>
          <w:szCs w:val="21"/>
          <w:color w:val="auto"/>
        </w:rPr>
        <w:t>applicable law) or other transmission method and shall be deemed to have been duly and validly delivered and executed and be valid and effective for all purposes.</w:t>
      </w:r>
    </w:p>
    <w:p>
      <w:pPr>
        <w:jc w:val="center"/>
        <w:ind w:right="293"/>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10927"/>
          </w:cols>
          <w:pgMar w:left="633" w:top="1440"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1"/>
          <w:szCs w:val="21"/>
          <w:color w:val="auto"/>
        </w:rPr>
        <w:t>If this Agreement is acceptable to you, please sign below and return the original to me. You have twenty-one (21) calendar days to decide whether you would like to accept this Agreement, and the Company’s offer contained herein will automatically expire if you do not sign and return it within this timeframe.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wish you the best in your future endeavors.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Zoom Video Communications,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Aparna Bawa</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Aparna Bawa</w:t>
      </w:r>
    </w:p>
    <w:p>
      <w:pPr>
        <w:ind w:left="620"/>
        <w:spacing w:after="0"/>
        <w:rPr>
          <w:sz w:val="20"/>
          <w:szCs w:val="20"/>
          <w:color w:val="auto"/>
        </w:rPr>
      </w:pPr>
      <w:r>
        <w:rPr>
          <w:rFonts w:ascii="Times New Roman" w:cs="Times New Roman" w:eastAsia="Times New Roman" w:hAnsi="Times New Roman"/>
          <w:sz w:val="21"/>
          <w:szCs w:val="21"/>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 HAVE READ, UNDERSTAND AND AGREE FULLY TO THE FOREGOING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Kelly Steckelberg</w:t>
      </w:r>
    </w:p>
    <w:p>
      <w:pPr>
        <w:spacing w:after="0"/>
        <w:rPr>
          <w:sz w:val="20"/>
          <w:szCs w:val="20"/>
          <w:color w:val="auto"/>
        </w:rPr>
      </w:pPr>
      <w:r>
        <w:rPr>
          <w:rFonts w:ascii="Times New Roman" w:cs="Times New Roman" w:eastAsia="Times New Roman" w:hAnsi="Times New Roman"/>
          <w:sz w:val="21"/>
          <w:szCs w:val="21"/>
          <w:color w:val="auto"/>
        </w:rPr>
        <w:t>Kelly Steckelberg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August 21, 2024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35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Employment, Confidential Information and Assignment of Creative Works Agreement</w:t>
      </w:r>
    </w:p>
    <w:p>
      <w:pPr>
        <w:sectPr>
          <w:pgSz w:w="11900" w:h="16838" w:orient="portrait"/>
          <w:cols w:equalWidth="0" w:num="1">
            <w:col w:w="9019"/>
          </w:cols>
          <w:pgMar w:left="1440" w:top="1351"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Financial Results for the Second Quarter of Fiscal Year 2025</w:t>
      </w:r>
    </w:p>
    <w:p>
      <w:pPr>
        <w:spacing w:after="0" w:line="113" w:lineRule="exact"/>
        <w:rPr>
          <w:sz w:val="20"/>
          <w:szCs w:val="20"/>
          <w:color w:val="auto"/>
        </w:rPr>
      </w:pPr>
    </w:p>
    <w:p>
      <w:pPr>
        <w:ind w:left="920" w:hanging="296"/>
        <w:spacing w:after="0"/>
        <w:tabs>
          <w:tab w:leader="none" w:pos="92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total revenue of $1,162.5 million, up 2.1% year over year as reported and 2.4%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Enterprise revenue of $682.8 million, up 3.5%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GAAP operating margin of 17.4% and non-GAAP operating margin of 39.2%</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Second quarter operating cash flow of $449.3 million, up 33.7%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4.8 million shares of common stock in Q2</w:t>
      </w:r>
    </w:p>
    <w:p>
      <w:pPr>
        <w:spacing w:after="0" w:line="220"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August 21, 2024 – Zoom Video Communications, Inc. (NASDAQ: ZM), today announced financial results for the second fiscal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July 31, 2024.</w:t>
      </w:r>
    </w:p>
    <w:p>
      <w:pPr>
        <w:spacing w:after="0" w:line="4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 Q2, we outperformed our guidance across the board and grew operating cash flow and free cash flow by 33.7% and 26.2% year over year, respectively, demonstrating our continued commitment to efficient growth. We also saw strength in large accounts, with customers contributing more than $100,000 in trailing 12 months revenue increasing by 7.1% year over year, and resilience in our Online business, with Online average monthly churn reaching its lowest ever rate,” said Eric S. Yuan, Zoom founder, and CEO. “Zoom Contact Center racked up several marquee customers, including its largest single order deal to-date, highlighting our ability to win competitive deals for full scale, customer-facing deployments with our higher-end packages that utilize advanced AI features to enhance agent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Quarter Fiscal Year 2025 Financial Highlights:</w:t>
      </w:r>
    </w:p>
    <w:p>
      <w:pPr>
        <w:spacing w:after="0" w:line="205" w:lineRule="exact"/>
        <w:rPr>
          <w:sz w:val="20"/>
          <w:szCs w:val="20"/>
          <w:color w:val="auto"/>
        </w:rPr>
      </w:pPr>
    </w:p>
    <w:p>
      <w:pPr>
        <w:ind w:left="940" w:right="40" w:hanging="316"/>
        <w:spacing w:after="0" w:line="273"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second quarter was $1,162.5 million, up 2.1% year over year.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$1,166.1 million, up 2.4% year over year. Enterprise revenue was $682.8 million, up 3.5% year over year, and Online revenue was $479.7 million, flat year over year.</w:t>
      </w:r>
    </w:p>
    <w:p>
      <w:pPr>
        <w:spacing w:after="0" w:line="56" w:lineRule="exact"/>
        <w:rPr>
          <w:rFonts w:ascii="Times New Roman" w:cs="Times New Roman" w:eastAsia="Times New Roman" w:hAnsi="Times New Roman"/>
          <w:sz w:val="17"/>
          <w:szCs w:val="17"/>
          <w:color w:val="auto"/>
        </w:rPr>
      </w:pPr>
    </w:p>
    <w:p>
      <w:pPr>
        <w:ind w:left="940" w:right="80" w:hanging="316"/>
        <w:spacing w:after="0" w:line="263" w:lineRule="auto"/>
        <w:tabs>
          <w:tab w:leader="none" w:pos="93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second quarter was $202.4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$177.6 million in the second quarter of fiscal year 2024. After adjusting for stock-based compensation expense and related payroll taxes, acquisition-related expenses, restructuring expenses, and litigation settlements, net, non-GAAP income from operations for the second quarter was $455.5 million, compared to non-GAAP income from operations of $461.7 million in the second quarter of fiscal year 2024. For the second quarter, GAAP operating margin was 17.4% and non-GAAP operating margin was 39.2%.</w:t>
      </w:r>
    </w:p>
    <w:p>
      <w:pPr>
        <w:spacing w:after="0" w:line="169" w:lineRule="exact"/>
        <w:rPr>
          <w:rFonts w:ascii="Times New Roman" w:cs="Times New Roman" w:eastAsia="Times New Roman" w:hAnsi="Times New Roman"/>
          <w:sz w:val="17"/>
          <w:szCs w:val="17"/>
          <w:b w:val="1"/>
          <w:bCs w:val="1"/>
          <w:color w:val="auto"/>
        </w:rPr>
      </w:pPr>
    </w:p>
    <w:p>
      <w:pPr>
        <w:ind w:left="940" w:right="340" w:hanging="316"/>
        <w:spacing w:after="0" w:line="293" w:lineRule="auto"/>
        <w:tabs>
          <w:tab w:leader="none" w:pos="93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second quarter was $219.0 million, or $0.70 per share,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net income of $182.0 million, or $0.59 per share, in the second quarter of fiscal year 2024.</w:t>
      </w:r>
    </w:p>
    <w:p>
      <w:pPr>
        <w:spacing w:after="0" w:line="43" w:lineRule="exact"/>
        <w:rPr>
          <w:rFonts w:ascii="Times New Roman" w:cs="Times New Roman" w:eastAsia="Times New Roman" w:hAnsi="Times New Roman"/>
          <w:sz w:val="17"/>
          <w:szCs w:val="17"/>
          <w:b w:val="1"/>
          <w:bCs w:val="1"/>
          <w:color w:val="auto"/>
        </w:rPr>
      </w:pPr>
    </w:p>
    <w:p>
      <w:pPr>
        <w:ind w:left="940" w:right="8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second quarter was $436.4 million, after adjusting for stock-based compensation expense and related payroll taxes, gains on strategic investments, net, acquisition-related expenses, restructuring expenses, litigation settlements, net, and the tax effects on non-GAAP adjustments. Non-GAAP net income per share was $1.39. In the second quarter of fiscal year 2024, non-GAAP net income was $409.6 million, or $1.34 per share.</w:t>
      </w:r>
    </w:p>
    <w:p>
      <w:pPr>
        <w:spacing w:after="0" w:line="166" w:lineRule="exact"/>
        <w:rPr>
          <w:rFonts w:ascii="Times New Roman" w:cs="Times New Roman" w:eastAsia="Times New Roman" w:hAnsi="Times New Roman"/>
          <w:sz w:val="17"/>
          <w:szCs w:val="17"/>
          <w:b w:val="1"/>
          <w:bCs w:val="1"/>
          <w:color w:val="auto"/>
        </w:rPr>
      </w:pPr>
    </w:p>
    <w:p>
      <w:pPr>
        <w:ind w:left="940" w:right="260" w:hanging="316"/>
        <w:spacing w:after="0" w:line="293" w:lineRule="auto"/>
        <w:tabs>
          <w:tab w:leader="none" w:pos="93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July 31, 2024 was $7.5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pacing w:after="0" w:line="39" w:lineRule="exact"/>
        <w:rPr>
          <w:rFonts w:ascii="Times New Roman" w:cs="Times New Roman" w:eastAsia="Times New Roman" w:hAnsi="Times New Roman"/>
          <w:sz w:val="17"/>
          <w:szCs w:val="17"/>
          <w:b w:val="1"/>
          <w:bCs w:val="1"/>
          <w:color w:val="auto"/>
        </w:rPr>
      </w:pPr>
    </w:p>
    <w:p>
      <w:pPr>
        <w:ind w:left="940" w:right="20" w:hanging="316"/>
        <w:spacing w:after="0" w:line="273"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$449.3 million for the second quarter, compared to $336.0 million in the second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2024, up 33.7% year over year. Free cash flow, which is net cash provided by operating activities less purchases of property and equipment, was $365.1 million, compared to $289.4 million in the second quarter of fiscal year 2024, up 26.2% year over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At the end of the second quarter of fiscal year 2025, Zoom had:</w:t>
      </w:r>
    </w:p>
    <w:p>
      <w:pPr>
        <w:sectPr>
          <w:pgSz w:w="11900" w:h="16838" w:orient="portrait"/>
          <w:cols w:equalWidth="0" w:num="1">
            <w:col w:w="11240"/>
          </w:cols>
          <w:pgMar w:left="320" w:top="1092" w:right="339" w:bottom="1440" w:gutter="0" w:footer="0" w:header="0"/>
        </w:sectPr>
      </w:pPr>
    </w:p>
    <w:bookmarkStart w:id="13" w:name="page14"/>
    <w:bookmarkEnd w:id="13"/>
    <w:p>
      <w:pPr>
        <w:ind w:left="920" w:hanging="296"/>
        <w:spacing w:after="0"/>
        <w:tabs>
          <w:tab w:leader="none" w:pos="92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3,933 customers contributing more than $100,000 in trailing 12 months revenue, up approximately 7.1% from the same quarter last fiscal year.</w:t>
      </w:r>
    </w:p>
    <w:p>
      <w:pPr>
        <w:spacing w:after="0" w:line="104" w:lineRule="exact"/>
        <w:rPr>
          <w:rFonts w:ascii="Times New Roman" w:cs="Times New Roman" w:eastAsia="Times New Roman" w:hAnsi="Times New Roman"/>
          <w:sz w:val="19"/>
          <w:szCs w:val="19"/>
          <w:b w:val="1"/>
          <w:bCs w:val="1"/>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191,600 Enterprise customers.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98%.</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2.9% for the second quarter, down 30 bps from the second quarter fiscal year 2024.</w:t>
      </w:r>
    </w:p>
    <w:p>
      <w:pPr>
        <w:spacing w:after="0" w:line="114" w:lineRule="exact"/>
        <w:rPr>
          <w:rFonts w:ascii="Times New Roman" w:cs="Times New Roman" w:eastAsia="Times New Roman" w:hAnsi="Times New Roman"/>
          <w:sz w:val="17"/>
          <w:szCs w:val="17"/>
          <w:color w:val="auto"/>
        </w:rPr>
      </w:pPr>
    </w:p>
    <w:p>
      <w:pPr>
        <w:ind w:left="940" w:right="20" w:hanging="316"/>
        <w:spacing w:after="0" w:line="288"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74.4%, up 160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third quarter of fiscal year 2025 and its full fiscal year 2025.</w:t>
      </w:r>
    </w:p>
    <w:p>
      <w:pPr>
        <w:spacing w:after="0" w:line="119" w:lineRule="exact"/>
        <w:rPr>
          <w:sz w:val="20"/>
          <w:szCs w:val="20"/>
          <w:color w:val="auto"/>
        </w:rPr>
      </w:pPr>
    </w:p>
    <w:p>
      <w:pPr>
        <w:ind w:left="940" w:hanging="316"/>
        <w:spacing w:after="0" w:line="270" w:lineRule="auto"/>
        <w:tabs>
          <w:tab w:leader="none" w:pos="936"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Third Quarter Fiscal Year 2025: Total revenue is expected to be between $1.160 billion and $1.165 billion and revenue in constant currency is expected to be between $1.162 billion and $1.167 billion. Non-GAAP income from operations is expected to be between $438.0 million and $443.0 million. Non-GAAP diluted EPS is expected to be between $1.29 and $1.31 with approximately 314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jc w:val="both"/>
        <w:ind w:left="940" w:right="20" w:hanging="316"/>
        <w:spacing w:after="0" w:line="265" w:lineRule="auto"/>
        <w:tabs>
          <w:tab w:leader="none" w:pos="936"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2025: Total revenue is expected to be between $4.630 billion and $4.640 billion and revenue in constant currency is expected to be between $4.641 billion and $4.651 billion. Full fiscal year non-GAAP income from operations is expected to be between $1.790 billion and $1.800 billion. Full fiscal year non-GAAP diluted EPS is expected to be between $5.29 and $5.32 with approximately 316 million weighted average shares outstanding. Full fiscal year free cash flow is expected to be between $1.580 billion and $1.620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the impact from $1.062 billion of authorized share repurchase remaining as of July 31, 2024.</w:t>
      </w:r>
    </w:p>
    <w:p>
      <w:pPr>
        <w:spacing w:after="0" w:line="21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0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August 21, 2024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Zoom’s mission is to provide one platform that delivers limitless human connection. Reimagine teamwork with Zoom Workplace — Zoom’s open collaboration platform with AI Companion empowers teams to be more productive.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information at zoom.com.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third quarter of fiscal year 2025 and full fiscal year 2025, Zoom’s market position, opportunities, and growth strategy, product initiatives,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w:t>
      </w:r>
    </w:p>
    <w:p>
      <w:pPr>
        <w:sectPr>
          <w:pgSz w:w="11900" w:h="16838" w:orient="portrait"/>
          <w:cols w:equalWidth="0" w:num="1">
            <w:col w:w="11140"/>
          </w:cols>
          <w:pgMar w:left="320" w:top="976" w:right="439" w:bottom="1440" w:gutter="0" w:footer="0" w:header="0"/>
        </w:sectPr>
      </w:pPr>
    </w:p>
    <w:bookmarkStart w:id="14" w:name="page15"/>
    <w:bookmarkEnd w:id="14"/>
    <w:p>
      <w:pPr>
        <w:ind w:right="20"/>
        <w:spacing w:after="0" w:line="257" w:lineRule="auto"/>
        <w:rPr>
          <w:sz w:val="20"/>
          <w:szCs w:val="20"/>
          <w:color w:val="auto"/>
        </w:rPr>
      </w:pPr>
      <w:r>
        <w:rPr>
          <w:rFonts w:ascii="Times New Roman" w:cs="Times New Roman" w:eastAsia="Times New Roman" w:hAnsi="Times New Roman"/>
          <w:sz w:val="17"/>
          <w:szCs w:val="17"/>
          <w:color w:val="auto"/>
        </w:rPr>
        <w:t>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inflation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2024.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w:t>
      </w:r>
    </w:p>
    <w:p>
      <w:pPr>
        <w:spacing w:after="0" w:line="78"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and GAAP net income per share, basic and diluted, respectively, adjusted to exclude stock-based compensation expense and related payroll taxes, acquisition-related expenses, restructuring expenses, gains/losses on strategic investments, net, litigation settlements, net, and the tax effects of all non-GAAP adjustments. Zoom excludes these items because they are considered by management to be outside of Zoom’s core operating results.</w:t>
      </w:r>
    </w:p>
    <w:p>
      <w:pPr>
        <w:spacing w:after="0" w:line="3"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7"/>
          <w:szCs w:val="17"/>
          <w:color w:val="auto"/>
        </w:rPr>
        <w:t>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w:t>
      </w:r>
    </w:p>
    <w:p>
      <w:pPr>
        <w:spacing w:after="0" w:line="6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ectPr>
          <w:pgSz w:w="11900" w:h="16838" w:orient="portrait"/>
          <w:cols w:equalWidth="0" w:num="1">
            <w:col w:w="11220"/>
          </w:cols>
          <w:pgMar w:left="320" w:top="963" w:right="359" w:bottom="1440" w:gutter="0" w:footer="0" w:header="0"/>
        </w:sectPr>
      </w:pPr>
    </w:p>
    <w:bookmarkStart w:id="15" w:name="page16"/>
    <w:bookmarkEnd w:id="15"/>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July 31,</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1,558,252</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5,980,575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5,404,233</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536,078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219,182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8,395,145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7,926,219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293,704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409,222</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718,066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662,177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10,507,192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500,164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1,391,278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1,251,848</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1,762,187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1,981,945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1,910,387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5,228,756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3,224,603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2,789,280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8,525,247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8,019,406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10,507,192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$119.9 million and $124.8 million as of July 31, 2024 and January 31, 2024, respectively.</w:t>
      </w:r>
    </w:p>
    <w:p>
      <w:pPr>
        <w:sectPr>
          <w:pgSz w:w="11900" w:h="16838" w:orient="portrait"/>
          <w:cols w:equalWidth="0" w:num="1">
            <w:col w:w="11240"/>
          </w:cols>
          <w:pgMar w:left="320" w:top="856"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5"/>
                <w:szCs w:val="15"/>
                <w:color w:val="auto"/>
              </w:rPr>
            </w:pPr>
          </w:p>
        </w:tc>
        <w:tc>
          <w:tcPr>
            <w:tcW w:w="268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2,244,040</w:t>
            </w:r>
          </w:p>
        </w:tc>
      </w:tr>
      <w:tr>
        <w:trPr>
          <w:trHeight w:val="22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558,391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530,506</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872,117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1,745,363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1,713,534</w:t>
            </w:r>
          </w:p>
        </w:tc>
      </w:tr>
      <w:tr>
        <w:trPr>
          <w:trHeight w:val="20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401,073</w:t>
            </w:r>
          </w:p>
        </w:tc>
      </w:tr>
      <w:tr>
        <w:trPr>
          <w:trHeight w:val="220"/>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358,770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795,877</w:t>
            </w:r>
          </w:p>
        </w:tc>
      </w:tr>
      <w:tr>
        <w:trPr>
          <w:trHeight w:val="220"/>
        </w:trPr>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329,224</w:t>
            </w:r>
          </w:p>
        </w:tc>
      </w:tr>
      <w:tr>
        <w:trPr>
          <w:trHeight w:val="213"/>
        </w:trPr>
        <w:tc>
          <w:tcPr>
            <w:tcW w:w="5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694,499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1,526,174</w:t>
            </w: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187,360</w:t>
            </w: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33,945</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292,889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293,603</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96,185</w:t>
            </w:r>
          </w:p>
        </w:tc>
      </w:tr>
      <w:tr>
        <w:trPr>
          <w:trHeight w:val="187"/>
        </w:trPr>
        <w:tc>
          <w:tcPr>
            <w:tcW w:w="516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219,015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181,974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435,323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197,418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1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0.59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0.65</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5"/>
        </w:trPr>
        <w:tc>
          <w:tcPr>
            <w:tcW w:w="51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0"/>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309,137,807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299,093,452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308,921,610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297,281,846</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314,027,192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305,932,596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314,696,351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305,054,771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85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5"/>
                <w:szCs w:val="15"/>
                <w:color w:val="auto"/>
              </w:rPr>
            </w:pPr>
          </w:p>
        </w:tc>
        <w:tc>
          <w:tcPr>
            <w:tcW w:w="268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219,015</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181,974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435,323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197,418</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237,950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543,854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71,688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29,084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on strategic investments,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(33,945)</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25,196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(92,927)</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(58,951)</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55,665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(11,101)</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449,334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1,037,525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754,458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(1,057,936)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(2,181,315)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(1,826,166)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867,228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1,543,120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107,244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(204,918)</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(540,910)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(648,734)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(500,146)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32,513</w:t>
            </w:r>
          </w:p>
        </w:tc>
        <w:tc>
          <w:tcPr>
            <w:tcW w:w="0" w:type="dxa"/>
            <w:vAlign w:val="bottom"/>
          </w:tcPr>
          <w:p>
            <w:pPr>
              <w:spacing w:after="0"/>
              <w:rPr>
                <w:sz w:val="1"/>
                <w:szCs w:val="1"/>
                <w:color w:val="auto"/>
              </w:rPr>
            </w:pPr>
          </w:p>
        </w:tc>
      </w:tr>
      <w:tr>
        <w:trPr>
          <w:trHeight w:val="156"/>
        </w:trPr>
        <w:tc>
          <w:tcPr>
            <w:tcW w:w="5100" w:type="dxa"/>
            <w:vAlign w:val="bottom"/>
          </w:tcPr>
          <w:p>
            <w:pPr>
              <w:ind w:left="220"/>
              <w:spacing w:after="0" w:line="156" w:lineRule="exact"/>
              <w:rPr>
                <w:sz w:val="20"/>
                <w:szCs w:val="20"/>
                <w:color w:val="auto"/>
              </w:rPr>
            </w:pPr>
            <w:r>
              <w:rPr>
                <w:rFonts w:ascii="Times New Roman" w:cs="Times New Roman" w:eastAsia="Times New Roman" w:hAnsi="Times New Roman"/>
                <w:sz w:val="16"/>
                <w:szCs w:val="16"/>
                <w:color w:val="auto"/>
              </w:rPr>
              <w:t>Proceeds from employee equity transactions (remitted) to be remitted to</w:t>
            </w: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20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employees and tax authorities, net</w:t>
            </w: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10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(256,265)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(398,716)</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41,458</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291,989</w:t>
            </w:r>
          </w:p>
        </w:tc>
        <w:tc>
          <w:tcPr>
            <w:tcW w:w="0" w:type="dxa"/>
            <w:vAlign w:val="bottom"/>
          </w:tcPr>
          <w:p>
            <w:pPr>
              <w:spacing w:after="0"/>
              <w:rPr>
                <w:sz w:val="1"/>
                <w:szCs w:val="1"/>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1,896,444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1,042,410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1,565,380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1,100,243</w:t>
            </w:r>
          </w:p>
        </w:tc>
        <w:tc>
          <w:tcPr>
            <w:tcW w:w="0" w:type="dxa"/>
            <w:vAlign w:val="bottom"/>
          </w:tcPr>
          <w:p>
            <w:pPr>
              <w:spacing w:after="0"/>
              <w:rPr>
                <w:sz w:val="1"/>
                <w:szCs w:val="1"/>
                <w:color w:val="auto"/>
              </w:rPr>
            </w:pPr>
          </w:p>
        </w:tc>
      </w:tr>
      <w:tr>
        <w:trPr>
          <w:trHeight w:val="20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1,549,309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1,392,232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1,549,309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1,392,232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0"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8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202,370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177,618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405,392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187,360</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244,111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269,320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486,985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547,368</w:t>
            </w:r>
          </w:p>
        </w:tc>
        <w:tc>
          <w:tcPr>
            <w:tcW w:w="0" w:type="dxa"/>
            <w:vAlign w:val="bottom"/>
          </w:tcPr>
          <w:p>
            <w:pPr>
              <w:spacing w:after="0"/>
              <w:rPr>
                <w:sz w:val="1"/>
                <w:szCs w:val="1"/>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23,779</w:t>
            </w:r>
          </w:p>
        </w:tc>
        <w:tc>
          <w:tcPr>
            <w:tcW w:w="0" w:type="dxa"/>
            <w:vAlign w:val="bottom"/>
          </w:tcPr>
          <w:p>
            <w:pPr>
              <w:spacing w:after="0"/>
              <w:rPr>
                <w:sz w:val="1"/>
                <w:szCs w:val="1"/>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72,993</w:t>
            </w:r>
          </w:p>
        </w:tc>
        <w:tc>
          <w:tcPr>
            <w:tcW w:w="0" w:type="dxa"/>
            <w:vAlign w:val="bottom"/>
          </w:tcPr>
          <w:p>
            <w:pPr>
              <w:spacing w:after="0"/>
              <w:rPr>
                <w:sz w:val="1"/>
                <w:szCs w:val="1"/>
                <w:color w:val="auto"/>
              </w:rPr>
            </w:pPr>
          </w:p>
        </w:tc>
      </w:tr>
      <w:tr>
        <w:trPr>
          <w:trHeight w:val="238"/>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455,542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461,679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912,139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884,000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15.6 %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8.3 %</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0" w:type="dxa"/>
            <w:vAlign w:val="bottom"/>
          </w:tcPr>
          <w:p>
            <w:pPr>
              <w:spacing w:after="0"/>
              <w:rPr>
                <w:sz w:val="1"/>
                <w:szCs w:val="1"/>
                <w:color w:val="auto"/>
              </w:rPr>
            </w:pPr>
          </w:p>
        </w:tc>
      </w:tr>
      <w:tr>
        <w:trPr>
          <w:trHeight w:val="258"/>
        </w:trPr>
        <w:tc>
          <w:tcPr>
            <w:tcW w:w="4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219,015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181,974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435,323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197,418</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244,111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269,320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486,985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547,368</w:t>
            </w:r>
          </w:p>
        </w:tc>
        <w:tc>
          <w:tcPr>
            <w:tcW w:w="0" w:type="dxa"/>
            <w:vAlign w:val="bottom"/>
          </w:tcPr>
          <w:p>
            <w:pPr>
              <w:spacing w:after="0"/>
              <w:rPr>
                <w:sz w:val="1"/>
                <w:szCs w:val="1"/>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(31,670)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(33,945)</w:t>
            </w:r>
          </w:p>
        </w:tc>
        <w:tc>
          <w:tcPr>
            <w:tcW w:w="0" w:type="dxa"/>
            <w:vAlign w:val="bottom"/>
          </w:tcPr>
          <w:p>
            <w:pPr>
              <w:spacing w:after="0"/>
              <w:rPr>
                <w:sz w:val="1"/>
                <w:szCs w:val="1"/>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10,811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23,779</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72,993</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(32,659)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(24,800)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(58,870)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(97,297)</w:t>
            </w: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436,421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409,565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862,739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762,816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0.66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2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GAAP net income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0.59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0.65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per share - basic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309,137,807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299,093,452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308,921,610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297,281,846</w:t>
            </w:r>
          </w:p>
        </w:tc>
        <w:tc>
          <w:tcPr>
            <w:tcW w:w="0" w:type="dxa"/>
            <w:vAlign w:val="bottom"/>
          </w:tcPr>
          <w:p>
            <w:pPr>
              <w:spacing w:after="0"/>
              <w:rPr>
                <w:sz w:val="1"/>
                <w:szCs w:val="1"/>
                <w:color w:val="auto"/>
              </w:rPr>
            </w:pPr>
          </w:p>
        </w:tc>
      </w:tr>
      <w:tr>
        <w:trPr>
          <w:trHeight w:val="177"/>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income per share - diluted</w:t>
            </w:r>
          </w:p>
        </w:tc>
        <w:tc>
          <w:tcPr>
            <w:tcW w:w="26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314,027,192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305,932,596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314,696,351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305,054,771</w:t>
            </w:r>
          </w:p>
        </w:tc>
        <w:tc>
          <w:tcPr>
            <w:tcW w:w="0" w:type="dxa"/>
            <w:vAlign w:val="bottom"/>
          </w:tcPr>
          <w:p>
            <w:pPr>
              <w:spacing w:after="0"/>
              <w:rPr>
                <w:sz w:val="1"/>
                <w:szCs w:val="1"/>
                <w:color w:val="auto"/>
              </w:rPr>
            </w:pPr>
          </w:p>
        </w:tc>
      </w:tr>
      <w:tr>
        <w:trPr>
          <w:trHeight w:val="258"/>
        </w:trPr>
        <w:tc>
          <w:tcPr>
            <w:tcW w:w="4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449,334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335,971</w:t>
            </w:r>
          </w:p>
        </w:tc>
        <w:tc>
          <w:tcPr>
            <w:tcW w:w="100" w:type="dxa"/>
            <w:vAlign w:val="bottom"/>
          </w:tcPr>
          <w:p>
            <w:pPr>
              <w:spacing w:after="0"/>
              <w:rPr>
                <w:sz w:val="19"/>
                <w:szCs w:val="19"/>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1,037,525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754,458</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(84,234)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(46,600)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(102,742)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(68,426)</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365,100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289,371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934,783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686,032</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(540,910)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(19,360)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(648,734)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(500,146)</w:t>
            </w:r>
          </w:p>
        </w:tc>
        <w:tc>
          <w:tcPr>
            <w:tcW w:w="0" w:type="dxa"/>
            <w:vAlign w:val="bottom"/>
          </w:tcPr>
          <w:p>
            <w:pPr>
              <w:spacing w:after="0"/>
              <w:rPr>
                <w:sz w:val="1"/>
                <w:szCs w:val="1"/>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(256,265)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34,439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(398,716)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41,458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33.6 %</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30.6 %</w:t>
            </w:r>
          </w:p>
        </w:tc>
        <w:tc>
          <w:tcPr>
            <w:tcW w:w="0" w:type="dxa"/>
            <w:vAlign w:val="bottom"/>
          </w:tcPr>
          <w:p>
            <w:pPr>
              <w:spacing w:after="0"/>
              <w:rPr>
                <w:sz w:val="1"/>
                <w:szCs w:val="1"/>
                <w:color w:val="auto"/>
              </w:rPr>
            </w:pPr>
          </w:p>
        </w:tc>
      </w:tr>
      <w:tr>
        <w:trPr>
          <w:trHeight w:val="258"/>
        </w:trPr>
        <w:tc>
          <w:tcPr>
            <w:tcW w:w="4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985" w:right="37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6"/>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7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24"/>
        </w:trPr>
        <w:tc>
          <w:tcPr>
            <w:tcW w:w="5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6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revenue</w:t>
            </w: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2,303,754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20"/>
        </w:trPr>
        <w:tc>
          <w:tcPr>
            <w:tcW w:w="5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38"/>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1,166,093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2,309,677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380" w:top="102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a"/>
      <w:numFmt w:val="bullet"/>
      <w:start w:val="1"/>
    </w:lvl>
  </w:abstractNum>
  <w:abstractNum w:abstractNumId="5">
    <w:nsid w:val="1BEFD79F"/>
    <w:multiLevelType w:val="hybridMultilevel"/>
    <w:lvl w:ilvl="0">
      <w:lvlJc w:val="left"/>
      <w:lvlText w:val="b"/>
      <w:numFmt w:val="bullet"/>
      <w:start w:val="1"/>
    </w:lvl>
  </w:abstractNum>
  <w:abstractNum w:abstractNumId="6">
    <w:nsid w:val="41A7C4C9"/>
    <w:multiLevelType w:val="hybridMultilevel"/>
    <w:lvl w:ilvl="0">
      <w:lvlJc w:val="left"/>
      <w:lvlText w:val="c"/>
      <w:numFmt w:val="bullet"/>
      <w:start w:val="1"/>
    </w:lvl>
  </w:abstractNum>
  <w:abstractNum w:abstractNumId="7">
    <w:nsid w:val="6B68079A"/>
    <w:multiLevelType w:val="hybridMultilevel"/>
    <w:lvl w:ilvl="0">
      <w:lvlJc w:val="left"/>
      <w:lvlText w:val="4"/>
      <w:numFmt w:val="bullet"/>
      <w:start w:val="1"/>
    </w:lvl>
  </w:abstractNum>
  <w:abstractNum w:abstractNumId="8">
    <w:nsid w:val="4E6AFB66"/>
    <w:multiLevelType w:val="hybridMultilevel"/>
    <w:lvl w:ilvl="0">
      <w:lvlJc w:val="left"/>
      <w:lvlText w:val="5"/>
      <w:numFmt w:val="bullet"/>
      <w:start w:val="1"/>
    </w:lvl>
  </w:abstractNum>
  <w:abstractNum w:abstractNumId="9">
    <w:nsid w:val="25E45D32"/>
    <w:multiLevelType w:val="hybridMultilevel"/>
    <w:lvl w:ilvl="0">
      <w:lvlJc w:val="left"/>
      <w:lvlText w:val="6"/>
      <w:numFmt w:val="bullet"/>
      <w:start w:val="1"/>
    </w:lvl>
  </w:abstractNum>
  <w:abstractNum w:abstractNumId="10">
    <w:nsid w:val="519B500D"/>
    <w:multiLevelType w:val="hybridMultilevel"/>
    <w:lvl w:ilvl="0">
      <w:lvlJc w:val="left"/>
      <w:lvlText w:val="7"/>
      <w:numFmt w:val="bullet"/>
      <w:start w:val="1"/>
    </w:lvl>
  </w:abstractNum>
  <w:abstractNum w:abstractNumId="11">
    <w:nsid w:val="431BD7B7"/>
    <w:multiLevelType w:val="hybridMultilevel"/>
    <w:lvl w:ilvl="0">
      <w:lvlJc w:val="left"/>
      <w:lvlText w:val="8"/>
      <w:numFmt w:val="bullet"/>
      <w:start w:val="1"/>
    </w:lvl>
  </w:abstractNum>
  <w:abstractNum w:abstractNumId="12">
    <w:nsid w:val="3F2DBA31"/>
    <w:multiLevelType w:val="hybridMultilevel"/>
    <w:lvl w:ilvl="0">
      <w:lvlJc w:val="left"/>
      <w:lvlText w:val="9"/>
      <w:numFmt w:val="bullet"/>
      <w:start w:val="1"/>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a"/>
      <w:numFmt w:val="bullet"/>
      <w:start w:val="1"/>
    </w:lvl>
  </w:abstractNum>
  <w:abstractNum w:abstractNumId="15">
    <w:nsid w:val="62BBD95A"/>
    <w:multiLevelType w:val="hybridMultilevel"/>
    <w:lvl w:ilvl="0">
      <w:lvlJc w:val="left"/>
      <w:lvlText w:val="b"/>
      <w:numFmt w:val="bullet"/>
      <w:start w:val="1"/>
    </w:lvl>
  </w:abstractNum>
  <w:abstractNum w:abstractNumId="16">
    <w:nsid w:val="436C6125"/>
    <w:multiLevelType w:val="hybridMultilevel"/>
    <w:lvl w:ilvl="0">
      <w:lvlJc w:val="left"/>
      <w:lvlText w:val="c"/>
      <w:numFmt w:val="bullet"/>
      <w:start w:val="1"/>
    </w:lvl>
  </w:abstractNum>
  <w:abstractNum w:abstractNumId="17">
    <w:nsid w:val="628C895D"/>
    <w:multiLevelType w:val="hybridMultilevel"/>
    <w:lvl w:ilvl="0">
      <w:lvlJc w:val="left"/>
      <w:lvlText w:val="d"/>
      <w:numFmt w:val="bullet"/>
      <w:start w:val="1"/>
    </w:lvl>
  </w:abstractNum>
  <w:abstractNum w:abstractNumId="18">
    <w:nsid w:val="333AB105"/>
    <w:multiLevelType w:val="hybridMultilevel"/>
    <w:lvl w:ilvl="0">
      <w:lvlJc w:val="left"/>
      <w:lvlText w:val="%1"/>
      <w:numFmt w:val="decimal"/>
      <w:start w:val="15"/>
    </w:lvl>
  </w:abstractNum>
  <w:abstractNum w:abstractNumId="19">
    <w:nsid w:val="721DA317"/>
    <w:multiLevelType w:val="hybridMultilevel"/>
    <w:lvl w:ilvl="0">
      <w:lvlJc w:val="left"/>
      <w:lvlText w:val="%1"/>
      <w:numFmt w:val="decimal"/>
      <w:start w:val="16"/>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2024-08-21T15:13:12Z</dcterms:created>
  <dcterms:modified xsi:type="dcterms:W3CDTF">2024-08-21T15:13:12Z</dcterms:modified>
</cp:coreProperties>
</file>