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205105</wp:posOffset>
            </wp:positionH>
            <wp:positionV relativeFrom="page">
              <wp:posOffset>679450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704215</wp:posOffset>
            </wp:positionV>
            <wp:extent cx="7121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8255"/>
                    </a:xfrm>
                    <a:prstGeom prst="rect">
                      <a:avLst/>
                    </a:prstGeom>
                    <a:noFill/>
                  </pic:spPr>
                </pic:pic>
              </a:graphicData>
            </a:graphic>
          </wp:anchor>
        </w:drawing>
        <w:t>UNITED STATES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2" w:lineRule="exact"/>
        <w:rPr>
          <w:sz w:val="24"/>
          <w:szCs w:val="24"/>
          <w:color w:val="auto"/>
        </w:rPr>
      </w:pPr>
    </w:p>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w:t>
      </w:r>
    </w:p>
    <w:p>
      <w:pPr>
        <w:spacing w:after="0" w:line="48" w:lineRule="exact"/>
        <w:rPr>
          <w:sz w:val="24"/>
          <w:szCs w:val="24"/>
          <w:color w:val="auto"/>
        </w:rPr>
      </w:pPr>
    </w:p>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January 4, 2023</w:t>
      </w:r>
    </w:p>
    <w:p>
      <w:pPr>
        <w:spacing w:after="0" w:line="28" w:lineRule="exact"/>
        <w:rPr>
          <w:sz w:val="24"/>
          <w:szCs w:val="24"/>
          <w:color w:val="auto"/>
        </w:rPr>
      </w:pPr>
    </w:p>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Zoom Video Communications, Inc.</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8" w:lineRule="exact"/>
        <w:rPr>
          <w:sz w:val="24"/>
          <w:szCs w:val="24"/>
          <w:color w:val="auto"/>
        </w:rPr>
      </w:pPr>
    </w:p>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32" w:lineRule="exact"/>
        <w:rPr>
          <w:sz w:val="24"/>
          <w:szCs w:val="24"/>
          <w:color w:val="auto"/>
        </w:rPr>
      </w:pPr>
    </w:p>
    <w:tbl>
      <w:tblPr>
        <w:tblLayout w:type="fixed"/>
        <w:tblInd w:w="1060" w:type="dxa"/>
        <w:tblCellMar>
          <w:top w:w="0" w:type="dxa"/>
          <w:left w:w="0" w:type="dxa"/>
          <w:bottom w:w="0" w:type="dxa"/>
          <w:right w:w="0" w:type="dxa"/>
        </w:tblCellMar>
      </w:tblPr>
      <w:tr>
        <w:trPr>
          <w:trHeight w:val="246"/>
        </w:trPr>
        <w:tc>
          <w:tcPr>
            <w:tcW w:w="2120" w:type="dxa"/>
            <w:vAlign w:val="bottom"/>
          </w:tcPr>
          <w:p>
            <w:pPr>
              <w:jc w:val="center"/>
              <w:ind w:right="403"/>
              <w:spacing w:after="0"/>
              <w:rPr>
                <w:sz w:val="20"/>
                <w:szCs w:val="20"/>
                <w:color w:val="auto"/>
              </w:rPr>
            </w:pPr>
            <w:r>
              <w:rPr>
                <w:rFonts w:ascii="Arial" w:cs="Arial" w:eastAsia="Arial" w:hAnsi="Arial"/>
                <w:sz w:val="19"/>
                <w:szCs w:val="19"/>
                <w:b w:val="1"/>
                <w:bCs w:val="1"/>
                <w:color w:val="auto"/>
                <w:w w:val="91"/>
              </w:rPr>
              <w:t>Delaware</w:t>
            </w:r>
          </w:p>
        </w:tc>
        <w:tc>
          <w:tcPr>
            <w:tcW w:w="5020" w:type="dxa"/>
            <w:vAlign w:val="bottom"/>
          </w:tcPr>
          <w:p>
            <w:pPr>
              <w:jc w:val="center"/>
              <w:ind w:right="77"/>
              <w:spacing w:after="0"/>
              <w:rPr>
                <w:sz w:val="20"/>
                <w:szCs w:val="20"/>
                <w:color w:val="auto"/>
              </w:rPr>
            </w:pPr>
            <w:r>
              <w:rPr>
                <w:rFonts w:ascii="Arial" w:cs="Arial" w:eastAsia="Arial" w:hAnsi="Arial"/>
                <w:sz w:val="19"/>
                <w:szCs w:val="19"/>
                <w:b w:val="1"/>
                <w:bCs w:val="1"/>
                <w:color w:val="auto"/>
                <w:w w:val="90"/>
              </w:rPr>
              <w:t>001-38865</w:t>
            </w:r>
          </w:p>
        </w:tc>
        <w:tc>
          <w:tcPr>
            <w:tcW w:w="1700" w:type="dxa"/>
            <w:vAlign w:val="bottom"/>
          </w:tcPr>
          <w:p>
            <w:pPr>
              <w:jc w:val="center"/>
              <w:ind w:left="543"/>
              <w:spacing w:after="0"/>
              <w:rPr>
                <w:sz w:val="20"/>
                <w:szCs w:val="20"/>
                <w:color w:val="auto"/>
              </w:rPr>
            </w:pPr>
            <w:r>
              <w:rPr>
                <w:rFonts w:ascii="Arial" w:cs="Arial" w:eastAsia="Arial" w:hAnsi="Arial"/>
                <w:sz w:val="19"/>
                <w:szCs w:val="19"/>
                <w:b w:val="1"/>
                <w:bCs w:val="1"/>
                <w:color w:val="auto"/>
                <w:w w:val="90"/>
              </w:rPr>
              <w:t>61-1648780</w:t>
            </w:r>
          </w:p>
        </w:tc>
        <w:tc>
          <w:tcPr>
            <w:tcW w:w="0" w:type="dxa"/>
            <w:vAlign w:val="bottom"/>
          </w:tcPr>
          <w:p>
            <w:pPr>
              <w:spacing w:after="0"/>
              <w:rPr>
                <w:sz w:val="1"/>
                <w:szCs w:val="1"/>
                <w:color w:val="auto"/>
              </w:rPr>
            </w:pPr>
          </w:p>
        </w:tc>
      </w:tr>
      <w:tr>
        <w:trPr>
          <w:trHeight w:val="142"/>
        </w:trPr>
        <w:tc>
          <w:tcPr>
            <w:tcW w:w="2120" w:type="dxa"/>
            <w:vAlign w:val="bottom"/>
          </w:tcPr>
          <w:p>
            <w:pPr>
              <w:jc w:val="center"/>
              <w:ind w:right="403"/>
              <w:spacing w:after="0" w:line="142" w:lineRule="exact"/>
              <w:rPr>
                <w:sz w:val="20"/>
                <w:szCs w:val="20"/>
                <w:color w:val="auto"/>
              </w:rPr>
            </w:pPr>
            <w:r>
              <w:rPr>
                <w:rFonts w:ascii="Arial" w:cs="Arial" w:eastAsia="Arial" w:hAnsi="Arial"/>
                <w:sz w:val="14"/>
                <w:szCs w:val="14"/>
                <w:b w:val="1"/>
                <w:bCs w:val="1"/>
                <w:color w:val="auto"/>
                <w:w w:val="90"/>
              </w:rPr>
              <w:t>(State or Other Jurisdiction</w:t>
            </w:r>
          </w:p>
        </w:tc>
        <w:tc>
          <w:tcPr>
            <w:tcW w:w="502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89"/>
              </w:rPr>
              <w:t>(Commission File Number)</w:t>
            </w:r>
          </w:p>
        </w:tc>
        <w:tc>
          <w:tcPr>
            <w:tcW w:w="1700" w:type="dxa"/>
            <w:vAlign w:val="bottom"/>
          </w:tcPr>
          <w:p>
            <w:pPr>
              <w:jc w:val="center"/>
              <w:ind w:left="543"/>
              <w:spacing w:after="0" w:line="142"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9"/>
        </w:trPr>
        <w:tc>
          <w:tcPr>
            <w:tcW w:w="2120" w:type="dxa"/>
            <w:vAlign w:val="bottom"/>
          </w:tcPr>
          <w:p>
            <w:pPr>
              <w:jc w:val="center"/>
              <w:ind w:right="423"/>
              <w:spacing w:after="0"/>
              <w:rPr>
                <w:sz w:val="20"/>
                <w:szCs w:val="20"/>
                <w:color w:val="auto"/>
              </w:rPr>
            </w:pPr>
            <w:r>
              <w:rPr>
                <w:rFonts w:ascii="Arial" w:cs="Arial" w:eastAsia="Arial" w:hAnsi="Arial"/>
                <w:sz w:val="14"/>
                <w:szCs w:val="14"/>
                <w:b w:val="1"/>
                <w:bCs w:val="1"/>
                <w:color w:val="auto"/>
                <w:w w:val="91"/>
              </w:rPr>
              <w:t>of Incorporation)</w:t>
            </w:r>
          </w:p>
        </w:tc>
        <w:tc>
          <w:tcPr>
            <w:tcW w:w="5020" w:type="dxa"/>
            <w:vAlign w:val="bottom"/>
            <w:vMerge w:val="continue"/>
          </w:tcPr>
          <w:p>
            <w:pPr>
              <w:spacing w:after="0"/>
              <w:rPr>
                <w:sz w:val="15"/>
                <w:szCs w:val="15"/>
                <w:color w:val="auto"/>
              </w:rPr>
            </w:pPr>
          </w:p>
        </w:tc>
        <w:tc>
          <w:tcPr>
            <w:tcW w:w="1700" w:type="dxa"/>
            <w:vAlign w:val="bottom"/>
          </w:tcPr>
          <w:p>
            <w:pPr>
              <w:jc w:val="center"/>
              <w:ind w:left="543"/>
              <w:spacing w:after="0"/>
              <w:rPr>
                <w:sz w:val="20"/>
                <w:szCs w:val="20"/>
                <w:color w:val="auto"/>
              </w:rPr>
            </w:pPr>
            <w:r>
              <w:rPr>
                <w:rFonts w:ascii="Arial" w:cs="Arial" w:eastAsia="Arial" w:hAnsi="Arial"/>
                <w:sz w:val="14"/>
                <w:szCs w:val="14"/>
                <w:b w:val="1"/>
                <w:bCs w:val="1"/>
                <w:color w:val="auto"/>
                <w:w w:val="91"/>
              </w:rPr>
              <w:t>Identification No.)</w:t>
            </w:r>
          </w:p>
        </w:tc>
        <w:tc>
          <w:tcPr>
            <w:tcW w:w="0" w:type="dxa"/>
            <w:vAlign w:val="bottom"/>
          </w:tcPr>
          <w:p>
            <w:pPr>
              <w:spacing w:after="0"/>
              <w:rPr>
                <w:sz w:val="1"/>
                <w:szCs w:val="1"/>
                <w:color w:val="auto"/>
              </w:rPr>
            </w:pPr>
          </w:p>
        </w:tc>
      </w:tr>
      <w:tr>
        <w:trPr>
          <w:trHeight w:val="351"/>
        </w:trPr>
        <w:tc>
          <w:tcPr>
            <w:tcW w:w="2120" w:type="dxa"/>
            <w:vAlign w:val="bottom"/>
          </w:tcPr>
          <w:p>
            <w:pPr>
              <w:spacing w:after="0"/>
              <w:rPr>
                <w:sz w:val="24"/>
                <w:szCs w:val="24"/>
                <w:color w:val="auto"/>
              </w:rPr>
            </w:pPr>
          </w:p>
        </w:tc>
        <w:tc>
          <w:tcPr>
            <w:tcW w:w="5020" w:type="dxa"/>
            <w:vAlign w:val="bottom"/>
          </w:tcPr>
          <w:p>
            <w:pPr>
              <w:jc w:val="center"/>
              <w:ind w:right="57"/>
              <w:spacing w:after="0"/>
              <w:rPr>
                <w:sz w:val="20"/>
                <w:szCs w:val="20"/>
                <w:color w:val="auto"/>
              </w:rPr>
            </w:pPr>
            <w:r>
              <w:rPr>
                <w:rFonts w:ascii="Arial" w:cs="Arial" w:eastAsia="Arial" w:hAnsi="Arial"/>
                <w:sz w:val="19"/>
                <w:szCs w:val="19"/>
                <w:b w:val="1"/>
                <w:bCs w:val="1"/>
                <w:color w:val="auto"/>
                <w:w w:val="91"/>
              </w:rPr>
              <w:t>55 Almaden Boulevard, 6th Floor</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120" w:type="dxa"/>
            <w:vAlign w:val="bottom"/>
          </w:tcPr>
          <w:p>
            <w:pPr>
              <w:spacing w:after="0"/>
              <w:rPr>
                <w:sz w:val="20"/>
                <w:szCs w:val="20"/>
                <w:color w:val="auto"/>
              </w:rPr>
            </w:pPr>
          </w:p>
        </w:tc>
        <w:tc>
          <w:tcPr>
            <w:tcW w:w="5020" w:type="dxa"/>
            <w:vAlign w:val="bottom"/>
          </w:tcPr>
          <w:p>
            <w:pPr>
              <w:jc w:val="center"/>
              <w:ind w:right="37"/>
              <w:spacing w:after="0"/>
              <w:rPr>
                <w:sz w:val="20"/>
                <w:szCs w:val="20"/>
                <w:color w:val="auto"/>
              </w:rPr>
            </w:pPr>
            <w:r>
              <w:rPr>
                <w:rFonts w:ascii="Arial" w:cs="Arial" w:eastAsia="Arial" w:hAnsi="Arial"/>
                <w:sz w:val="19"/>
                <w:szCs w:val="19"/>
                <w:b w:val="1"/>
                <w:bCs w:val="1"/>
                <w:color w:val="auto"/>
                <w:w w:val="89"/>
              </w:rPr>
              <w:t>San Jose, California 95113</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Arial" w:cs="Arial" w:eastAsia="Arial" w:hAnsi="Arial"/>
                <w:sz w:val="14"/>
                <w:szCs w:val="14"/>
                <w:b w:val="1"/>
                <w:bCs w:val="1"/>
                <w:color w:val="auto"/>
                <w:w w:val="88"/>
              </w:rPr>
              <w:t>(Address of principal executive offices and Zip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Arial" w:cs="Arial" w:eastAsia="Arial" w:hAnsi="Arial"/>
                <w:sz w:val="19"/>
                <w:szCs w:val="19"/>
                <w:b w:val="1"/>
                <w:bCs w:val="1"/>
                <w:color w:val="auto"/>
                <w:w w:val="90"/>
              </w:rPr>
              <w:t>(888) 799-9666</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Arial" w:cs="Arial" w:eastAsia="Arial" w:hAnsi="Arial"/>
                <w:sz w:val="14"/>
                <w:szCs w:val="14"/>
                <w:b w:val="1"/>
                <w:bCs w:val="1"/>
                <w:color w:val="auto"/>
                <w:w w:val="88"/>
              </w:rPr>
              <w:t>(Registrant’s Telephone Number, Including Area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Arial" w:cs="Arial" w:eastAsia="Arial" w:hAnsi="Arial"/>
                <w:sz w:val="19"/>
                <w:szCs w:val="19"/>
                <w:b w:val="1"/>
                <w:bCs w:val="1"/>
                <w:color w:val="auto"/>
                <w:w w:val="91"/>
              </w:rPr>
              <w:t>Not Applicable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(Former Name or Former Address, if Changed Since Last Report)</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107" w:lineRule="exact"/>
        <w:rPr>
          <w:sz w:val="24"/>
          <w:szCs w:val="24"/>
          <w:color w:val="auto"/>
        </w:rPr>
      </w:pPr>
    </w:p>
    <w:p>
      <w:pPr>
        <w:ind w:right="440"/>
        <w:spacing w:after="0" w:line="261"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Instructions A.2. below):</w:t>
      </w:r>
    </w:p>
    <w:p>
      <w:pPr>
        <w:spacing w:after="0" w:line="27" w:lineRule="exact"/>
        <w:rPr>
          <w:sz w:val="24"/>
          <w:szCs w:val="24"/>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38"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36"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Name of each exchange on which registered</w:t>
            </w:r>
          </w:p>
        </w:tc>
      </w:tr>
      <w:tr>
        <w:trPr>
          <w:trHeight w:val="200"/>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Class A Common Stock, $0.001 par value per share</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ZM</w:t>
            </w:r>
          </w:p>
        </w:tc>
        <w:tc>
          <w:tcPr>
            <w:tcW w:w="4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The Nasdaq Global Select Market</w:t>
            </w:r>
          </w:p>
        </w:tc>
      </w:tr>
    </w:tbl>
    <w:p>
      <w:pPr>
        <w:spacing w:after="0" w:line="181" w:lineRule="exact"/>
        <w:rPr>
          <w:sz w:val="24"/>
          <w:szCs w:val="24"/>
          <w:color w:val="auto"/>
        </w:rPr>
      </w:pPr>
    </w:p>
    <w:p>
      <w:pPr>
        <w:ind w:right="180"/>
        <w:spacing w:after="0" w:line="283"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47" w:lineRule="exact"/>
        <w:rPr>
          <w:sz w:val="24"/>
          <w:szCs w:val="24"/>
          <w:color w:val="auto"/>
        </w:rPr>
      </w:pPr>
    </w:p>
    <w:p>
      <w:pPr>
        <w:ind w:right="460"/>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772160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21590</wp:posOffset>
            </wp:positionV>
            <wp:extent cx="712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1" w:name="page2"/>
    <w:bookmarkEnd w:id="1"/>
    <w:p>
      <w:pPr>
        <w:ind w:left="1240" w:right="180" w:hanging="1239"/>
        <w:spacing w:after="0" w:line="274" w:lineRule="auto"/>
        <w:rPr>
          <w:sz w:val="20"/>
          <w:szCs w:val="20"/>
          <w:color w:val="auto"/>
        </w:rPr>
      </w:pPr>
      <w:r>
        <w:rPr>
          <w:rFonts w:ascii="Arial" w:cs="Arial" w:eastAsia="Arial" w:hAnsi="Arial"/>
          <w:sz w:val="17"/>
          <w:szCs w:val="17"/>
          <w:b w:val="1"/>
          <w:bCs w:val="1"/>
          <w:color w:val="auto"/>
        </w:rPr>
        <w:t>Item 5.02 Departure of Directors or Certain Officers; Election of Directors; Appointment of Certain Officers; Compensatory Arrangements of Certain Officers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Appointment</w:t>
      </w:r>
    </w:p>
    <w:p>
      <w:pPr>
        <w:spacing w:after="0" w:line="250" w:lineRule="exact"/>
        <w:rPr>
          <w:sz w:val="20"/>
          <w:szCs w:val="20"/>
          <w:color w:val="auto"/>
        </w:rPr>
      </w:pPr>
    </w:p>
    <w:p>
      <w:pPr>
        <w:jc w:val="both"/>
        <w:ind w:firstLine="620"/>
        <w:spacing w:after="0" w:line="268" w:lineRule="auto"/>
        <w:rPr>
          <w:sz w:val="20"/>
          <w:szCs w:val="20"/>
          <w:color w:val="auto"/>
        </w:rPr>
      </w:pPr>
      <w:r>
        <w:rPr>
          <w:rFonts w:ascii="Arial" w:cs="Arial" w:eastAsia="Arial" w:hAnsi="Arial"/>
          <w:sz w:val="17"/>
          <w:szCs w:val="17"/>
          <w:color w:val="auto"/>
        </w:rPr>
        <w:t>On January 4, 2023, the board of directors (“Board”) of Zoom Video Communications, Inc. (the “Company”) elected Cindy L. Hoots to the Board, effective January 5, 2023. Ms. Hoots was elected as a Class II director for a term expiring at the Company’s 2024 annual meeting of stockholders. Ms. Hoots will also serve on the Cybersecurity Risk Management Committee of the Board.</w:t>
      </w:r>
    </w:p>
    <w:p>
      <w:pPr>
        <w:spacing w:after="0" w:line="198" w:lineRule="exact"/>
        <w:rPr>
          <w:sz w:val="20"/>
          <w:szCs w:val="20"/>
          <w:color w:val="auto"/>
        </w:rPr>
      </w:pPr>
    </w:p>
    <w:p>
      <w:pPr>
        <w:jc w:val="both"/>
        <w:ind w:firstLine="620"/>
        <w:spacing w:after="0" w:line="261" w:lineRule="auto"/>
        <w:rPr>
          <w:sz w:val="20"/>
          <w:szCs w:val="20"/>
          <w:color w:val="auto"/>
        </w:rPr>
      </w:pPr>
      <w:r>
        <w:rPr>
          <w:rFonts w:ascii="Arial" w:cs="Arial" w:eastAsia="Arial" w:hAnsi="Arial"/>
          <w:sz w:val="17"/>
          <w:szCs w:val="17"/>
          <w:color w:val="auto"/>
        </w:rPr>
        <w:t>Ms. Hoots has served as the Chief Digital Officer and Chief Information Officer at AstraZeneca PLC, a pharmaceutical company, since January 2020. From January 2018 to December 2019, she served as Global Vice President of Technology of Unilever PLC, a multinational consumer goods company. Prior to joining Unilever, Ms. Hoots served as Vice President of Next Generation Products, Commercial and Digital Transformation at British American Tobacco plc, a multinational tobacco manufacturing company, from 2016 to 2018. Ms. Hoots received a B.S. in computer information systems from DeVry Institute of Technology.</w:t>
      </w:r>
    </w:p>
    <w:p>
      <w:pPr>
        <w:spacing w:after="0" w:line="203" w:lineRule="exact"/>
        <w:rPr>
          <w:sz w:val="20"/>
          <w:szCs w:val="20"/>
          <w:color w:val="auto"/>
        </w:rPr>
      </w:pPr>
    </w:p>
    <w:p>
      <w:pPr>
        <w:jc w:val="both"/>
        <w:ind w:firstLine="620"/>
        <w:spacing w:after="0" w:line="292" w:lineRule="auto"/>
        <w:rPr>
          <w:sz w:val="20"/>
          <w:szCs w:val="20"/>
          <w:color w:val="auto"/>
        </w:rPr>
      </w:pPr>
      <w:r>
        <w:rPr>
          <w:rFonts w:ascii="Arial" w:cs="Arial" w:eastAsia="Arial" w:hAnsi="Arial"/>
          <w:sz w:val="16"/>
          <w:szCs w:val="16"/>
          <w:color w:val="auto"/>
        </w:rPr>
        <w:t>There is no arrangement or understanding between Ms. Hoots and any other persons pursuant to which she was elected as a director. Ms. Hoots has no direct or indirect material interest in any transaction required to be disclosed by the Company pursuant to Item 404(a) of Regulation S-K. Ms. Hoots will enter into the Company’s standard form of indemnification agreement between the Company and its directors and executive officers.</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Ms. Hoots will be compensated as a member of the Board under the terms of the Company’s Non-Employee Director Compensation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535940</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2" w:name="page3"/>
    <w:bookmarkEnd w:id="2"/>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224" w:lineRule="exact"/>
        <w:rPr>
          <w:sz w:val="20"/>
          <w:szCs w:val="20"/>
          <w:color w:val="auto"/>
        </w:rPr>
      </w:pPr>
    </w:p>
    <w:p>
      <w:pPr>
        <w:ind w:right="180" w:firstLine="620"/>
        <w:spacing w:after="0" w:line="283"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report to be signed on its behalf by the undersigned hereunto duly authorized.</w:t>
      </w:r>
    </w:p>
    <w:p>
      <w:pPr>
        <w:spacing w:after="0" w:line="192" w:lineRule="exact"/>
        <w:rPr>
          <w:sz w:val="20"/>
          <w:szCs w:val="20"/>
          <w:color w:val="auto"/>
        </w:rPr>
      </w:pPr>
    </w:p>
    <w:tbl>
      <w:tblPr>
        <w:tblLayout w:type="fixed"/>
        <w:tblInd w:w="640" w:type="dxa"/>
        <w:tblCellMar>
          <w:top w:w="0" w:type="dxa"/>
          <w:left w:w="0" w:type="dxa"/>
          <w:bottom w:w="0" w:type="dxa"/>
          <w:right w:w="0" w:type="dxa"/>
        </w:tblCellMar>
      </w:tblPr>
      <w:tr>
        <w:trPr>
          <w:trHeight w:val="225"/>
        </w:trPr>
        <w:tc>
          <w:tcPr>
            <w:tcW w:w="3420" w:type="dxa"/>
            <w:vAlign w:val="bottom"/>
          </w:tcPr>
          <w:p>
            <w:pPr>
              <w:spacing w:after="0"/>
              <w:rPr>
                <w:sz w:val="19"/>
                <w:szCs w:val="19"/>
                <w:color w:val="auto"/>
              </w:rPr>
            </w:pPr>
          </w:p>
        </w:tc>
        <w:tc>
          <w:tcPr>
            <w:tcW w:w="7280" w:type="dxa"/>
            <w:vAlign w:val="bottom"/>
            <w:gridSpan w:val="2"/>
          </w:tcPr>
          <w:p>
            <w:pPr>
              <w:ind w:left="1820"/>
              <w:spacing w:after="0"/>
              <w:rPr>
                <w:sz w:val="20"/>
                <w:szCs w:val="20"/>
                <w:color w:val="auto"/>
              </w:rPr>
            </w:pPr>
            <w:r>
              <w:rPr>
                <w:rFonts w:ascii="Arial" w:cs="Arial" w:eastAsia="Arial" w:hAnsi="Arial"/>
                <w:sz w:val="17"/>
                <w:szCs w:val="17"/>
                <w:b w:val="1"/>
                <w:bCs w:val="1"/>
                <w:color w:val="auto"/>
              </w:rPr>
              <w:t>Zoom Video Communications, Inc.</w:t>
            </w:r>
          </w:p>
        </w:tc>
      </w:tr>
      <w:tr>
        <w:trPr>
          <w:trHeight w:val="465"/>
        </w:trPr>
        <w:tc>
          <w:tcPr>
            <w:tcW w:w="3420" w:type="dxa"/>
            <w:vAlign w:val="bottom"/>
          </w:tcPr>
          <w:p>
            <w:pPr>
              <w:spacing w:after="0"/>
              <w:rPr>
                <w:sz w:val="20"/>
                <w:szCs w:val="20"/>
                <w:color w:val="auto"/>
              </w:rPr>
            </w:pPr>
            <w:r>
              <w:rPr>
                <w:rFonts w:ascii="Arial" w:cs="Arial" w:eastAsia="Arial" w:hAnsi="Arial"/>
                <w:sz w:val="17"/>
                <w:szCs w:val="17"/>
                <w:color w:val="auto"/>
              </w:rPr>
              <w:t>Dated: January 4, 2023</w:t>
            </w:r>
          </w:p>
        </w:tc>
        <w:tc>
          <w:tcPr>
            <w:tcW w:w="2520" w:type="dxa"/>
            <w:vAlign w:val="bottom"/>
          </w:tcPr>
          <w:p>
            <w:pPr>
              <w:ind w:left="1820"/>
              <w:spacing w:after="0"/>
              <w:rPr>
                <w:sz w:val="20"/>
                <w:szCs w:val="20"/>
                <w:color w:val="auto"/>
              </w:rPr>
            </w:pPr>
            <w:r>
              <w:rPr>
                <w:rFonts w:ascii="Arial" w:cs="Arial" w:eastAsia="Arial" w:hAnsi="Arial"/>
                <w:sz w:val="17"/>
                <w:szCs w:val="17"/>
                <w:color w:val="auto"/>
              </w:rPr>
              <w:t>By:</w:t>
            </w: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Aparna Bawa</w:t>
            </w:r>
          </w:p>
        </w:tc>
      </w:tr>
      <w:tr>
        <w:trPr>
          <w:trHeight w:val="213"/>
        </w:trPr>
        <w:tc>
          <w:tcPr>
            <w:tcW w:w="34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760" w:type="dxa"/>
            <w:vAlign w:val="bottom"/>
          </w:tcPr>
          <w:p>
            <w:pPr>
              <w:ind w:left="20"/>
              <w:spacing w:after="0"/>
              <w:rPr>
                <w:sz w:val="20"/>
                <w:szCs w:val="20"/>
                <w:color w:val="auto"/>
              </w:rPr>
            </w:pPr>
            <w:r>
              <w:rPr>
                <w:rFonts w:ascii="Arial" w:cs="Arial" w:eastAsia="Arial" w:hAnsi="Arial"/>
                <w:sz w:val="17"/>
                <w:szCs w:val="17"/>
                <w:color w:val="auto"/>
              </w:rPr>
              <w:t>Aparna Bawa</w:t>
            </w:r>
          </w:p>
        </w:tc>
      </w:tr>
      <w:tr>
        <w:trPr>
          <w:trHeight w:val="220"/>
        </w:trPr>
        <w:tc>
          <w:tcPr>
            <w:tcW w:w="34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Arial" w:cs="Arial" w:eastAsia="Arial" w:hAnsi="Arial"/>
                <w:sz w:val="17"/>
                <w:szCs w:val="17"/>
                <w:i w:val="1"/>
                <w:iCs w:val="1"/>
                <w:color w:val="auto"/>
              </w:rPr>
              <w:t>Chief Operating Officer</w:t>
            </w:r>
          </w:p>
        </w:tc>
      </w:tr>
    </w:tbl>
    <w:p>
      <w:pPr>
        <w:spacing w:after="0" w:line="1" w:lineRule="exact"/>
        <w:rPr>
          <w:sz w:val="20"/>
          <w:szCs w:val="20"/>
          <w:color w:val="auto"/>
        </w:rPr>
      </w:pPr>
    </w:p>
    <w:sectPr>
      <w:pgSz w:w="11900" w:h="16838" w:orient="portrait"/>
      <w:cols w:equalWidth="0" w:num="1">
        <w:col w:w="11340"/>
      </w:cols>
      <w:pgMar w:left="320" w:top="8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2023-01-05T15:13:13Z</dcterms:created>
  <dcterms:modified xsi:type="dcterms:W3CDTF">2023-01-05T15:13:13Z</dcterms:modified>
</cp:coreProperties>
</file>