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-629920</wp:posOffset>
            </wp:positionV>
            <wp:extent cx="58420"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329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2955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McDermott William R</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10"/>
          </w:tcPr>
          <w:p>
            <w:pPr>
              <w:ind w:left="60"/>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Zoom Video Communications,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ZM</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240" w:type="dxa"/>
            <w:vAlign w:val="bottom"/>
          </w:tcPr>
          <w:p>
            <w:pPr>
              <w:spacing w:after="0"/>
              <w:rPr>
                <w:sz w:val="15"/>
                <w:szCs w:val="15"/>
                <w:color w:val="auto"/>
              </w:rPr>
            </w:pPr>
          </w:p>
        </w:tc>
        <w:tc>
          <w:tcPr>
            <w:tcW w:w="164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gridSpan w:val="6"/>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gridSpan w:val="4"/>
            <w:vMerge w:val="restart"/>
          </w:tcPr>
          <w:p>
            <w:pPr>
              <w:ind w:left="2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500" w:type="dxa"/>
            <w:vAlign w:val="bottom"/>
            <w:tcBorders>
              <w:top w:val="single" w:sz="8" w:color="0000EE"/>
            </w:tcBorders>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4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55 ALMADEN BOULEVARD</w:t>
            </w:r>
          </w:p>
        </w:tc>
        <w:tc>
          <w:tcPr>
            <w:tcW w:w="1140" w:type="dxa"/>
            <w:vAlign w:val="bottom"/>
          </w:tcPr>
          <w:p>
            <w:pPr>
              <w:spacing w:after="0"/>
              <w:rPr>
                <w:sz w:val="18"/>
                <w:szCs w:val="18"/>
                <w:color w:val="auto"/>
              </w:rPr>
            </w:pPr>
          </w:p>
        </w:tc>
        <w:tc>
          <w:tcPr>
            <w:tcW w:w="126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06/15/2022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6"/>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SUITE 600</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80" w:type="dxa"/>
            <w:vAlign w:val="bottom"/>
            <w:gridSpan w:val="10"/>
            <w:vMerge w:val="continue"/>
          </w:tcPr>
          <w:p>
            <w:pPr>
              <w:spacing w:after="0"/>
              <w:rPr>
                <w:sz w:val="6"/>
                <w:szCs w:val="6"/>
                <w:color w:val="auto"/>
              </w:rPr>
            </w:pPr>
          </w:p>
        </w:tc>
        <w:tc>
          <w:tcPr>
            <w:tcW w:w="24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gridSpan w:val="10"/>
          </w:tcPr>
          <w:p>
            <w:pPr>
              <w:ind w:left="28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95113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4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72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60" w:type="dxa"/>
            <w:vAlign w:val="bottom"/>
            <w:gridSpan w:val="5"/>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5"/>
          </w:tcPr>
          <w:p>
            <w:pPr>
              <w:jc w:val="center"/>
              <w:ind w:left="574"/>
              <w:spacing w:after="0"/>
              <w:rPr>
                <w:sz w:val="20"/>
                <w:szCs w:val="20"/>
                <w:color w:val="auto"/>
              </w:rPr>
            </w:pPr>
            <w:r>
              <w:rPr>
                <w:rFonts w:ascii="Times New Roman" w:cs="Times New Roman" w:eastAsia="Times New Roman" w:hAnsi="Times New Roman"/>
                <w:sz w:val="17"/>
                <w:szCs w:val="17"/>
                <w:color w:val="0000FF"/>
              </w:rPr>
              <w:t>06/15/2022</w:t>
            </w: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0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476</w:t>
            </w:r>
          </w:p>
        </w:tc>
        <w:tc>
          <w:tcPr>
            <w:tcW w:w="60" w:type="dxa"/>
            <w:vAlign w:val="bottom"/>
          </w:tcPr>
          <w:p>
            <w:pPr>
              <w:spacing w:after="0"/>
              <w:rPr>
                <w:sz w:val="22"/>
                <w:szCs w:val="22"/>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30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0000FF"/>
              </w:rPr>
              <w:t>476</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112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9"/>
          </w:tcPr>
          <w:p>
            <w:pPr>
              <w:ind w:lef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60" w:type="dxa"/>
            <w:vAlign w:val="bottom"/>
            <w:gridSpan w:val="16"/>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15"/>
                <w:szCs w:val="15"/>
                <w:color w:val="auto"/>
              </w:rPr>
            </w:pPr>
          </w:p>
        </w:tc>
        <w:tc>
          <w:tcPr>
            <w:tcW w:w="580" w:type="dxa"/>
            <w:vAlign w:val="bottom"/>
          </w:tcPr>
          <w:p>
            <w:pPr>
              <w:jc w:val="center"/>
              <w:ind w:right="74"/>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gridSpan w:val="2"/>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476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16"/>
              <w:spacing w:after="0" w:line="143" w:lineRule="exact"/>
              <w:rPr>
                <w:sz w:val="20"/>
                <w:szCs w:val="20"/>
                <w:color w:val="auto"/>
              </w:rPr>
            </w:pPr>
            <w:r>
              <w:rPr>
                <w:rFonts w:ascii="Times New Roman" w:cs="Times New Roman" w:eastAsia="Times New Roman" w:hAnsi="Times New Roman"/>
                <w:sz w:val="13"/>
                <w:szCs w:val="13"/>
                <w:color w:val="0000FF"/>
              </w:rPr>
              <w:t>06/15/2022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2"/>
                <w:szCs w:val="12"/>
                <w:color w:val="auto"/>
              </w:rPr>
            </w:pPr>
          </w:p>
        </w:tc>
        <w:tc>
          <w:tcPr>
            <w:tcW w:w="3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476</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4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74"/>
              <w:spacing w:after="0"/>
              <w:rPr>
                <w:sz w:val="20"/>
                <w:szCs w:val="20"/>
                <w:color w:val="auto"/>
              </w:rPr>
            </w:pPr>
            <w:r>
              <w:rPr>
                <w:rFonts w:ascii="Times New Roman" w:cs="Times New Roman" w:eastAsia="Times New Roman" w:hAnsi="Times New Roman"/>
                <w:sz w:val="13"/>
                <w:szCs w:val="13"/>
                <w:color w:val="0000FF"/>
                <w:w w:val="94"/>
              </w:rPr>
              <w:t>Stock</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0" w:type="dxa"/>
            <w:vAlign w:val="bottom"/>
          </w:tcPr>
          <w:p>
            <w:pPr>
              <w:spacing w:after="0"/>
              <w:rPr>
                <w:sz w:val="15"/>
                <w:szCs w:val="15"/>
                <w:color w:val="auto"/>
              </w:rPr>
            </w:pPr>
          </w:p>
        </w:tc>
        <w:tc>
          <w:tcPr>
            <w:tcW w:w="580" w:type="dxa"/>
            <w:vAlign w:val="bottom"/>
          </w:tcPr>
          <w:p>
            <w:pPr>
              <w:jc w:val="center"/>
              <w:ind w:right="74"/>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2,589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16"/>
              <w:spacing w:after="0" w:line="143" w:lineRule="exact"/>
              <w:rPr>
                <w:sz w:val="20"/>
                <w:szCs w:val="20"/>
                <w:color w:val="auto"/>
              </w:rPr>
            </w:pPr>
            <w:r>
              <w:rPr>
                <w:rFonts w:ascii="Times New Roman" w:cs="Times New Roman" w:eastAsia="Times New Roman" w:hAnsi="Times New Roman"/>
                <w:sz w:val="13"/>
                <w:szCs w:val="13"/>
                <w:color w:val="0000FF"/>
              </w:rPr>
              <w:t>06/16/2022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ind w:left="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2,589</w:t>
            </w:r>
          </w:p>
        </w:tc>
        <w:tc>
          <w:tcPr>
            <w:tcW w:w="3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4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2,589</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74"/>
              <w:spacing w:after="0"/>
              <w:rPr>
                <w:sz w:val="20"/>
                <w:szCs w:val="20"/>
                <w:color w:val="auto"/>
              </w:rPr>
            </w:pPr>
            <w:r>
              <w:rPr>
                <w:rFonts w:ascii="Times New Roman" w:cs="Times New Roman" w:eastAsia="Times New Roman" w:hAnsi="Times New Roman"/>
                <w:sz w:val="13"/>
                <w:szCs w:val="13"/>
                <w:color w:val="0000FF"/>
                <w:w w:val="94"/>
              </w:rPr>
              <w:t>Stock</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-2458085</wp:posOffset>
            </wp:positionV>
            <wp:extent cx="29210" cy="2463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6316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all of which will vest in full on June 15, 2022, the day immediately preceding the Company's annual meeting of stockholders.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16th, 2022, 100% of which will vest on the first anniversary date of the grant.</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34944"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2022-06-17T18:12:25Z</dcterms:created>
  <dcterms:modified xsi:type="dcterms:W3CDTF">2022-06-17T18:12:25Z</dcterms:modified>
</cp:coreProperties>
</file>