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2"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-596265</wp:posOffset>
            </wp:positionV>
            <wp:extent cx="8255" cy="59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-604520</wp:posOffset>
            </wp:positionV>
            <wp:extent cx="825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1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-580390</wp:posOffset>
            </wp:positionV>
            <wp:extent cx="1266825" cy="55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568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70395" cy="1718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8310"/>
                    </a:xfrm>
                    <a:prstGeom prst="rect">
                      <a:avLst/>
                    </a:prstGeom>
                    <a:noFill/>
                  </pic:spPr>
                </pic:pic>
              </a:graphicData>
            </a:graphic>
          </wp:anchor>
        </w:drawing>
      </w:r>
    </w:p>
    <w:p>
      <w:pPr>
        <w:spacing w:after="0" w:line="87" w:lineRule="exact"/>
        <w:rPr>
          <w:sz w:val="24"/>
          <w:szCs w:val="24"/>
          <w:color w:val="auto"/>
        </w:rPr>
      </w:pPr>
    </w:p>
    <w:p>
      <w:pPr>
        <w:sectPr>
          <w:pgSz w:w="11900" w:h="16980"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Chadwick Jonathan</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00"/>
        <w:spacing w:after="0" w:line="404"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2"/>
          </w:tcPr>
          <w:p>
            <w:pPr>
              <w:ind w:left="6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12/15/2020</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252095</wp:posOffset>
            </wp:positionV>
            <wp:extent cx="6970395" cy="4009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4009390"/>
                    </a:xfrm>
                    <a:prstGeom prst="rect">
                      <a:avLst/>
                    </a:prstGeom>
                    <a:noFill/>
                  </pic:spPr>
                </pic:pic>
              </a:graphicData>
            </a:graphic>
          </wp:anchor>
        </w:drawing>
      </w:r>
    </w:p>
    <w:p>
      <w:pPr>
        <w:spacing w:after="0" w:line="456" w:lineRule="exact"/>
        <w:rPr>
          <w:sz w:val="24"/>
          <w:szCs w:val="24"/>
          <w:color w:val="auto"/>
        </w:rPr>
      </w:pPr>
    </w:p>
    <w:p>
      <w:pPr>
        <w:sectPr>
          <w:pgSz w:w="11900" w:h="16980"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0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5"/>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Pr>
          <w:p>
            <w:pPr>
              <w:jc w:val="center"/>
              <w:spacing w:after="0"/>
              <w:rPr>
                <w:sz w:val="20"/>
                <w:szCs w:val="20"/>
                <w:color w:val="auto"/>
              </w:rPr>
            </w:pPr>
            <w:r>
              <w:rPr>
                <w:rFonts w:ascii="Arial" w:cs="Arial" w:eastAsia="Arial" w:hAnsi="Arial"/>
                <w:sz w:val="17"/>
                <w:szCs w:val="17"/>
                <w:color w:val="0000FF"/>
                <w:w w:val="84"/>
              </w:rPr>
              <w:t>10,000</w:t>
            </w:r>
          </w:p>
        </w:tc>
        <w:tc>
          <w:tcPr>
            <w:tcW w:w="560" w:type="dxa"/>
            <w:vAlign w:val="bottom"/>
          </w:tcPr>
          <w:p>
            <w:pPr>
              <w:ind w:left="220"/>
              <w:spacing w:after="0"/>
              <w:rPr>
                <w:sz w:val="20"/>
                <w:szCs w:val="20"/>
                <w:color w:val="auto"/>
              </w:rPr>
            </w:pPr>
            <w:r>
              <w:rPr>
                <w:rFonts w:ascii="Arial" w:cs="Arial" w:eastAsia="Arial" w:hAnsi="Arial"/>
                <w:sz w:val="17"/>
                <w:szCs w:val="17"/>
                <w:color w:val="0000FF"/>
              </w:rPr>
              <w:t>A</w:t>
            </w:r>
          </w:p>
        </w:tc>
        <w:tc>
          <w:tcPr>
            <w:tcW w:w="820" w:type="dxa"/>
            <w:vAlign w:val="bottom"/>
          </w:tcPr>
          <w:p>
            <w:pPr>
              <w:jc w:val="center"/>
              <w:ind w:left="23"/>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60" w:type="dxa"/>
            <w:vAlign w:val="bottom"/>
          </w:tcPr>
          <w:p>
            <w:pPr>
              <w:spacing w:after="0"/>
              <w:rPr>
                <w:sz w:val="21"/>
                <w:szCs w:val="21"/>
                <w:color w:val="auto"/>
              </w:rPr>
            </w:pPr>
          </w:p>
        </w:tc>
        <w:tc>
          <w:tcPr>
            <w:tcW w:w="1260" w:type="dxa"/>
            <w:vAlign w:val="bottom"/>
            <w:gridSpan w:val="4"/>
          </w:tcPr>
          <w:p>
            <w:pPr>
              <w:jc w:val="center"/>
              <w:spacing w:after="0"/>
              <w:rPr>
                <w:sz w:val="20"/>
                <w:szCs w:val="20"/>
                <w:color w:val="auto"/>
              </w:rPr>
            </w:pPr>
            <w:r>
              <w:rPr>
                <w:rFonts w:ascii="Arial" w:cs="Arial" w:eastAsia="Arial" w:hAnsi="Arial"/>
                <w:sz w:val="17"/>
                <w:szCs w:val="17"/>
                <w:color w:val="0000FF"/>
                <w:w w:val="88"/>
              </w:rPr>
              <w:t>10,000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1,200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396.3567</w:t>
            </w:r>
            <w:r>
              <w:rPr>
                <w:rFonts w:ascii="Arial" w:cs="Arial" w:eastAsia="Arial" w:hAnsi="Arial"/>
                <w:sz w:val="21"/>
                <w:szCs w:val="21"/>
                <w:color w:val="008000"/>
                <w:w w:val="86"/>
                <w:vertAlign w:val="superscript"/>
              </w:rPr>
              <w:t>(2)</w:t>
            </w: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8,800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1,902</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397.3761</w:t>
            </w:r>
            <w:r>
              <w:rPr>
                <w:rFonts w:ascii="Arial" w:cs="Arial" w:eastAsia="Arial" w:hAnsi="Arial"/>
                <w:sz w:val="21"/>
                <w:szCs w:val="21"/>
                <w:color w:val="008000"/>
                <w:w w:val="86"/>
                <w:vertAlign w:val="superscript"/>
              </w:rPr>
              <w:t>(3)</w:t>
            </w: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6,898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1,400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398.38</w:t>
            </w:r>
            <w:r>
              <w:rPr>
                <w:rFonts w:ascii="Arial" w:cs="Arial" w:eastAsia="Arial" w:hAnsi="Arial"/>
                <w:sz w:val="21"/>
                <w:szCs w:val="21"/>
                <w:color w:val="008000"/>
                <w:w w:val="86"/>
                <w:vertAlign w:val="superscript"/>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5,498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1,648</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399.3542</w:t>
            </w:r>
            <w:r>
              <w:rPr>
                <w:rFonts w:ascii="Arial" w:cs="Arial" w:eastAsia="Arial" w:hAnsi="Arial"/>
                <w:sz w:val="21"/>
                <w:szCs w:val="21"/>
                <w:color w:val="008000"/>
                <w:w w:val="86"/>
                <w:vertAlign w:val="superscript"/>
              </w:rPr>
              <w:t>(5)</w:t>
            </w: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3,850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900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400.4411</w:t>
            </w:r>
            <w:r>
              <w:rPr>
                <w:rFonts w:ascii="Arial" w:cs="Arial" w:eastAsia="Arial" w:hAnsi="Arial"/>
                <w:sz w:val="21"/>
                <w:szCs w:val="21"/>
                <w:color w:val="008000"/>
                <w:w w:val="86"/>
                <w:vertAlign w:val="superscript"/>
              </w:rPr>
              <w:t>(6)</w:t>
            </w: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2,950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401.255</w:t>
            </w:r>
            <w:r>
              <w:rPr>
                <w:rFonts w:ascii="Arial" w:cs="Arial" w:eastAsia="Arial" w:hAnsi="Arial"/>
                <w:sz w:val="21"/>
                <w:szCs w:val="21"/>
                <w:color w:val="008000"/>
                <w:w w:val="86"/>
                <w:vertAlign w:val="superscript"/>
              </w:rPr>
              <w:t>(7)</w:t>
            </w: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2,550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402.34</w:t>
            </w:r>
            <w:r>
              <w:rPr>
                <w:rFonts w:ascii="Arial" w:cs="Arial" w:eastAsia="Arial" w:hAnsi="Arial"/>
                <w:sz w:val="21"/>
                <w:szCs w:val="21"/>
                <w:color w:val="008000"/>
                <w:w w:val="86"/>
                <w:vertAlign w:val="superscript"/>
              </w:rPr>
              <w:t>(8)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2,350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403.2433</w:t>
            </w:r>
            <w:r>
              <w:rPr>
                <w:rFonts w:ascii="Arial" w:cs="Arial" w:eastAsia="Arial" w:hAnsi="Arial"/>
                <w:sz w:val="21"/>
                <w:szCs w:val="21"/>
                <w:color w:val="008000"/>
                <w:w w:val="86"/>
                <w:vertAlign w:val="superscript"/>
              </w:rPr>
              <w:t>(9)</w:t>
            </w: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2,050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350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404.9386</w:t>
            </w:r>
            <w:r>
              <w:rPr>
                <w:rFonts w:ascii="Arial" w:cs="Arial" w:eastAsia="Arial" w:hAnsi="Arial"/>
                <w:sz w:val="21"/>
                <w:szCs w:val="21"/>
                <w:color w:val="008000"/>
                <w:w w:val="83"/>
                <w:vertAlign w:val="superscript"/>
              </w:rPr>
              <w:t>(10)</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1,700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406.198</w:t>
            </w:r>
            <w:r>
              <w:rPr>
                <w:rFonts w:ascii="Arial" w:cs="Arial" w:eastAsia="Arial" w:hAnsi="Arial"/>
                <w:sz w:val="21"/>
                <w:szCs w:val="21"/>
                <w:color w:val="008000"/>
                <w:w w:val="83"/>
                <w:vertAlign w:val="superscript"/>
              </w:rPr>
              <w:t>(11)</w:t>
            </w: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9"/>
              </w:rPr>
              <w:t>1,200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407.3357</w:t>
            </w:r>
            <w:r>
              <w:rPr>
                <w:rFonts w:ascii="Arial" w:cs="Arial" w:eastAsia="Arial" w:hAnsi="Arial"/>
                <w:sz w:val="21"/>
                <w:szCs w:val="21"/>
                <w:color w:val="008000"/>
                <w:w w:val="83"/>
                <w:vertAlign w:val="superscript"/>
              </w:rPr>
              <w:t>(12)</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408.2733</w:t>
            </w:r>
            <w:r>
              <w:rPr>
                <w:rFonts w:ascii="Arial" w:cs="Arial" w:eastAsia="Arial" w:hAnsi="Arial"/>
                <w:sz w:val="21"/>
                <w:szCs w:val="21"/>
                <w:color w:val="008000"/>
                <w:w w:val="83"/>
                <w:vertAlign w:val="superscript"/>
              </w:rPr>
              <w:t>(13)</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91"/>
              </w:rPr>
              <w:t>200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409.12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91"/>
              </w:rPr>
              <w:t>100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89"/>
              </w:rPr>
              <w:t>12/15/2020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410.15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0"/>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0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120" w:type="dxa"/>
            <w:vAlign w:val="bottom"/>
          </w:tcPr>
          <w:p>
            <w:pPr>
              <w:spacing w:after="0"/>
              <w:rPr>
                <w:sz w:val="11"/>
                <w:szCs w:val="11"/>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-1459865</wp:posOffset>
            </wp:positionV>
            <wp:extent cx="7034530" cy="3235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2353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80" w:type="dxa"/>
            <w:vAlign w:val="bottom"/>
          </w:tcPr>
          <w:p>
            <w:pPr>
              <w:spacing w:after="0"/>
              <w:rPr>
                <w:sz w:val="20"/>
                <w:szCs w:val="20"/>
                <w:color w:val="auto"/>
              </w:rPr>
            </w:pPr>
            <w:r>
              <w:rPr>
                <w:rFonts w:ascii="Arial" w:cs="Arial" w:eastAsia="Arial" w:hAnsi="Arial"/>
                <w:sz w:val="13"/>
                <w:szCs w:val="13"/>
                <w:color w:val="0000FF"/>
              </w:rPr>
              <w:t>Class B</w:t>
            </w:r>
          </w:p>
        </w:tc>
        <w:tc>
          <w:tcPr>
            <w:tcW w:w="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vMerge w:val="restart"/>
          </w:tcPr>
          <w:p>
            <w:pPr>
              <w:jc w:val="right"/>
              <w:ind w:right="227"/>
              <w:spacing w:after="0"/>
              <w:rPr>
                <w:sz w:val="20"/>
                <w:szCs w:val="20"/>
                <w:color w:val="auto"/>
              </w:rPr>
            </w:pPr>
            <w:r>
              <w:rPr>
                <w:rFonts w:ascii="Arial" w:cs="Arial" w:eastAsia="Arial" w:hAnsi="Arial"/>
                <w:sz w:val="11"/>
                <w:szCs w:val="11"/>
                <w:color w:val="008000"/>
              </w:rPr>
              <w:t>(14)</w:t>
            </w:r>
          </w:p>
        </w:tc>
        <w:tc>
          <w:tcPr>
            <w:tcW w:w="620" w:type="dxa"/>
            <w:vAlign w:val="bottom"/>
            <w:vMerge w:val="restart"/>
          </w:tcPr>
          <w:p>
            <w:pPr>
              <w:jc w:val="right"/>
              <w:ind w:right="107"/>
              <w:spacing w:after="0"/>
              <w:rPr>
                <w:sz w:val="20"/>
                <w:szCs w:val="20"/>
                <w:color w:val="auto"/>
              </w:rPr>
            </w:pPr>
            <w:r>
              <w:rPr>
                <w:rFonts w:ascii="Arial" w:cs="Arial" w:eastAsia="Arial" w:hAnsi="Arial"/>
                <w:sz w:val="11"/>
                <w:szCs w:val="11"/>
                <w:color w:val="008000"/>
              </w:rPr>
              <w:t>(14)</w:t>
            </w:r>
          </w:p>
        </w:tc>
        <w:tc>
          <w:tcPr>
            <w:tcW w:w="720" w:type="dxa"/>
            <w:vAlign w:val="bottom"/>
          </w:tcPr>
          <w:p>
            <w:pPr>
              <w:jc w:val="center"/>
              <w:ind w:left="56"/>
              <w:spacing w:after="0"/>
              <w:rPr>
                <w:sz w:val="20"/>
                <w:szCs w:val="20"/>
                <w:color w:val="auto"/>
              </w:rPr>
            </w:pPr>
            <w:r>
              <w:rPr>
                <w:rFonts w:ascii="Arial" w:cs="Arial" w:eastAsia="Arial" w:hAnsi="Arial"/>
                <w:sz w:val="13"/>
                <w:szCs w:val="13"/>
                <w:color w:val="0000FF"/>
                <w:w w:val="89"/>
              </w:rPr>
              <w:t>Class A</w:t>
            </w:r>
          </w:p>
        </w:tc>
        <w:tc>
          <w:tcPr>
            <w:tcW w:w="860" w:type="dxa"/>
            <w:vAlign w:val="bottom"/>
            <w:vMerge w:val="restart"/>
          </w:tcPr>
          <w:p>
            <w:pPr>
              <w:jc w:val="right"/>
              <w:ind w:right="77"/>
              <w:spacing w:after="0"/>
              <w:rPr>
                <w:sz w:val="20"/>
                <w:szCs w:val="20"/>
                <w:color w:val="auto"/>
              </w:rPr>
            </w:pPr>
            <w:r>
              <w:rPr>
                <w:rFonts w:ascii="Arial" w:cs="Arial" w:eastAsia="Arial" w:hAnsi="Arial"/>
                <w:sz w:val="17"/>
                <w:szCs w:val="17"/>
                <w:color w:val="0000FF"/>
                <w:w w:val="88"/>
              </w:rPr>
              <w:t>10,000</w:t>
            </w:r>
            <w:r>
              <w:rPr>
                <w:rFonts w:ascii="Arial" w:cs="Arial" w:eastAsia="Arial" w:hAnsi="Arial"/>
                <w:sz w:val="21"/>
                <w:szCs w:val="21"/>
                <w:color w:val="008000"/>
                <w:w w:val="88"/>
                <w:vertAlign w:val="superscript"/>
              </w:rPr>
              <w:t>(15)</w:t>
            </w: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line="140" w:lineRule="exact"/>
              <w:rPr>
                <w:sz w:val="20"/>
                <w:szCs w:val="20"/>
                <w:color w:val="auto"/>
              </w:rPr>
            </w:pPr>
            <w:r>
              <w:rPr>
                <w:rFonts w:ascii="Arial" w:cs="Arial" w:eastAsia="Arial" w:hAnsi="Arial"/>
                <w:sz w:val="13"/>
                <w:szCs w:val="13"/>
                <w:color w:val="0000FF"/>
              </w:rPr>
              <w:t>Common</w:t>
            </w:r>
          </w:p>
        </w:tc>
        <w:tc>
          <w:tcPr>
            <w:tcW w:w="680" w:type="dxa"/>
            <w:vAlign w:val="bottom"/>
          </w:tcPr>
          <w:p>
            <w:pPr>
              <w:jc w:val="right"/>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1580" w:type="dxa"/>
            <w:vAlign w:val="bottom"/>
          </w:tcPr>
          <w:p>
            <w:pPr>
              <w:jc w:val="right"/>
              <w:ind w:right="676"/>
              <w:spacing w:after="0" w:line="140" w:lineRule="exact"/>
              <w:rPr>
                <w:sz w:val="20"/>
                <w:szCs w:val="20"/>
                <w:color w:val="auto"/>
              </w:rPr>
            </w:pPr>
            <w:r>
              <w:rPr>
                <w:rFonts w:ascii="Arial" w:cs="Arial" w:eastAsia="Arial" w:hAnsi="Arial"/>
                <w:sz w:val="13"/>
                <w:szCs w:val="13"/>
                <w:color w:val="0000FF"/>
              </w:rPr>
              <w:t>12/15/2020</w:t>
            </w:r>
          </w:p>
        </w:tc>
        <w:tc>
          <w:tcPr>
            <w:tcW w:w="1280" w:type="dxa"/>
            <w:vAlign w:val="bottom"/>
          </w:tcPr>
          <w:p>
            <w:pPr>
              <w:ind w:left="740"/>
              <w:spacing w:after="0" w:line="140" w:lineRule="exact"/>
              <w:rPr>
                <w:sz w:val="20"/>
                <w:szCs w:val="20"/>
                <w:color w:val="auto"/>
              </w:rPr>
            </w:pPr>
            <w:r>
              <w:rPr>
                <w:rFonts w:ascii="Arial" w:cs="Arial" w:eastAsia="Arial" w:hAnsi="Arial"/>
                <w:sz w:val="13"/>
                <w:szCs w:val="13"/>
                <w:color w:val="0000FF"/>
              </w:rPr>
              <w:t>C</w:t>
            </w:r>
          </w:p>
        </w:tc>
        <w:tc>
          <w:tcPr>
            <w:tcW w:w="980" w:type="dxa"/>
            <w:vAlign w:val="bottom"/>
          </w:tcPr>
          <w:p>
            <w:pPr>
              <w:jc w:val="right"/>
              <w:ind w:right="116"/>
              <w:spacing w:after="0" w:line="140" w:lineRule="exact"/>
              <w:rPr>
                <w:sz w:val="20"/>
                <w:szCs w:val="20"/>
                <w:color w:val="auto"/>
              </w:rPr>
            </w:pPr>
            <w:r>
              <w:rPr>
                <w:rFonts w:ascii="Arial" w:cs="Arial" w:eastAsia="Arial" w:hAnsi="Arial"/>
                <w:sz w:val="13"/>
                <w:szCs w:val="13"/>
                <w:color w:val="0000FF"/>
              </w:rPr>
              <w:t>10,000</w:t>
            </w: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jc w:val="center"/>
              <w:ind w:left="36"/>
              <w:spacing w:after="0" w:line="140" w:lineRule="exact"/>
              <w:rPr>
                <w:sz w:val="20"/>
                <w:szCs w:val="20"/>
                <w:color w:val="auto"/>
              </w:rPr>
            </w:pPr>
            <w:r>
              <w:rPr>
                <w:rFonts w:ascii="Arial" w:cs="Arial" w:eastAsia="Arial" w:hAnsi="Arial"/>
                <w:sz w:val="13"/>
                <w:szCs w:val="13"/>
                <w:color w:val="0000FF"/>
                <w:w w:val="87"/>
              </w:rPr>
              <w:t>Common</w:t>
            </w:r>
          </w:p>
        </w:tc>
        <w:tc>
          <w:tcPr>
            <w:tcW w:w="860" w:type="dxa"/>
            <w:vAlign w:val="bottom"/>
            <w:vMerge w:val="continue"/>
          </w:tcPr>
          <w:p>
            <w:pPr>
              <w:spacing w:after="0"/>
              <w:rPr>
                <w:sz w:val="12"/>
                <w:szCs w:val="12"/>
                <w:color w:val="auto"/>
              </w:rPr>
            </w:pP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60" w:type="dxa"/>
            <w:vAlign w:val="bottom"/>
          </w:tcPr>
          <w:p>
            <w:pPr>
              <w:jc w:val="right"/>
              <w:ind w:right="236"/>
              <w:spacing w:after="0" w:line="140" w:lineRule="exact"/>
              <w:rPr>
                <w:sz w:val="20"/>
                <w:szCs w:val="20"/>
                <w:color w:val="auto"/>
              </w:rPr>
            </w:pPr>
            <w:r>
              <w:rPr>
                <w:rFonts w:ascii="Arial" w:cs="Arial" w:eastAsia="Arial" w:hAnsi="Arial"/>
                <w:sz w:val="13"/>
                <w:szCs w:val="13"/>
                <w:color w:val="0000FF"/>
              </w:rPr>
              <w:t>260,000</w:t>
            </w:r>
          </w:p>
        </w:tc>
        <w:tc>
          <w:tcPr>
            <w:tcW w:w="360" w:type="dxa"/>
            <w:vAlign w:val="bottom"/>
          </w:tcPr>
          <w:p>
            <w:pPr>
              <w:ind w:left="28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jc w:val="center"/>
              <w:ind w:left="36"/>
              <w:spacing w:after="0"/>
              <w:rPr>
                <w:sz w:val="20"/>
                <w:szCs w:val="20"/>
                <w:color w:val="auto"/>
              </w:rPr>
            </w:pPr>
            <w:r>
              <w:rPr>
                <w:rFonts w:ascii="Arial" w:cs="Arial" w:eastAsia="Arial" w:hAnsi="Arial"/>
                <w:sz w:val="13"/>
                <w:szCs w:val="13"/>
                <w:color w:val="0000FF"/>
                <w:w w:val="92"/>
              </w:rPr>
              <w:t>Stock</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$395.69 to $396.62.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80" w:orient="portrait"/>
          <w:cols w:equalWidth="0" w:num="1">
            <w:col w:w="11080"/>
          </w:cols>
          <w:pgMar w:left="460" w:top="220" w:right="359" w:bottom="0" w:gutter="0" w:footer="0" w:header="0"/>
          <w:type w:val="continuous"/>
        </w:sectPr>
      </w:pPr>
    </w:p>
    <w:bookmarkStart w:id="1" w:name="page2"/>
    <w:bookmarkEnd w:id="1"/>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$396.88 to $397.84.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$397.90 to $398.86.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$399.00 to $399.71.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$400.01 to $400.83.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$401.01 to $401.78.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8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$402.11 to $402.57.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$403.12 to $403.48.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$404.48 to $405.27.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86"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$405.79 to $406.73.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$407.03 to $407.90.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$408.07 to $408.60.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75,001 shares are subject to the Issuer's right to repurchase as of the date hereof.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12/17/2020</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60"/>
        <w:spacing w:after="0" w:line="327"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8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2020-12-17T17:42:11Z</dcterms:created>
  <dcterms:modified xsi:type="dcterms:W3CDTF">2020-12-17T17:42:11Z</dcterms:modified>
</cp:coreProperties>
</file>