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01" w:lineRule="exact"/>
        <w:rPr>
          <w:sz w:val="24"/>
          <w:szCs w:val="24"/>
          <w:color w:val="auto"/>
        </w:rPr>
      </w:pPr>
    </w:p>
    <w:p>
      <w:pPr>
        <w:sectPr>
          <w:pgSz w:w="11900" w:h="16903"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40"/>
        <w:spacing w:after="0" w:line="39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03/22/2022</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903"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jc w:val="center"/>
              <w:ind w:righ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03/22/2022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116.1633</w:t>
            </w:r>
            <w:r>
              <w:rPr>
                <w:rFonts w:ascii="Arial" w:cs="Arial" w:eastAsia="Arial" w:hAnsi="Arial"/>
                <w:sz w:val="22"/>
                <w:szCs w:val="22"/>
                <w:color w:val="008000"/>
                <w:w w:val="87"/>
                <w:vertAlign w:val="superscript"/>
              </w:rPr>
              <w:t>(2)</w:t>
            </w:r>
          </w:p>
        </w:tc>
        <w:tc>
          <w:tcPr>
            <w:tcW w:w="11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97,025</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03/22/2022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300</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119.0961</w:t>
            </w:r>
            <w:r>
              <w:rPr>
                <w:rFonts w:ascii="Arial" w:cs="Arial" w:eastAsia="Arial" w:hAnsi="Arial"/>
                <w:sz w:val="22"/>
                <w:szCs w:val="22"/>
                <w:color w:val="008000"/>
                <w:w w:val="87"/>
                <w:vertAlign w:val="superscript"/>
              </w:rPr>
              <w:t>(5)</w:t>
            </w:r>
          </w:p>
        </w:tc>
        <w:tc>
          <w:tcPr>
            <w:tcW w:w="11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96,725</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03/22/2022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900</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120.0177</w:t>
            </w:r>
            <w:r>
              <w:rPr>
                <w:rFonts w:ascii="Arial" w:cs="Arial" w:eastAsia="Arial" w:hAnsi="Arial"/>
                <w:sz w:val="22"/>
                <w:szCs w:val="22"/>
                <w:color w:val="008000"/>
                <w:w w:val="89"/>
                <w:vertAlign w:val="superscript"/>
              </w:rPr>
              <w:t>(6)</w:t>
            </w:r>
          </w:p>
        </w:tc>
        <w:tc>
          <w:tcPr>
            <w:tcW w:w="11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95,825</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03/22/2022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1"/>
              </w:rPr>
              <w:t>500</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120.942</w:t>
            </w:r>
            <w:r>
              <w:rPr>
                <w:rFonts w:ascii="Arial" w:cs="Arial" w:eastAsia="Arial" w:hAnsi="Arial"/>
                <w:sz w:val="22"/>
                <w:szCs w:val="22"/>
                <w:color w:val="008000"/>
                <w:w w:val="87"/>
                <w:vertAlign w:val="superscript"/>
              </w:rPr>
              <w:t>(7)</w:t>
            </w:r>
          </w:p>
        </w:tc>
        <w:tc>
          <w:tcPr>
            <w:tcW w:w="11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95,325</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jc w:val="center"/>
              <w:ind w:left="188"/>
              <w:spacing w:after="0"/>
              <w:rPr>
                <w:sz w:val="20"/>
                <w:szCs w:val="20"/>
                <w:color w:val="auto"/>
              </w:rPr>
            </w:pPr>
            <w:r>
              <w:rPr>
                <w:rFonts w:ascii="Arial" w:cs="Arial" w:eastAsia="Arial" w:hAnsi="Arial"/>
                <w:sz w:val="17"/>
                <w:szCs w:val="17"/>
                <w:color w:val="0000FF"/>
                <w:w w:val="91"/>
              </w:rPr>
              <w:t>03/22/2022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2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44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3"/>
              </w:rPr>
              <w:t>1,449</w:t>
            </w:r>
          </w:p>
        </w:tc>
        <w:tc>
          <w:tcPr>
            <w:tcW w:w="340" w:type="dxa"/>
            <w:vAlign w:val="bottom"/>
            <w:vMerge w:val="restart"/>
          </w:tcPr>
          <w:p>
            <w:pPr>
              <w:jc w:val="center"/>
              <w:ind w:left="101"/>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2"/>
                <w:szCs w:val="22"/>
                <w:color w:val="auto"/>
              </w:rPr>
            </w:pPr>
          </w:p>
        </w:tc>
        <w:tc>
          <w:tcPr>
            <w:tcW w:w="800" w:type="dxa"/>
            <w:vAlign w:val="bottom"/>
            <w:vMerge w:val="restart"/>
          </w:tcPr>
          <w:p>
            <w:pPr>
              <w:jc w:val="center"/>
              <w:ind w:left="167"/>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117.42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93,876</w:t>
            </w:r>
            <w:r>
              <w:rPr>
                <w:rFonts w:ascii="Arial" w:cs="Arial" w:eastAsia="Arial" w:hAnsi="Arial"/>
                <w:sz w:val="22"/>
                <w:szCs w:val="22"/>
                <w:color w:val="008000"/>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2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$116.01 to $116.25.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45,000 shares are subject to the Issuer's right to repurchase as of the date hereof.</w:t>
      </w:r>
    </w:p>
    <w:p>
      <w:pPr>
        <w:spacing w:after="0" w:line="50" w:lineRule="exact"/>
        <w:rPr>
          <w:rFonts w:ascii="Arial" w:cs="Arial" w:eastAsia="Arial" w:hAnsi="Arial"/>
          <w:sz w:val="13"/>
          <w:szCs w:val="13"/>
          <w:color w:val="008000"/>
        </w:rPr>
      </w:pPr>
    </w:p>
    <w:p>
      <w:pPr>
        <w:ind w:left="40" w:right="4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$118.53 to $119.38.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$119.54 to $120.28.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$120.55 to $121.52.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Aparna Bawa</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03/24/2022</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903" w:orient="portrait"/>
          <w:cols w:equalWidth="0" w:num="1">
            <w:col w:w="11080"/>
          </w:cols>
          <w:pgMar w:left="460" w:top="225"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2022-03-24T19:22:26Z</dcterms:created>
  <dcterms:modified xsi:type="dcterms:W3CDTF">2022-03-24T19:22:26Z</dcterms:modified>
</cp:coreProperties>
</file>