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333-230444</w:t>
      </w:r>
    </w:p>
    <w:p>
      <w:pPr>
        <w:spacing w:after="0" w:line="136" w:lineRule="exact"/>
        <w:rPr>
          <w:sz w:val="24"/>
          <w:szCs w:val="24"/>
          <w:color w:val="auto"/>
        </w:rPr>
      </w:pPr>
    </w:p>
    <w:p>
      <w:pPr>
        <w:ind w:left="200"/>
        <w:spacing w:after="0"/>
        <w:rPr>
          <w:sz w:val="20"/>
          <w:szCs w:val="20"/>
          <w:color w:val="auto"/>
        </w:rPr>
      </w:pPr>
      <w:r>
        <w:rPr>
          <w:rFonts w:ascii="Arial" w:cs="Arial" w:eastAsia="Arial" w:hAnsi="Arial"/>
          <w:sz w:val="22"/>
          <w:szCs w:val="22"/>
          <w:i w:val="1"/>
          <w:iCs w:val="1"/>
          <w:color w:val="32406B"/>
        </w:rPr>
        <w:t>PROSPECTUS</w:t>
      </w:r>
    </w:p>
    <w:p>
      <w:pPr>
        <w:spacing w:after="0" w:line="276" w:lineRule="exact"/>
        <w:rPr>
          <w:sz w:val="24"/>
          <w:szCs w:val="24"/>
          <w:color w:val="auto"/>
        </w:rPr>
      </w:pPr>
    </w:p>
    <w:p>
      <w:pPr>
        <w:jc w:val="center"/>
        <w:ind w:right="-199"/>
        <w:spacing w:after="0"/>
        <w:rPr>
          <w:sz w:val="20"/>
          <w:szCs w:val="20"/>
          <w:color w:val="auto"/>
        </w:rPr>
      </w:pPr>
      <w:r>
        <w:rPr>
          <w:rFonts w:ascii="Arial" w:cs="Arial" w:eastAsia="Arial" w:hAnsi="Arial"/>
          <w:sz w:val="32"/>
          <w:szCs w:val="32"/>
          <w:i w:val="1"/>
          <w:iCs w:val="1"/>
          <w:color w:val="32406B"/>
        </w:rPr>
        <w:t>20,869,565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173355</wp:posOffset>
            </wp:positionV>
            <wp:extent cx="144081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9"/>
        <w:spacing w:after="0"/>
        <w:rPr>
          <w:sz w:val="20"/>
          <w:szCs w:val="20"/>
          <w:color w:val="auto"/>
        </w:rPr>
      </w:pPr>
      <w:r>
        <w:rPr>
          <w:rFonts w:ascii="Arial" w:cs="Arial" w:eastAsia="Arial" w:hAnsi="Arial"/>
          <w:sz w:val="22"/>
          <w:szCs w:val="22"/>
          <w:i w:val="1"/>
          <w:iCs w:val="1"/>
          <w:color w:val="32406B"/>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200" w:right="180"/>
        <w:spacing w:after="0" w:line="340" w:lineRule="auto"/>
        <w:rPr>
          <w:sz w:val="20"/>
          <w:szCs w:val="20"/>
          <w:color w:val="auto"/>
        </w:rPr>
      </w:pPr>
      <w:r>
        <w:rPr>
          <w:rFonts w:ascii="Arial" w:cs="Arial" w:eastAsia="Arial" w:hAnsi="Arial"/>
          <w:sz w:val="15"/>
          <w:szCs w:val="15"/>
          <w:b w:val="1"/>
          <w:bCs w:val="1"/>
          <w:i w:val="1"/>
          <w:iCs w:val="1"/>
          <w:color w:val="32406B"/>
        </w:rPr>
        <w:t>Zoom Video Communications, Inc. is offering 9,911,434 shares of our Class A common stock, and the selling stockholders are offering 10,958,131 shares of Class A common stock. We will not receive any proceeds from the sale of shares by the selling stockholders. This is our initial public offering, and no public market currently exists for our shares of common stock. The initial public offering price is $36.00 per share.</w:t>
      </w:r>
    </w:p>
    <w:p>
      <w:pPr>
        <w:spacing w:after="0" w:line="131" w:lineRule="exact"/>
        <w:rPr>
          <w:sz w:val="24"/>
          <w:szCs w:val="24"/>
          <w:color w:val="auto"/>
        </w:rPr>
      </w:pPr>
    </w:p>
    <w:p>
      <w:pPr>
        <w:jc w:val="both"/>
        <w:ind w:left="200" w:right="160"/>
        <w:spacing w:after="0" w:line="307" w:lineRule="auto"/>
        <w:rPr>
          <w:sz w:val="20"/>
          <w:szCs w:val="20"/>
          <w:color w:val="auto"/>
        </w:rPr>
      </w:pPr>
      <w:r>
        <w:rPr>
          <w:rFonts w:ascii="Arial" w:cs="Arial" w:eastAsia="Arial" w:hAnsi="Arial"/>
          <w:sz w:val="15"/>
          <w:szCs w:val="15"/>
          <w:b w:val="1"/>
          <w:bCs w:val="1"/>
          <w:i w:val="1"/>
          <w:iCs w:val="1"/>
          <w:color w:val="32406B"/>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spacing w:after="0" w:line="1" w:lineRule="exact"/>
        <w:rPr>
          <w:sz w:val="24"/>
          <w:szCs w:val="24"/>
          <w:color w:val="auto"/>
        </w:rPr>
      </w:pPr>
    </w:p>
    <w:p>
      <w:pPr>
        <w:ind w:left="200" w:right="180"/>
        <w:spacing w:after="0" w:line="261" w:lineRule="auto"/>
        <w:rPr>
          <w:sz w:val="20"/>
          <w:szCs w:val="20"/>
          <w:color w:val="auto"/>
        </w:rPr>
      </w:pPr>
      <w:r>
        <w:rPr>
          <w:rFonts w:ascii="Arial" w:cs="Arial" w:eastAsia="Arial" w:hAnsi="Arial"/>
          <w:sz w:val="18"/>
          <w:szCs w:val="18"/>
          <w:b w:val="1"/>
          <w:bCs w:val="1"/>
          <w:i w:val="1"/>
          <w:iCs w:val="1"/>
          <w:color w:val="32406B"/>
        </w:rPr>
        <w:t>Outstanding shares of Class B common stock will represent approximately 99.0% of the voting power of our outstanding capital stock immediately following this offering and the concurrent private placement.</w:t>
      </w:r>
    </w:p>
    <w:p>
      <w:pPr>
        <w:spacing w:after="0" w:line="184" w:lineRule="exact"/>
        <w:rPr>
          <w:sz w:val="24"/>
          <w:szCs w:val="24"/>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32406B"/>
        </w:rPr>
        <w:t>Salesforce Ventures LLC has entered into an agreement with us pursuant to which it has agreed to purchase 2,777,777 shares of our Class A common stock in a private placement. This transaction is contingent upon, and is scheduled to close immediately subsequent to, the closing of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have been approved to list our Class A common stock on The Nasdaq Global Select Market under the symbol “ZM.”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200" w:right="500"/>
        <w:spacing w:after="0" w:line="251" w:lineRule="auto"/>
        <w:rPr>
          <w:rFonts w:ascii="Arial" w:cs="Arial" w:eastAsia="Arial" w:hAnsi="Arial"/>
          <w:sz w:val="22"/>
          <w:szCs w:val="22"/>
          <w:b w:val="1"/>
          <w:bCs w:val="1"/>
          <w:i w:val="1"/>
          <w:iCs w:val="1"/>
          <w:color w:val="32406B"/>
        </w:rPr>
      </w:pPr>
      <w:r>
        <w:rPr>
          <w:rFonts w:ascii="Arial" w:cs="Arial" w:eastAsia="Arial" w:hAnsi="Arial"/>
          <w:sz w:val="22"/>
          <w:szCs w:val="22"/>
          <w:b w:val="1"/>
          <w:bCs w:val="1"/>
          <w:i w:val="1"/>
          <w:iCs w:val="1"/>
          <w:color w:val="32406B"/>
        </w:rPr>
        <w:t>We are an “emerging growth company” as defined under the federal securities laws. Investing in our Class A common stock involves risks. See “</w:t>
      </w:r>
      <w:hyperlink w:anchor="page17">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32406B"/>
        </w:rPr>
        <w:t>” beginning on page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217805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9"/>
        <w:spacing w:after="0"/>
        <w:rPr>
          <w:sz w:val="20"/>
          <w:szCs w:val="20"/>
          <w:color w:val="auto"/>
        </w:rPr>
      </w:pPr>
      <w:r>
        <w:rPr>
          <w:rFonts w:ascii="Arial" w:cs="Arial" w:eastAsia="Arial" w:hAnsi="Arial"/>
          <w:sz w:val="18"/>
          <w:szCs w:val="18"/>
          <w:i w:val="1"/>
          <w:iCs w:val="1"/>
          <w:color w:val="32406B"/>
        </w:rPr>
        <w:t>PRICE $36.00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32406B"/>
                <w:w w:val="92"/>
              </w:rPr>
              <w:t>Underwriting</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32406B"/>
                <w:w w:val="84"/>
              </w:rPr>
              <w:t>Proceeds to</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i w:val="1"/>
                <w:iCs w:val="1"/>
                <w:color w:val="32406B"/>
                <w:w w:val="89"/>
              </w:rPr>
              <w:t>Discounts and</w:t>
            </w:r>
          </w:p>
        </w:tc>
        <w:tc>
          <w:tcPr>
            <w:tcW w:w="1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32406B"/>
                <w:w w:val="87"/>
              </w:rPr>
              <w:t>Proceeds to</w:t>
            </w:r>
          </w:p>
        </w:tc>
        <w:tc>
          <w:tcPr>
            <w:tcW w:w="4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32406B"/>
                <w:w w:val="91"/>
              </w:rPr>
              <w:t>Selling</w:t>
            </w:r>
          </w:p>
        </w:tc>
        <w:tc>
          <w:tcPr>
            <w:tcW w:w="0" w:type="dxa"/>
            <w:vAlign w:val="bottom"/>
          </w:tcPr>
          <w:p>
            <w:pPr>
              <w:spacing w:after="0"/>
              <w:rPr>
                <w:sz w:val="1"/>
                <w:szCs w:val="1"/>
                <w:color w:val="auto"/>
              </w:rPr>
            </w:pPr>
          </w:p>
        </w:tc>
      </w:tr>
      <w:tr>
        <w:trPr>
          <w:trHeight w:val="167"/>
        </w:trPr>
        <w:tc>
          <w:tcPr>
            <w:tcW w:w="4020" w:type="dxa"/>
            <w:vAlign w:val="bottom"/>
            <w:vMerge w:val="restart"/>
          </w:tcPr>
          <w:p>
            <w:pPr>
              <w:spacing w:after="0"/>
              <w:rPr>
                <w:sz w:val="20"/>
                <w:szCs w:val="20"/>
                <w:color w:val="auto"/>
              </w:rPr>
            </w:pPr>
            <w:r>
              <w:rPr>
                <w:rFonts w:ascii="Arial" w:cs="Arial" w:eastAsia="Arial" w:hAnsi="Arial"/>
                <w:sz w:val="18"/>
                <w:szCs w:val="18"/>
                <w:i w:val="1"/>
                <w:iCs w:val="1"/>
                <w:color w:val="32406B"/>
              </w:rPr>
              <w:t>Per Share</w:t>
            </w:r>
          </w:p>
        </w:tc>
        <w:tc>
          <w:tcPr>
            <w:tcW w:w="900" w:type="dxa"/>
            <w:vAlign w:val="bottom"/>
            <w:tcBorders>
              <w:bottom w:val="single" w:sz="8" w:color="32406B"/>
            </w:tcBorders>
          </w:tcPr>
          <w:p>
            <w:pPr>
              <w:spacing w:after="0"/>
              <w:rPr>
                <w:sz w:val="20"/>
                <w:szCs w:val="20"/>
                <w:color w:val="auto"/>
              </w:rPr>
            </w:pPr>
            <w:r>
              <w:rPr>
                <w:rFonts w:ascii="Arial" w:cs="Arial" w:eastAsia="Arial" w:hAnsi="Arial"/>
                <w:sz w:val="14"/>
                <w:szCs w:val="14"/>
                <w:b w:val="1"/>
                <w:bCs w:val="1"/>
                <w:i w:val="1"/>
                <w:iCs w:val="1"/>
                <w:color w:val="32406B"/>
                <w:w w:val="90"/>
              </w:rPr>
              <w:t>Price to Public</w:t>
            </w:r>
          </w:p>
        </w:tc>
        <w:tc>
          <w:tcPr>
            <w:tcW w:w="980" w:type="dxa"/>
            <w:vAlign w:val="bottom"/>
          </w:tcPr>
          <w:p>
            <w:pPr>
              <w:spacing w:after="0"/>
              <w:rPr>
                <w:sz w:val="14"/>
                <w:szCs w:val="14"/>
                <w:color w:val="auto"/>
              </w:rPr>
            </w:pPr>
          </w:p>
        </w:tc>
        <w:tc>
          <w:tcPr>
            <w:tcW w:w="940" w:type="dxa"/>
            <w:vAlign w:val="bottom"/>
            <w:tcBorders>
              <w:bottom w:val="single" w:sz="8" w:color="32406B"/>
            </w:tcBorders>
          </w:tcPr>
          <w:p>
            <w:pPr>
              <w:jc w:val="center"/>
              <w:spacing w:after="0"/>
              <w:rPr>
                <w:sz w:val="20"/>
                <w:szCs w:val="20"/>
                <w:color w:val="auto"/>
              </w:rPr>
            </w:pPr>
            <w:r>
              <w:rPr>
                <w:rFonts w:ascii="Arial" w:cs="Arial" w:eastAsia="Arial" w:hAnsi="Arial"/>
                <w:sz w:val="14"/>
                <w:szCs w:val="14"/>
                <w:b w:val="1"/>
                <w:bCs w:val="1"/>
                <w:i w:val="1"/>
                <w:iCs w:val="1"/>
                <w:color w:val="32406B"/>
                <w:w w:val="88"/>
              </w:rPr>
              <w:t>Commissions</w:t>
            </w:r>
            <w:r>
              <w:rPr>
                <w:rFonts w:ascii="Arial" w:cs="Arial" w:eastAsia="Arial" w:hAnsi="Arial"/>
                <w:sz w:val="12"/>
                <w:szCs w:val="12"/>
                <w:b w:val="1"/>
                <w:bCs w:val="1"/>
                <w:i w:val="1"/>
                <w:iCs w:val="1"/>
                <w:color w:val="32406B"/>
                <w:w w:val="88"/>
              </w:rPr>
              <w:t>(1)</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bottom w:val="single" w:sz="8" w:color="32406B"/>
            </w:tcBorders>
          </w:tcPr>
          <w:p>
            <w:pPr>
              <w:jc w:val="center"/>
              <w:spacing w:after="0"/>
              <w:rPr>
                <w:sz w:val="20"/>
                <w:szCs w:val="20"/>
                <w:color w:val="auto"/>
              </w:rPr>
            </w:pPr>
            <w:r>
              <w:rPr>
                <w:rFonts w:ascii="Arial" w:cs="Arial" w:eastAsia="Arial" w:hAnsi="Arial"/>
                <w:sz w:val="14"/>
                <w:szCs w:val="14"/>
                <w:b w:val="1"/>
                <w:bCs w:val="1"/>
                <w:i w:val="1"/>
                <w:iCs w:val="1"/>
                <w:color w:val="32406B"/>
                <w:w w:val="89"/>
              </w:rPr>
              <w:t>Zoom</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32406B"/>
            </w:tcBorders>
          </w:tcPr>
          <w:p>
            <w:pPr>
              <w:jc w:val="center"/>
              <w:spacing w:after="0"/>
              <w:rPr>
                <w:sz w:val="20"/>
                <w:szCs w:val="20"/>
                <w:color w:val="auto"/>
              </w:rPr>
            </w:pPr>
            <w:r>
              <w:rPr>
                <w:rFonts w:ascii="Arial" w:cs="Arial" w:eastAsia="Arial" w:hAnsi="Arial"/>
                <w:sz w:val="14"/>
                <w:szCs w:val="14"/>
                <w:b w:val="1"/>
                <w:bCs w:val="1"/>
                <w:i w:val="1"/>
                <w:iCs w:val="1"/>
                <w:color w:val="32406B"/>
                <w:w w:val="87"/>
              </w:rPr>
              <w:t>Stockholders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vMerge w:val="continue"/>
          </w:tcPr>
          <w:p>
            <w:pPr>
              <w:spacing w:after="0"/>
              <w:rPr>
                <w:sz w:val="16"/>
                <w:szCs w:val="16"/>
                <w:color w:val="auto"/>
              </w:rPr>
            </w:pPr>
          </w:p>
        </w:tc>
        <w:tc>
          <w:tcPr>
            <w:tcW w:w="1880" w:type="dxa"/>
            <w:vAlign w:val="bottom"/>
            <w:gridSpan w:val="2"/>
          </w:tcPr>
          <w:p>
            <w:pPr>
              <w:jc w:val="right"/>
              <w:ind w:right="800"/>
              <w:spacing w:after="0" w:line="195" w:lineRule="exact"/>
              <w:rPr>
                <w:sz w:val="20"/>
                <w:szCs w:val="20"/>
                <w:color w:val="auto"/>
              </w:rPr>
            </w:pPr>
            <w:r>
              <w:rPr>
                <w:rFonts w:ascii="Arial" w:cs="Arial" w:eastAsia="Arial" w:hAnsi="Arial"/>
                <w:sz w:val="18"/>
                <w:szCs w:val="18"/>
                <w:i w:val="1"/>
                <w:iCs w:val="1"/>
                <w:color w:val="32406B"/>
              </w:rPr>
              <w:t>$36.00</w:t>
            </w:r>
          </w:p>
        </w:tc>
        <w:tc>
          <w:tcPr>
            <w:tcW w:w="1540" w:type="dxa"/>
            <w:vAlign w:val="bottom"/>
            <w:gridSpan w:val="2"/>
          </w:tcPr>
          <w:p>
            <w:pPr>
              <w:jc w:val="right"/>
              <w:ind w:right="500"/>
              <w:spacing w:after="0" w:line="195" w:lineRule="exact"/>
              <w:rPr>
                <w:sz w:val="20"/>
                <w:szCs w:val="20"/>
                <w:color w:val="auto"/>
              </w:rPr>
            </w:pPr>
            <w:r>
              <w:rPr>
                <w:rFonts w:ascii="Arial" w:cs="Arial" w:eastAsia="Arial" w:hAnsi="Arial"/>
                <w:sz w:val="18"/>
                <w:szCs w:val="18"/>
                <w:i w:val="1"/>
                <w:iCs w:val="1"/>
                <w:color w:val="32406B"/>
              </w:rPr>
              <w:t>$1.80</w:t>
            </w:r>
          </w:p>
        </w:tc>
        <w:tc>
          <w:tcPr>
            <w:tcW w:w="520" w:type="dxa"/>
            <w:vAlign w:val="bottom"/>
          </w:tcPr>
          <w:p>
            <w:pPr>
              <w:spacing w:after="0"/>
              <w:rPr>
                <w:sz w:val="16"/>
                <w:szCs w:val="16"/>
                <w:color w:val="auto"/>
              </w:rPr>
            </w:pPr>
          </w:p>
        </w:tc>
        <w:tc>
          <w:tcPr>
            <w:tcW w:w="1460" w:type="dxa"/>
            <w:vAlign w:val="bottom"/>
            <w:gridSpan w:val="2"/>
          </w:tcPr>
          <w:p>
            <w:pPr>
              <w:jc w:val="right"/>
              <w:ind w:right="480"/>
              <w:spacing w:after="0" w:line="195" w:lineRule="exact"/>
              <w:rPr>
                <w:sz w:val="20"/>
                <w:szCs w:val="20"/>
                <w:color w:val="auto"/>
              </w:rPr>
            </w:pPr>
            <w:r>
              <w:rPr>
                <w:rFonts w:ascii="Arial" w:cs="Arial" w:eastAsia="Arial" w:hAnsi="Arial"/>
                <w:sz w:val="18"/>
                <w:szCs w:val="18"/>
                <w:i w:val="1"/>
                <w:iCs w:val="1"/>
                <w:color w:val="32406B"/>
              </w:rPr>
              <w:t>$34.20</w:t>
            </w:r>
          </w:p>
        </w:tc>
        <w:tc>
          <w:tcPr>
            <w:tcW w:w="480" w:type="dxa"/>
            <w:vAlign w:val="bottom"/>
          </w:tcPr>
          <w:p>
            <w:pPr>
              <w:spacing w:after="0"/>
              <w:rPr>
                <w:sz w:val="16"/>
                <w:szCs w:val="16"/>
                <w:color w:val="auto"/>
              </w:rPr>
            </w:pPr>
          </w:p>
        </w:tc>
        <w:tc>
          <w:tcPr>
            <w:tcW w:w="104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32406B"/>
              </w:rPr>
              <w:t>$34.20</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i w:val="1"/>
                <w:iCs w:val="1"/>
                <w:color w:val="32406B"/>
              </w:rPr>
              <w:t>Total</w:t>
            </w:r>
          </w:p>
        </w:tc>
        <w:tc>
          <w:tcPr>
            <w:tcW w:w="1880" w:type="dxa"/>
            <w:vAlign w:val="bottom"/>
            <w:gridSpan w:val="2"/>
          </w:tcPr>
          <w:p>
            <w:pPr>
              <w:jc w:val="right"/>
              <w:ind w:right="800"/>
              <w:spacing w:after="0"/>
              <w:rPr>
                <w:sz w:val="20"/>
                <w:szCs w:val="20"/>
                <w:color w:val="auto"/>
              </w:rPr>
            </w:pPr>
            <w:r>
              <w:rPr>
                <w:rFonts w:ascii="Arial" w:cs="Arial" w:eastAsia="Arial" w:hAnsi="Arial"/>
                <w:sz w:val="18"/>
                <w:szCs w:val="18"/>
                <w:i w:val="1"/>
                <w:iCs w:val="1"/>
                <w:color w:val="32406B"/>
                <w:w w:val="96"/>
              </w:rPr>
              <w:t>$751,304,340</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32406B"/>
              </w:rPr>
              <w:t>$37,565,217</w:t>
            </w:r>
          </w:p>
        </w:tc>
        <w:tc>
          <w:tcPr>
            <w:tcW w:w="1980" w:type="dxa"/>
            <w:vAlign w:val="bottom"/>
            <w:gridSpan w:val="3"/>
          </w:tcPr>
          <w:p>
            <w:pPr>
              <w:jc w:val="right"/>
              <w:ind w:right="480"/>
              <w:spacing w:after="0"/>
              <w:rPr>
                <w:sz w:val="20"/>
                <w:szCs w:val="20"/>
                <w:color w:val="auto"/>
              </w:rPr>
            </w:pPr>
            <w:r>
              <w:rPr>
                <w:rFonts w:ascii="Arial" w:cs="Arial" w:eastAsia="Arial" w:hAnsi="Arial"/>
                <w:sz w:val="18"/>
                <w:szCs w:val="18"/>
                <w:i w:val="1"/>
                <w:iCs w:val="1"/>
                <w:color w:val="32406B"/>
              </w:rPr>
              <w:t>$338,971,043</w:t>
            </w: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32406B"/>
              </w:rPr>
              <w:t>$374,768,080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i w:val="1"/>
          <w:iCs w:val="1"/>
          <w:color w:val="32406B"/>
        </w:rPr>
      </w:pPr>
      <w:r>
        <w:rPr>
          <w:rFonts w:ascii="Arial" w:cs="Arial" w:eastAsia="Arial" w:hAnsi="Arial"/>
          <w:sz w:val="18"/>
          <w:szCs w:val="18"/>
          <w:i w:val="1"/>
          <w:iCs w:val="1"/>
          <w:color w:val="32406B"/>
        </w:rPr>
        <w:t>See the section titled “Underwriters” for a description of the compensation payable to the underwriters.</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32406B"/>
        </w:rPr>
        <w:t>We have granted the underwriters the right to purchase up to an additional 3,130,435 shares of Class A common stock to cover overallotments, if any.</w:t>
      </w:r>
    </w:p>
    <w:p>
      <w:pPr>
        <w:spacing w:after="0" w:line="248" w:lineRule="exact"/>
        <w:rPr>
          <w:sz w:val="24"/>
          <w:szCs w:val="24"/>
          <w:color w:val="auto"/>
        </w:rPr>
      </w:pPr>
    </w:p>
    <w:p>
      <w:pPr>
        <w:ind w:left="200" w:right="160"/>
        <w:spacing w:after="0" w:line="277" w:lineRule="auto"/>
        <w:rPr>
          <w:sz w:val="20"/>
          <w:szCs w:val="20"/>
          <w:color w:val="auto"/>
        </w:rPr>
      </w:pPr>
      <w:r>
        <w:rPr>
          <w:rFonts w:ascii="Arial" w:cs="Arial" w:eastAsia="Arial" w:hAnsi="Arial"/>
          <w:sz w:val="18"/>
          <w:szCs w:val="18"/>
          <w:i w:val="1"/>
          <w:iCs w:val="1"/>
          <w:color w:val="32406B"/>
        </w:rPr>
        <w:t>The Securities and Exchange Commission and state regulators have not approved or disapproved of these securities or determined if this prospectus is truthful or complete. Any representation to the contrary is a criminal offense.</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i w:val="1"/>
          <w:iCs w:val="1"/>
          <w:color w:val="32406B"/>
        </w:rPr>
        <w:t>The underwriters expect to deliver the shares of Class A common stock to purchasers on April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246380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00"/>
        <w:spacing w:after="0"/>
        <w:tabs>
          <w:tab w:leader="none" w:pos="3320" w:val="left"/>
          <w:tab w:leader="none" w:pos="6540" w:val="left"/>
          <w:tab w:leader="none" w:pos="9960" w:val="left"/>
        </w:tabs>
        <w:rPr>
          <w:sz w:val="20"/>
          <w:szCs w:val="20"/>
          <w:color w:val="auto"/>
        </w:rPr>
      </w:pPr>
      <w:r>
        <w:rPr>
          <w:rFonts w:ascii="Arial" w:cs="Arial" w:eastAsia="Arial" w:hAnsi="Arial"/>
          <w:sz w:val="18"/>
          <w:szCs w:val="18"/>
          <w:i w:val="1"/>
          <w:iCs w:val="1"/>
          <w:color w:val="32406B"/>
        </w:rPr>
        <w:t>MORGAN STANLEY</w:t>
      </w:r>
      <w:r>
        <w:rPr>
          <w:sz w:val="20"/>
          <w:szCs w:val="20"/>
          <w:color w:val="auto"/>
        </w:rPr>
        <w:tab/>
      </w:r>
      <w:r>
        <w:rPr>
          <w:rFonts w:ascii="Arial" w:cs="Arial" w:eastAsia="Arial" w:hAnsi="Arial"/>
          <w:sz w:val="18"/>
          <w:szCs w:val="18"/>
          <w:i w:val="1"/>
          <w:iCs w:val="1"/>
          <w:color w:val="32406B"/>
        </w:rPr>
        <w:t>J.P. MORGAN</w:t>
      </w:r>
      <w:r>
        <w:rPr>
          <w:sz w:val="20"/>
          <w:szCs w:val="20"/>
          <w:color w:val="auto"/>
        </w:rPr>
        <w:tab/>
      </w:r>
      <w:r>
        <w:rPr>
          <w:rFonts w:ascii="Arial" w:cs="Arial" w:eastAsia="Arial" w:hAnsi="Arial"/>
          <w:sz w:val="18"/>
          <w:szCs w:val="18"/>
          <w:i w:val="1"/>
          <w:iCs w:val="1"/>
          <w:color w:val="32406B"/>
        </w:rPr>
        <w:t>GOLDMAN SACHS &amp; CO. LLC</w:t>
      </w:r>
      <w:r>
        <w:rPr>
          <w:sz w:val="20"/>
          <w:szCs w:val="20"/>
          <w:color w:val="auto"/>
        </w:rPr>
        <w:tab/>
      </w:r>
      <w:r>
        <w:rPr>
          <w:rFonts w:ascii="Arial" w:cs="Arial" w:eastAsia="Arial" w:hAnsi="Arial"/>
          <w:sz w:val="16"/>
          <w:szCs w:val="16"/>
          <w:i w:val="1"/>
          <w:iCs w:val="1"/>
          <w:color w:val="32406B"/>
        </w:rPr>
        <w:t>CREDIT SUISSE</w:t>
      </w:r>
    </w:p>
    <w:p>
      <w:pPr>
        <w:spacing w:after="0" w:line="135" w:lineRule="exact"/>
        <w:rPr>
          <w:sz w:val="24"/>
          <w:szCs w:val="24"/>
          <w:color w:val="auto"/>
        </w:rPr>
      </w:pPr>
    </w:p>
    <w:p>
      <w:pPr>
        <w:ind w:left="200"/>
        <w:spacing w:after="0"/>
        <w:tabs>
          <w:tab w:leader="none" w:pos="4520" w:val="left"/>
          <w:tab w:leader="none" w:pos="9240" w:val="left"/>
        </w:tabs>
        <w:rPr>
          <w:sz w:val="20"/>
          <w:szCs w:val="20"/>
          <w:color w:val="auto"/>
        </w:rPr>
      </w:pPr>
      <w:r>
        <w:rPr>
          <w:rFonts w:ascii="Arial" w:cs="Arial" w:eastAsia="Arial" w:hAnsi="Arial"/>
          <w:sz w:val="16"/>
          <w:szCs w:val="16"/>
          <w:i w:val="1"/>
          <w:iCs w:val="1"/>
          <w:color w:val="32406B"/>
        </w:rPr>
        <w:t>BofA MERRILL LYNCH</w:t>
      </w:r>
      <w:r>
        <w:rPr>
          <w:sz w:val="20"/>
          <w:szCs w:val="20"/>
          <w:color w:val="auto"/>
        </w:rPr>
        <w:tab/>
      </w:r>
      <w:r>
        <w:rPr>
          <w:rFonts w:ascii="Arial" w:cs="Arial" w:eastAsia="Arial" w:hAnsi="Arial"/>
          <w:sz w:val="16"/>
          <w:szCs w:val="16"/>
          <w:i w:val="1"/>
          <w:iCs w:val="1"/>
          <w:color w:val="32406B"/>
        </w:rPr>
        <w:t>RBC CAPITAL MARKETS</w:t>
      </w:r>
      <w:r>
        <w:rPr>
          <w:sz w:val="20"/>
          <w:szCs w:val="20"/>
          <w:color w:val="auto"/>
        </w:rPr>
        <w:tab/>
      </w:r>
      <w:r>
        <w:rPr>
          <w:rFonts w:ascii="Arial" w:cs="Arial" w:eastAsia="Arial" w:hAnsi="Arial"/>
          <w:sz w:val="14"/>
          <w:szCs w:val="14"/>
          <w:i w:val="1"/>
          <w:iCs w:val="1"/>
          <w:color w:val="32406B"/>
        </w:rPr>
        <w:t>WELLS FARGO SECURITIES</w:t>
      </w:r>
    </w:p>
    <w:p>
      <w:pPr>
        <w:spacing w:after="0" w:line="131" w:lineRule="exact"/>
        <w:rPr>
          <w:sz w:val="24"/>
          <w:szCs w:val="24"/>
          <w:color w:val="auto"/>
        </w:rPr>
      </w:pPr>
    </w:p>
    <w:p>
      <w:pPr>
        <w:ind w:left="200"/>
        <w:spacing w:after="0"/>
        <w:tabs>
          <w:tab w:leader="none" w:pos="3000" w:val="left"/>
          <w:tab w:leader="none" w:pos="6920" w:val="left"/>
          <w:tab w:leader="none" w:pos="8780" w:val="left"/>
          <w:tab w:leader="none" w:pos="10200" w:val="left"/>
        </w:tabs>
        <w:rPr>
          <w:sz w:val="20"/>
          <w:szCs w:val="20"/>
          <w:color w:val="auto"/>
        </w:rPr>
      </w:pPr>
      <w:r>
        <w:rPr>
          <w:rFonts w:ascii="Arial" w:cs="Arial" w:eastAsia="Arial" w:hAnsi="Arial"/>
          <w:sz w:val="14"/>
          <w:szCs w:val="14"/>
          <w:i w:val="1"/>
          <w:iCs w:val="1"/>
          <w:color w:val="32406B"/>
        </w:rPr>
        <w:t>JMP SECURITIES</w:t>
      </w:r>
      <w:r>
        <w:rPr>
          <w:sz w:val="20"/>
          <w:szCs w:val="20"/>
          <w:color w:val="auto"/>
        </w:rPr>
        <w:tab/>
      </w:r>
      <w:r>
        <w:rPr>
          <w:rFonts w:ascii="Arial" w:cs="Arial" w:eastAsia="Arial" w:hAnsi="Arial"/>
          <w:sz w:val="14"/>
          <w:szCs w:val="14"/>
          <w:i w:val="1"/>
          <w:iCs w:val="1"/>
          <w:color w:val="32406B"/>
        </w:rPr>
        <w:t>KEYBANC CAPITAL MARKETS</w:t>
      </w:r>
      <w:r>
        <w:rPr>
          <w:sz w:val="20"/>
          <w:szCs w:val="20"/>
          <w:color w:val="auto"/>
        </w:rPr>
        <w:tab/>
      </w:r>
      <w:r>
        <w:rPr>
          <w:rFonts w:ascii="Arial" w:cs="Arial" w:eastAsia="Arial" w:hAnsi="Arial"/>
          <w:sz w:val="14"/>
          <w:szCs w:val="14"/>
          <w:i w:val="1"/>
          <w:iCs w:val="1"/>
          <w:color w:val="32406B"/>
        </w:rPr>
        <w:t>PIPER JAFFRAY</w:t>
      </w:r>
      <w:r>
        <w:rPr>
          <w:sz w:val="20"/>
          <w:szCs w:val="20"/>
          <w:color w:val="auto"/>
        </w:rPr>
        <w:tab/>
      </w:r>
      <w:r>
        <w:rPr>
          <w:rFonts w:ascii="Arial" w:cs="Arial" w:eastAsia="Arial" w:hAnsi="Arial"/>
          <w:sz w:val="14"/>
          <w:szCs w:val="14"/>
          <w:i w:val="1"/>
          <w:iCs w:val="1"/>
          <w:color w:val="32406B"/>
        </w:rPr>
        <w:t>STIFEL</w:t>
      </w:r>
      <w:r>
        <w:rPr>
          <w:sz w:val="20"/>
          <w:szCs w:val="20"/>
          <w:color w:val="auto"/>
        </w:rPr>
        <w:tab/>
      </w:r>
      <w:r>
        <w:rPr>
          <w:rFonts w:ascii="Arial" w:cs="Arial" w:eastAsia="Arial" w:hAnsi="Arial"/>
          <w:sz w:val="13"/>
          <w:szCs w:val="13"/>
          <w:i w:val="1"/>
          <w:iCs w:val="1"/>
          <w:color w:val="32406B"/>
        </w:rPr>
        <w:t>WILLIAM BLAIR</w:t>
      </w:r>
    </w:p>
    <w:p>
      <w:pPr>
        <w:sectPr>
          <w:pgSz w:w="11900" w:h="16838" w:orient="portrait"/>
          <w:cols w:equalWidth="0" w:num="1">
            <w:col w:w="11220"/>
          </w:cols>
          <w:pgMar w:left="240" w:top="230" w:right="439" w:bottom="1440" w:gutter="0" w:footer="0" w:header="0"/>
        </w:sectPr>
      </w:pPr>
    </w:p>
    <w:p>
      <w:pPr>
        <w:spacing w:after="0" w:line="208" w:lineRule="exact"/>
        <w:rPr>
          <w:sz w:val="24"/>
          <w:szCs w:val="24"/>
          <w:color w:val="auto"/>
        </w:rPr>
      </w:pPr>
    </w:p>
    <w:p>
      <w:pPr>
        <w:ind w:left="200"/>
        <w:spacing w:after="0"/>
        <w:rPr>
          <w:sz w:val="20"/>
          <w:szCs w:val="20"/>
          <w:color w:val="auto"/>
        </w:rPr>
      </w:pPr>
      <w:r>
        <w:rPr>
          <w:rFonts w:ascii="Arial" w:cs="Arial" w:eastAsia="Arial" w:hAnsi="Arial"/>
          <w:sz w:val="16"/>
          <w:szCs w:val="16"/>
          <w:i w:val="1"/>
          <w:iCs w:val="1"/>
          <w:color w:val="32406B"/>
        </w:rPr>
        <w:t>April 17,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6671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88585" cy="66719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3336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8585" cy="3336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32406B"/>
        </w:rPr>
        <w:t>TABLE OF CONTENTS</w:t>
      </w: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Prospectus</w:t>
      </w:r>
    </w:p>
    <w:p>
      <w:pPr>
        <w:sectPr>
          <w:pgSz w:w="11900" w:h="16838" w:orient="portrait"/>
          <w:cols w:equalWidth="0" w:num="1">
            <w:col w:w="11200"/>
          </w:cols>
          <w:pgMar w:left="240" w:top="459" w:right="459" w:bottom="1440" w:gutter="0" w:footer="0" w:header="0"/>
        </w:sectPr>
      </w:pP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PROSPECTUS SUMMARY</w:t>
              </w:r>
            </w:hyperlink>
          </w:p>
        </w:tc>
        <w:tc>
          <w:tcPr>
            <w:tcW w:w="2760" w:type="dxa"/>
            <w:vAlign w:val="bottom"/>
            <w:gridSpan w:val="8"/>
            <w:vMerge w:val="restart"/>
          </w:tcPr>
          <w:p>
            <w:pPr>
              <w:spacing w:after="0"/>
              <w:rPr>
                <w:sz w:val="14"/>
                <w:szCs w:val="14"/>
                <w:color w:val="auto"/>
              </w:rPr>
            </w:pPr>
          </w:p>
        </w:tc>
        <w:tc>
          <w:tcPr>
            <w:tcW w:w="360" w:type="dxa"/>
            <w:vAlign w:val="bottom"/>
            <w:tcBorders>
              <w:bottom w:val="single" w:sz="8" w:color="32406B"/>
            </w:tcBorders>
          </w:tcPr>
          <w:p>
            <w:pPr>
              <w:jc w:val="right"/>
              <w:spacing w:after="0"/>
              <w:rPr>
                <w:sz w:val="20"/>
                <w:szCs w:val="20"/>
                <w:color w:val="auto"/>
              </w:rPr>
            </w:pPr>
            <w:r>
              <w:rPr>
                <w:rFonts w:ascii="Arial" w:cs="Arial" w:eastAsia="Arial" w:hAnsi="Arial"/>
                <w:sz w:val="14"/>
                <w:szCs w:val="14"/>
                <w:b w:val="1"/>
                <w:bCs w:val="1"/>
                <w:color w:val="32406B"/>
                <w:w w:val="89"/>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760" w:type="dxa"/>
            <w:vAlign w:val="bottom"/>
            <w:gridSpan w:val="8"/>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32406B"/>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RISK FACTORS</w:t>
              </w:r>
            </w:hyperlink>
          </w:p>
        </w:tc>
        <w:tc>
          <w:tcPr>
            <w:tcW w:w="36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13</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SPECIAL NOTE REGARDING FORWARD-LOOKING</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STATEMENTS</w:t>
              </w:r>
            </w:hyperlink>
          </w:p>
        </w:tc>
        <w:tc>
          <w:tcPr>
            <w:tcW w:w="7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44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MARKET AND INDUSTRY DATA</w:t>
              </w:r>
            </w:hyperlink>
          </w:p>
        </w:tc>
        <w:tc>
          <w:tcPr>
            <w:tcW w:w="22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45</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USE OF PROCEEDS</w:t>
              </w:r>
            </w:hyperlink>
          </w:p>
        </w:tc>
        <w:tc>
          <w:tcPr>
            <w:tcW w:w="32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46</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DIVIDEND POLICY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46</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CAPITALIZATION</w:t>
              </w:r>
            </w:hyperlink>
          </w:p>
        </w:tc>
        <w:tc>
          <w:tcPr>
            <w:tcW w:w="32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47</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4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50</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SELECTED CONSOLIDATED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53</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FINANCIAL CONDITION AND RESULTS OF</w:t>
              </w:r>
            </w:hyperlink>
          </w:p>
        </w:tc>
        <w:tc>
          <w:tcPr>
            <w:tcW w:w="480" w:type="dxa"/>
            <w:vAlign w:val="bottom"/>
            <w:tcBorders>
              <w:top w:val="single" w:sz="8" w:color="0000EE"/>
            </w:tcBorders>
            <w:gridSpan w:val="3"/>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468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55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A LETTER FROM ERIC S. YUAN</w:t>
              </w:r>
            </w:hyperlink>
          </w:p>
        </w:tc>
        <w:tc>
          <w:tcPr>
            <w:tcW w:w="22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76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BUSINESS</w:t>
              </w:r>
            </w:hyperlink>
          </w:p>
        </w:tc>
        <w:tc>
          <w:tcPr>
            <w:tcW w:w="40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77</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93</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EXECUTIVE COMPENSATION</w:t>
              </w:r>
            </w:hyperlink>
          </w:p>
        </w:tc>
        <w:tc>
          <w:tcPr>
            <w:tcW w:w="240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32406B"/>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20" w:type="dxa"/>
            <w:vAlign w:val="bottom"/>
            <w:gridSpan w:val="15"/>
            <w:vMerge w:val="restart"/>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PARTY</w:t>
              </w:r>
            </w:hyperlink>
          </w:p>
        </w:tc>
        <w:tc>
          <w:tcPr>
            <w:tcW w:w="320" w:type="dxa"/>
            <w:vAlign w:val="bottom"/>
            <w:tcBorders>
              <w:bottom w:val="single" w:sz="8" w:color="32406B"/>
            </w:tcBorders>
          </w:tcPr>
          <w:p>
            <w:pPr>
              <w:jc w:val="right"/>
              <w:spacing w:after="0"/>
              <w:rPr>
                <w:sz w:val="20"/>
                <w:szCs w:val="20"/>
                <w:color w:val="auto"/>
              </w:rPr>
            </w:pPr>
            <w:r>
              <w:rPr>
                <w:rFonts w:ascii="Arial" w:cs="Arial" w:eastAsia="Arial" w:hAnsi="Arial"/>
                <w:sz w:val="14"/>
                <w:szCs w:val="14"/>
                <w:b w:val="1"/>
                <w:bCs w:val="1"/>
                <w:color w:val="32406B"/>
                <w:w w:val="83"/>
              </w:rPr>
              <w:t>Page</w:t>
            </w:r>
          </w:p>
        </w:tc>
        <w:tc>
          <w:tcPr>
            <w:tcW w:w="0" w:type="dxa"/>
            <w:vAlign w:val="bottom"/>
          </w:tcPr>
          <w:p>
            <w:pPr>
              <w:spacing w:after="0"/>
              <w:rPr>
                <w:sz w:val="1"/>
                <w:szCs w:val="1"/>
                <w:color w:val="auto"/>
              </w:rPr>
            </w:pPr>
          </w:p>
        </w:tc>
      </w:tr>
      <w:tr>
        <w:trPr>
          <w:trHeight w:val="156"/>
        </w:trPr>
        <w:tc>
          <w:tcPr>
            <w:tcW w:w="5020" w:type="dxa"/>
            <w:vAlign w:val="bottom"/>
            <w:gridSpan w:val="15"/>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116</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PRINCIPAL AND SELLING STOCKHOLDERS</w:t>
              </w:r>
            </w:hyperlink>
          </w:p>
        </w:tc>
        <w:tc>
          <w:tcPr>
            <w:tcW w:w="14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119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28">
              <w:r>
                <w:rPr>
                  <w:rFonts w:ascii="Arial" w:cs="Arial" w:eastAsia="Arial" w:hAnsi="Arial"/>
                  <w:sz w:val="18"/>
                  <w:szCs w:val="18"/>
                  <w:color w:val="0000EE"/>
                  <w:w w:val="95"/>
                </w:rPr>
                <w:t>DESCRIPTION OF CAPITAL STOCK</w:t>
              </w:r>
            </w:hyperlink>
          </w:p>
        </w:tc>
        <w:tc>
          <w:tcPr>
            <w:tcW w:w="21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124</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131</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MATERIAL U.S. FEDERAL INCOME TAX</w:t>
              </w:r>
            </w:hyperlink>
          </w:p>
        </w:tc>
        <w:tc>
          <w:tcPr>
            <w:tcW w:w="17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40" w:type="dxa"/>
            <w:vAlign w:val="bottom"/>
            <w:gridSpan w:val="1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CONSEQUENCES TO NON-U.S. HOLDERS OF OUR</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CLASS A COMMON STOCK</w:t>
              </w:r>
            </w:hyperlink>
          </w:p>
        </w:tc>
        <w:tc>
          <w:tcPr>
            <w:tcW w:w="1840" w:type="dxa"/>
            <w:vAlign w:val="bottom"/>
            <w:tcBorders>
              <w:top w:val="single" w:sz="8" w:color="0000EE"/>
            </w:tcBorders>
            <w:gridSpan w:val="7"/>
          </w:tcPr>
          <w:p>
            <w:pPr>
              <w:spacing w:after="0"/>
              <w:rPr>
                <w:sz w:val="17"/>
                <w:szCs w:val="17"/>
                <w:color w:val="auto"/>
              </w:rPr>
            </w:pPr>
          </w:p>
        </w:tc>
        <w:tc>
          <w:tcPr>
            <w:tcW w:w="7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134</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138</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52">
              <w:r>
                <w:rPr>
                  <w:rFonts w:ascii="Arial" w:cs="Arial" w:eastAsia="Arial" w:hAnsi="Arial"/>
                  <w:sz w:val="18"/>
                  <w:szCs w:val="18"/>
                  <w:color w:val="0000EE"/>
                  <w:w w:val="96"/>
                </w:rPr>
                <w:t>CONCURRENT PRIVATE PLACEMENT</w:t>
              </w:r>
            </w:hyperlink>
          </w:p>
        </w:tc>
        <w:tc>
          <w:tcPr>
            <w:tcW w:w="18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148</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148</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148</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148</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153">
              <w:r>
                <w:rPr>
                  <w:rFonts w:ascii="Arial" w:cs="Arial" w:eastAsia="Arial" w:hAnsi="Arial"/>
                  <w:sz w:val="18"/>
                  <w:szCs w:val="18"/>
                  <w:color w:val="0000EE"/>
                  <w:w w:val="97"/>
                </w:rPr>
                <w:t>INDEX TO CONSOLIDATED FINANCIAL STATEMENTS</w:t>
              </w:r>
            </w:hyperlink>
          </w:p>
        </w:tc>
        <w:tc>
          <w:tcPr>
            <w:tcW w:w="5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20" w:space="400"/>
            <w:col w:w="5380"/>
          </w:cols>
          <w:pgMar w:left="240" w:top="459" w:right="45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85"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7"/>
          <w:szCs w:val="17"/>
          <w:b w:val="1"/>
          <w:bCs w:val="1"/>
          <w:color w:val="32406B"/>
        </w:rPr>
        <w:t>Through and including May 12,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32406B"/>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i</w:t>
      </w:r>
    </w:p>
    <w:p>
      <w:pPr>
        <w:sectPr>
          <w:pgSz w:w="11900" w:h="16838" w:orient="portrait"/>
          <w:cols w:equalWidth="0" w:num="1">
            <w:col w:w="11200"/>
          </w:cols>
          <w:pgMar w:left="240" w:top="459" w:right="4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32406B"/>
        </w:rPr>
        <w:t>PROSPECTUS SUMMARY</w:t>
      </w:r>
    </w:p>
    <w:p>
      <w:pPr>
        <w:spacing w:after="0" w:line="229"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i w:val="1"/>
          <w:iCs w:val="1"/>
          <w:color w:val="32406B"/>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January 31. Unless the context otherwise requires, all references in this prospectus to “we,” “us,” “our,” “our company” and “Zoom” refer to Zoom Video Communications, Inc. Unless otherwise indicated, references to our “common stock” include our Class A common stock and Class B common stock.</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32406B"/>
        </w:rPr>
        <w:t>ZOOM VIDEO COMMUNICATIONS, INC.</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Our mission is to make video communications frictionless.</w:t>
      </w:r>
    </w:p>
    <w:p>
      <w:pPr>
        <w:spacing w:after="0" w:line="225"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32406B"/>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65" w:lineRule="exact"/>
        <w:rPr>
          <w:sz w:val="20"/>
          <w:szCs w:val="20"/>
          <w:color w:val="auto"/>
        </w:rPr>
      </w:pPr>
    </w:p>
    <w:p>
      <w:pPr>
        <w:ind w:left="380" w:right="20" w:firstLine="426"/>
        <w:spacing w:after="0" w:line="272" w:lineRule="auto"/>
        <w:rPr>
          <w:sz w:val="20"/>
          <w:szCs w:val="20"/>
          <w:color w:val="auto"/>
        </w:rPr>
      </w:pPr>
      <w:r>
        <w:rPr>
          <w:rFonts w:ascii="Arial" w:cs="Arial" w:eastAsia="Arial" w:hAnsi="Arial"/>
          <w:sz w:val="17"/>
          <w:szCs w:val="17"/>
          <w:color w:val="32406B"/>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32406B"/>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32406B"/>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380" w:right="160" w:firstLine="426"/>
        <w:spacing w:after="0" w:line="259" w:lineRule="auto"/>
        <w:rPr>
          <w:sz w:val="20"/>
          <w:szCs w:val="20"/>
          <w:color w:val="auto"/>
        </w:rPr>
      </w:pPr>
      <w:r>
        <w:rPr>
          <w:rFonts w:ascii="Arial" w:cs="Arial" w:eastAsia="Arial" w:hAnsi="Arial"/>
          <w:sz w:val="18"/>
          <w:szCs w:val="18"/>
          <w:color w:val="32406B"/>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32406B"/>
        </w:rPr>
        <w:t>1</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9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300"/>
        <w:spacing w:after="0" w:line="286" w:lineRule="auto"/>
        <w:rPr>
          <w:sz w:val="20"/>
          <w:szCs w:val="20"/>
          <w:color w:val="auto"/>
        </w:rPr>
      </w:pPr>
      <w:r>
        <w:rPr>
          <w:rFonts w:ascii="Arial" w:cs="Arial" w:eastAsia="Arial" w:hAnsi="Arial"/>
          <w:sz w:val="17"/>
          <w:szCs w:val="17"/>
          <w:color w:val="32406B"/>
        </w:rPr>
        <w:t>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32406B"/>
        </w:rPr>
        <w:t>The happiness we bring is recognized by customers and industry analysts alike. In 2018, our average customer Net Promoter Score (NPS) was over 70.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73"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32406B"/>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78"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32406B"/>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ind w:left="380" w:right="120"/>
        <w:spacing w:after="0" w:line="295" w:lineRule="auto"/>
        <w:rPr>
          <w:sz w:val="20"/>
          <w:szCs w:val="20"/>
          <w:color w:val="auto"/>
        </w:rPr>
      </w:pPr>
      <w:r>
        <w:rPr>
          <w:rFonts w:ascii="Arial" w:cs="Arial" w:eastAsia="Arial" w:hAnsi="Arial"/>
          <w:sz w:val="16"/>
          <w:szCs w:val="16"/>
          <w:color w:val="32406B"/>
        </w:rPr>
        <w:t>$60.8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Industry Trends in Our Favor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32406B"/>
        </w:rPr>
        <w:t>Communication is at the Center of Organizational Performance</w:t>
      </w:r>
    </w:p>
    <w:p>
      <w:pPr>
        <w:spacing w:after="0" w:line="117" w:lineRule="exact"/>
        <w:rPr>
          <w:sz w:val="20"/>
          <w:szCs w:val="20"/>
          <w:color w:val="auto"/>
        </w:rPr>
      </w:pPr>
    </w:p>
    <w:p>
      <w:pPr>
        <w:jc w:val="both"/>
        <w:ind w:left="380" w:right="360" w:firstLine="426"/>
        <w:spacing w:after="0" w:line="264" w:lineRule="auto"/>
        <w:rPr>
          <w:sz w:val="20"/>
          <w:szCs w:val="20"/>
          <w:color w:val="auto"/>
        </w:rPr>
      </w:pPr>
      <w:r>
        <w:rPr>
          <w:rFonts w:ascii="Arial" w:cs="Arial" w:eastAsia="Arial" w:hAnsi="Arial"/>
          <w:sz w:val="18"/>
          <w:szCs w:val="18"/>
          <w:color w:val="32406B"/>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32406B"/>
        </w:rPr>
        <w:t>Communication and Collaboration Must Evolve as the Nature of Work is Changing</w:t>
      </w:r>
    </w:p>
    <w:p>
      <w:pPr>
        <w:spacing w:after="0" w:line="117" w:lineRule="exact"/>
        <w:rPr>
          <w:sz w:val="20"/>
          <w:szCs w:val="20"/>
          <w:color w:val="auto"/>
        </w:rPr>
      </w:pPr>
    </w:p>
    <w:p>
      <w:pPr>
        <w:ind w:left="380" w:right="740" w:firstLine="426"/>
        <w:spacing w:after="0" w:line="277" w:lineRule="auto"/>
        <w:rPr>
          <w:sz w:val="20"/>
          <w:szCs w:val="20"/>
          <w:color w:val="auto"/>
        </w:rPr>
      </w:pPr>
      <w:r>
        <w:rPr>
          <w:rFonts w:ascii="Arial" w:cs="Arial" w:eastAsia="Arial" w:hAnsi="Arial"/>
          <w:sz w:val="18"/>
          <w:szCs w:val="18"/>
          <w:color w:val="32406B"/>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220" w:right="40" w:hanging="415"/>
        <w:spacing w:after="0" w:line="264" w:lineRule="auto"/>
        <w:tabs>
          <w:tab w:leader="none" w:pos="1220" w:val="left"/>
        </w:tabs>
        <w:numPr>
          <w:ilvl w:val="0"/>
          <w:numId w:val="2"/>
        </w:numPr>
        <w:rPr>
          <w:rFonts w:ascii="Arial" w:cs="Arial" w:eastAsia="Arial" w:hAnsi="Arial"/>
          <w:sz w:val="18"/>
          <w:szCs w:val="18"/>
          <w:color w:val="32406B"/>
        </w:rPr>
      </w:pPr>
      <w:r>
        <w:rPr>
          <w:rFonts w:ascii="Arial" w:cs="Arial" w:eastAsia="Arial" w:hAnsi="Arial"/>
          <w:sz w:val="18"/>
          <w:szCs w:val="18"/>
          <w:b w:val="1"/>
          <w:bCs w:val="1"/>
          <w:i w:val="1"/>
          <w:iCs w:val="1"/>
          <w:color w:val="32406B"/>
        </w:rPr>
        <w:t>Employees are increasingly distributed</w:t>
      </w:r>
      <w:r>
        <w:rPr>
          <w:rFonts w:ascii="Arial" w:cs="Arial" w:eastAsia="Arial" w:hAnsi="Arial"/>
          <w:sz w:val="18"/>
          <w:szCs w:val="18"/>
          <w:color w:val="32406B"/>
        </w:rPr>
        <w:t>. Historically, teams were physically located together, even in the largest organizations, to drive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productivity. Mobile and cloud technologies and ubiquitous network connectivity have enabled modern organizations to be increasingly distributed.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2</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32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332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line="257"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b w:val="1"/>
          <w:bCs w:val="1"/>
          <w:i w:val="1"/>
          <w:iCs w:val="1"/>
          <w:color w:val="32406B"/>
        </w:rPr>
        <w:t>Organizations seek to drive deeper engagement with employees, customers and partners</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People derive more personal satisfaction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93" w:lineRule="exact"/>
        <w:rPr>
          <w:rFonts w:ascii="Arial" w:cs="Arial" w:eastAsia="Arial" w:hAnsi="Arial"/>
          <w:sz w:val="18"/>
          <w:szCs w:val="18"/>
          <w:color w:val="32406B"/>
        </w:rPr>
      </w:pPr>
    </w:p>
    <w:p>
      <w:pPr>
        <w:ind w:left="1220" w:hanging="415"/>
        <w:spacing w:after="0" w:line="259"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Workforce demographics are changing. </w:t>
      </w:r>
      <w:r>
        <w:rPr>
          <w:rFonts w:ascii="Arial" w:cs="Arial" w:eastAsia="Arial" w:hAnsi="Arial"/>
          <w:sz w:val="18"/>
          <w:szCs w:val="18"/>
          <w:color w:val="32406B"/>
        </w:rPr>
        <w:t>Shifting demographics alongside increasingly distributed workforces increase the need for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92" w:lineRule="exact"/>
        <w:rPr>
          <w:rFonts w:ascii="Arial" w:cs="Arial" w:eastAsia="Arial" w:hAnsi="Arial"/>
          <w:sz w:val="18"/>
          <w:szCs w:val="18"/>
          <w:color w:val="32406B"/>
        </w:rPr>
      </w:pPr>
    </w:p>
    <w:p>
      <w:pPr>
        <w:jc w:val="both"/>
        <w:ind w:left="1220" w:right="80" w:hanging="415"/>
        <w:spacing w:after="0" w:line="264" w:lineRule="auto"/>
        <w:tabs>
          <w:tab w:leader="none" w:pos="1220" w:val="left"/>
        </w:tabs>
        <w:numPr>
          <w:ilvl w:val="0"/>
          <w:numId w:val="3"/>
        </w:numPr>
        <w:rPr>
          <w:rFonts w:ascii="Arial" w:cs="Arial" w:eastAsia="Arial" w:hAnsi="Arial"/>
          <w:sz w:val="18"/>
          <w:szCs w:val="18"/>
          <w:color w:val="32406B"/>
        </w:rPr>
      </w:pPr>
      <w:r>
        <w:rPr>
          <w:rFonts w:ascii="Arial" w:cs="Arial" w:eastAsia="Arial" w:hAnsi="Arial"/>
          <w:sz w:val="18"/>
          <w:szCs w:val="18"/>
          <w:b w:val="1"/>
          <w:bCs w:val="1"/>
          <w:i w:val="1"/>
          <w:iCs w:val="1"/>
          <w:color w:val="32406B"/>
        </w:rPr>
        <w:t>Employees are influencing IT decisions</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Employees are increasingly the primary force for IT modernization at work as they bring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latest technologies from their personal lives to their jobs. Employees often expect to seamlessly communicate on any device and across mediums and, as a result, are increasingly influencing IT decisions.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32406B"/>
        </w:rPr>
        <w:t>Organizations Need a Comprehensive Platform that Enables Modern Communication</w:t>
      </w:r>
    </w:p>
    <w:p>
      <w:pPr>
        <w:spacing w:after="0" w:line="117"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32406B"/>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To effectively enable modern communication, a comprehensive platform must have the following qualities:</w:t>
      </w:r>
    </w:p>
    <w:p>
      <w:pPr>
        <w:spacing w:after="0" w:line="131" w:lineRule="exact"/>
        <w:rPr>
          <w:sz w:val="20"/>
          <w:szCs w:val="20"/>
          <w:color w:val="auto"/>
        </w:rPr>
      </w:pPr>
    </w:p>
    <w:p>
      <w:pPr>
        <w:ind w:left="1220" w:right="180" w:hanging="415"/>
        <w:spacing w:after="0" w:line="277" w:lineRule="auto"/>
        <w:tabs>
          <w:tab w:leader="none" w:pos="1220" w:val="left"/>
        </w:tabs>
        <w:numPr>
          <w:ilvl w:val="0"/>
          <w:numId w:val="4"/>
        </w:numPr>
        <w:rPr>
          <w:rFonts w:ascii="Arial" w:cs="Arial" w:eastAsia="Arial" w:hAnsi="Arial"/>
          <w:sz w:val="18"/>
          <w:szCs w:val="18"/>
          <w:color w:val="32406B"/>
        </w:rPr>
      </w:pPr>
      <w:r>
        <w:rPr>
          <w:rFonts w:ascii="Arial" w:cs="Arial" w:eastAsia="Arial" w:hAnsi="Arial"/>
          <w:sz w:val="18"/>
          <w:szCs w:val="18"/>
          <w:b w:val="1"/>
          <w:bCs w:val="1"/>
          <w:i w:val="1"/>
          <w:iCs w:val="1"/>
          <w:color w:val="32406B"/>
        </w:rPr>
        <w:t>Reliable, high-quality communications</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Organizations have a significant need for a platform that reliably delivers high-quality video</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and voice, even with varying levels of network performance.</w:t>
      </w:r>
    </w:p>
    <w:p>
      <w:pPr>
        <w:spacing w:after="0" w:line="75" w:lineRule="exact"/>
        <w:rPr>
          <w:rFonts w:ascii="Arial" w:cs="Arial" w:eastAsia="Arial" w:hAnsi="Arial"/>
          <w:sz w:val="18"/>
          <w:szCs w:val="18"/>
          <w:color w:val="32406B"/>
        </w:rPr>
      </w:pPr>
    </w:p>
    <w:p>
      <w:pPr>
        <w:jc w:val="both"/>
        <w:ind w:left="1220" w:right="680" w:hanging="415"/>
        <w:spacing w:after="0" w:line="342" w:lineRule="auto"/>
        <w:tabs>
          <w:tab w:leader="none" w:pos="1220" w:val="left"/>
        </w:tabs>
        <w:numPr>
          <w:ilvl w:val="0"/>
          <w:numId w:val="4"/>
        </w:numPr>
        <w:rPr>
          <w:rFonts w:ascii="Arial" w:cs="Arial" w:eastAsia="Arial" w:hAnsi="Arial"/>
          <w:sz w:val="16"/>
          <w:szCs w:val="16"/>
          <w:color w:val="32406B"/>
        </w:rPr>
      </w:pPr>
      <w:r>
        <w:rPr>
          <w:rFonts w:ascii="Arial" w:cs="Arial" w:eastAsia="Arial" w:hAnsi="Arial"/>
          <w:sz w:val="16"/>
          <w:szCs w:val="16"/>
          <w:b w:val="1"/>
          <w:bCs w:val="1"/>
          <w:i w:val="1"/>
          <w:iCs w:val="1"/>
          <w:color w:val="32406B"/>
        </w:rPr>
        <w:t>Easy to use</w:t>
      </w:r>
      <w:r>
        <w:rPr>
          <w:rFonts w:ascii="Arial" w:cs="Arial" w:eastAsia="Arial" w:hAnsi="Arial"/>
          <w:sz w:val="16"/>
          <w:szCs w:val="16"/>
          <w:i w:val="1"/>
          <w:i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To drive broad adoption, a platform’s user interface must be intuitive and easily navigable. In addition, users want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solutions that have feature parity across devices and seamlessly integrate with their calendars, contacts and overall workflows.</w:t>
      </w:r>
    </w:p>
    <w:p>
      <w:pPr>
        <w:spacing w:after="0" w:line="29" w:lineRule="exact"/>
        <w:rPr>
          <w:rFonts w:ascii="Arial" w:cs="Arial" w:eastAsia="Arial" w:hAnsi="Arial"/>
          <w:sz w:val="16"/>
          <w:szCs w:val="16"/>
          <w:color w:val="32406B"/>
        </w:rPr>
      </w:pPr>
    </w:p>
    <w:p>
      <w:pPr>
        <w:ind w:left="1220" w:right="140" w:hanging="415"/>
        <w:spacing w:after="0" w:line="342" w:lineRule="auto"/>
        <w:tabs>
          <w:tab w:leader="none" w:pos="1220" w:val="left"/>
        </w:tabs>
        <w:numPr>
          <w:ilvl w:val="0"/>
          <w:numId w:val="4"/>
        </w:numPr>
        <w:rPr>
          <w:rFonts w:ascii="Arial" w:cs="Arial" w:eastAsia="Arial" w:hAnsi="Arial"/>
          <w:sz w:val="16"/>
          <w:szCs w:val="16"/>
          <w:color w:val="32406B"/>
        </w:rPr>
      </w:pPr>
      <w:r>
        <w:rPr>
          <w:rFonts w:ascii="Arial" w:cs="Arial" w:eastAsia="Arial" w:hAnsi="Arial"/>
          <w:sz w:val="16"/>
          <w:szCs w:val="16"/>
          <w:b w:val="1"/>
          <w:bCs w:val="1"/>
          <w:i w:val="1"/>
          <w:iCs w:val="1"/>
          <w:color w:val="32406B"/>
        </w:rPr>
        <w:t>Easy to deploy and manage</w:t>
      </w:r>
      <w:r>
        <w:rPr>
          <w:rFonts w:ascii="Arial" w:cs="Arial" w:eastAsia="Arial" w:hAnsi="Arial"/>
          <w:sz w:val="16"/>
          <w:szCs w:val="16"/>
          <w:i w:val="1"/>
          <w:i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Organizations want a single platform that is easy to deploy, leverages existing network infrastructure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conference room hardware and is simple to manage at scale through an intuitive administrative console and reporting system.</w:t>
      </w:r>
    </w:p>
    <w:p>
      <w:pPr>
        <w:spacing w:after="0" w:line="29" w:lineRule="exact"/>
        <w:rPr>
          <w:rFonts w:ascii="Arial" w:cs="Arial" w:eastAsia="Arial" w:hAnsi="Arial"/>
          <w:sz w:val="16"/>
          <w:szCs w:val="16"/>
          <w:color w:val="32406B"/>
        </w:rPr>
      </w:pPr>
    </w:p>
    <w:p>
      <w:pPr>
        <w:ind w:left="1220" w:right="20" w:hanging="415"/>
        <w:spacing w:after="0" w:line="264" w:lineRule="auto"/>
        <w:tabs>
          <w:tab w:leader="none" w:pos="1220" w:val="left"/>
        </w:tabs>
        <w:numPr>
          <w:ilvl w:val="0"/>
          <w:numId w:val="4"/>
        </w:numPr>
        <w:rPr>
          <w:rFonts w:ascii="Arial" w:cs="Arial" w:eastAsia="Arial" w:hAnsi="Arial"/>
          <w:sz w:val="18"/>
          <w:szCs w:val="18"/>
          <w:color w:val="32406B"/>
        </w:rPr>
      </w:pPr>
      <w:r>
        <w:rPr>
          <w:rFonts w:ascii="Arial" w:cs="Arial" w:eastAsia="Arial" w:hAnsi="Arial"/>
          <w:sz w:val="18"/>
          <w:szCs w:val="18"/>
          <w:b w:val="1"/>
          <w:bCs w:val="1"/>
          <w:i w:val="1"/>
          <w:iCs w:val="1"/>
          <w:color w:val="32406B"/>
        </w:rPr>
        <w:t>Attractive return on investment</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Organizations want a single platform that not only reduces the costs of proprietary infrastructure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conference room investments but also provides other opportunities for further cost savings, such as reducing unnecessary and expensive business travel.</w:t>
      </w:r>
    </w:p>
    <w:p>
      <w:pPr>
        <w:spacing w:after="0" w:line="86" w:lineRule="exact"/>
        <w:rPr>
          <w:rFonts w:ascii="Arial" w:cs="Arial" w:eastAsia="Arial" w:hAnsi="Arial"/>
          <w:sz w:val="18"/>
          <w:szCs w:val="18"/>
          <w:color w:val="32406B"/>
        </w:rPr>
      </w:pPr>
    </w:p>
    <w:p>
      <w:pPr>
        <w:ind w:left="1220" w:hanging="415"/>
        <w:spacing w:after="0"/>
        <w:tabs>
          <w:tab w:leader="none" w:pos="1220" w:val="left"/>
        </w:tabs>
        <w:numPr>
          <w:ilvl w:val="0"/>
          <w:numId w:val="4"/>
        </w:numPr>
        <w:rPr>
          <w:rFonts w:ascii="Arial" w:cs="Arial" w:eastAsia="Arial" w:hAnsi="Arial"/>
          <w:sz w:val="17"/>
          <w:szCs w:val="17"/>
          <w:color w:val="32406B"/>
        </w:rPr>
      </w:pPr>
      <w:r>
        <w:rPr>
          <w:rFonts w:ascii="Arial" w:cs="Arial" w:eastAsia="Arial" w:hAnsi="Arial"/>
          <w:sz w:val="17"/>
          <w:szCs w:val="17"/>
          <w:b w:val="1"/>
          <w:bCs w:val="1"/>
          <w:i w:val="1"/>
          <w:iCs w:val="1"/>
          <w:color w:val="32406B"/>
        </w:rPr>
        <w:t>Scalability</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Organizations need a communications platform that can be optimized for their footprint and scales as they grow.</w:t>
      </w:r>
    </w:p>
    <w:p>
      <w:pPr>
        <w:spacing w:after="0" w:line="142" w:lineRule="exact"/>
        <w:rPr>
          <w:rFonts w:ascii="Arial" w:cs="Arial" w:eastAsia="Arial" w:hAnsi="Arial"/>
          <w:sz w:val="17"/>
          <w:szCs w:val="17"/>
          <w:color w:val="32406B"/>
        </w:rPr>
      </w:pPr>
    </w:p>
    <w:p>
      <w:pPr>
        <w:ind w:left="1220" w:hanging="415"/>
        <w:spacing w:after="0"/>
        <w:tabs>
          <w:tab w:leader="none" w:pos="1220" w:val="left"/>
        </w:tabs>
        <w:numPr>
          <w:ilvl w:val="0"/>
          <w:numId w:val="4"/>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Integrated. </w:t>
      </w:r>
      <w:r>
        <w:rPr>
          <w:rFonts w:ascii="Arial" w:cs="Arial" w:eastAsia="Arial" w:hAnsi="Arial"/>
          <w:sz w:val="17"/>
          <w:szCs w:val="17"/>
          <w:color w:val="32406B"/>
        </w:rPr>
        <w:t>Organizations need a platform that integrates with their physical workspaces and existing business applications.</w:t>
      </w:r>
    </w:p>
    <w:p>
      <w:pPr>
        <w:spacing w:after="0" w:line="142" w:lineRule="exact"/>
        <w:rPr>
          <w:rFonts w:ascii="Arial" w:cs="Arial" w:eastAsia="Arial" w:hAnsi="Arial"/>
          <w:sz w:val="17"/>
          <w:szCs w:val="17"/>
          <w:color w:val="32406B"/>
        </w:rPr>
      </w:pPr>
    </w:p>
    <w:p>
      <w:pPr>
        <w:ind w:left="1220" w:hanging="415"/>
        <w:spacing w:after="0"/>
        <w:tabs>
          <w:tab w:leader="none" w:pos="1220" w:val="left"/>
        </w:tabs>
        <w:numPr>
          <w:ilvl w:val="0"/>
          <w:numId w:val="4"/>
        </w:numPr>
        <w:rPr>
          <w:rFonts w:ascii="Arial" w:cs="Arial" w:eastAsia="Arial" w:hAnsi="Arial"/>
          <w:sz w:val="17"/>
          <w:szCs w:val="17"/>
          <w:color w:val="32406B"/>
        </w:rPr>
      </w:pPr>
      <w:r>
        <w:rPr>
          <w:rFonts w:ascii="Arial" w:cs="Arial" w:eastAsia="Arial" w:hAnsi="Arial"/>
          <w:sz w:val="17"/>
          <w:szCs w:val="17"/>
          <w:b w:val="1"/>
          <w:bCs w:val="1"/>
          <w:i w:val="1"/>
          <w:iCs w:val="1"/>
          <w:color w:val="32406B"/>
        </w:rPr>
        <w:t>Flexible terms</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Organizations also want to purchase technology under flexible terms that are right-sized for their business needs.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Platform</w:t>
      </w:r>
    </w:p>
    <w:p>
      <w:pPr>
        <w:spacing w:after="0" w:line="121"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32406B"/>
        </w:rPr>
        <w:t>We provide a video-first communications platform that delivers happiness and fundamentally changes how people interact by connecting them through frictionless video, voice, chat and content sharing. Our cloud-native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3</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spacing w:after="0" w:line="277" w:lineRule="auto"/>
        <w:rPr>
          <w:sz w:val="20"/>
          <w:szCs w:val="20"/>
          <w:color w:val="auto"/>
        </w:rPr>
      </w:pPr>
      <w:r>
        <w:rPr>
          <w:rFonts w:ascii="Arial" w:cs="Arial" w:eastAsia="Arial" w:hAnsi="Arial"/>
          <w:sz w:val="18"/>
          <w:szCs w:val="18"/>
          <w:color w:val="32406B"/>
        </w:rPr>
        <w:t>platform enables face-to-face video experiences and connects thousands of users across disparate devices and locations in a single meeting. We strive to make Zoom meetings better than in-person meetings.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Key benefits of our platform include:</w:t>
      </w:r>
    </w:p>
    <w:p>
      <w:pPr>
        <w:spacing w:after="0" w:line="131" w:lineRule="exact"/>
        <w:rPr>
          <w:sz w:val="20"/>
          <w:szCs w:val="20"/>
          <w:color w:val="auto"/>
        </w:rPr>
      </w:pPr>
    </w:p>
    <w:p>
      <w:pPr>
        <w:ind w:left="1220" w:right="180" w:hanging="415"/>
        <w:spacing w:after="0" w:line="286" w:lineRule="auto"/>
        <w:tabs>
          <w:tab w:leader="none" w:pos="1220" w:val="left"/>
        </w:tabs>
        <w:numPr>
          <w:ilvl w:val="0"/>
          <w:numId w:val="5"/>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Reliable, high-quality communications that enable productivity, connectedness and trust. </w:t>
      </w:r>
      <w:r>
        <w:rPr>
          <w:rFonts w:ascii="Arial" w:cs="Arial" w:eastAsia="Arial" w:hAnsi="Arial"/>
          <w:sz w:val="17"/>
          <w:szCs w:val="17"/>
          <w:color w:val="32406B"/>
        </w:rPr>
        <w:t>Our platform delivers a high-quality,</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reliable communications experience across devices even with varying bandwidths and network performance. In fact, our platform can continue to deliver a productive meeting experience even with up to 40% packet loss.</w:t>
      </w:r>
    </w:p>
    <w:p>
      <w:pPr>
        <w:spacing w:after="0" w:line="70" w:lineRule="exact"/>
        <w:rPr>
          <w:rFonts w:ascii="Arial" w:cs="Arial" w:eastAsia="Arial" w:hAnsi="Arial"/>
          <w:sz w:val="17"/>
          <w:szCs w:val="17"/>
          <w:color w:val="32406B"/>
        </w:rPr>
      </w:pPr>
    </w:p>
    <w:p>
      <w:pPr>
        <w:ind w:left="1220" w:right="160" w:hanging="415"/>
        <w:spacing w:after="0" w:line="264" w:lineRule="auto"/>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Easy to use. </w:t>
      </w:r>
      <w:r>
        <w:rPr>
          <w:rFonts w:ascii="Arial" w:cs="Arial" w:eastAsia="Arial" w:hAnsi="Arial"/>
          <w:sz w:val="18"/>
          <w:szCs w:val="18"/>
          <w:color w:val="32406B"/>
        </w:rPr>
        <w:t>We provide a consolidated, intuitive interface for video, voice, chat and content sharing that can be easily navigated even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by first time users. We enable calendar integration, easy synchronization with conference room equipment and feature parity across devices.</w:t>
      </w:r>
    </w:p>
    <w:p>
      <w:pPr>
        <w:spacing w:after="0" w:line="86" w:lineRule="exact"/>
        <w:rPr>
          <w:rFonts w:ascii="Arial" w:cs="Arial" w:eastAsia="Arial" w:hAnsi="Arial"/>
          <w:sz w:val="18"/>
          <w:szCs w:val="18"/>
          <w:color w:val="32406B"/>
        </w:rPr>
      </w:pPr>
    </w:p>
    <w:p>
      <w:pPr>
        <w:ind w:left="1220" w:right="340" w:hanging="415"/>
        <w:spacing w:after="0" w:line="264" w:lineRule="auto"/>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Easy to deploy and manage. </w:t>
      </w:r>
      <w:r>
        <w:rPr>
          <w:rFonts w:ascii="Arial" w:cs="Arial" w:eastAsia="Arial" w:hAnsi="Arial"/>
          <w:sz w:val="18"/>
          <w:szCs w:val="18"/>
          <w:color w:val="32406B"/>
        </w:rPr>
        <w:t>Our cloud-native platform is easy to deploy and manage by both IT administrators and business users,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even when integrating with existing infrastructure. Our platform removes the need for the integration of disparate communications tools, product-specific knowledge and high-touch user support and troubleshooting.</w:t>
      </w:r>
    </w:p>
    <w:p>
      <w:pPr>
        <w:spacing w:after="0" w:line="82" w:lineRule="exact"/>
        <w:rPr>
          <w:rFonts w:ascii="Arial" w:cs="Arial" w:eastAsia="Arial" w:hAnsi="Arial"/>
          <w:sz w:val="18"/>
          <w:szCs w:val="18"/>
          <w:color w:val="32406B"/>
        </w:rPr>
      </w:pPr>
    </w:p>
    <w:p>
      <w:pPr>
        <w:jc w:val="both"/>
        <w:ind w:left="1220" w:right="140" w:hanging="415"/>
        <w:spacing w:after="0" w:line="266" w:lineRule="auto"/>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b w:val="1"/>
          <w:bCs w:val="1"/>
          <w:i w:val="1"/>
          <w:iCs w:val="1"/>
          <w:color w:val="32406B"/>
        </w:rPr>
        <w:t>Attractive return on investment</w:t>
      </w:r>
      <w:r>
        <w:rPr>
          <w:rFonts w:ascii="Arial" w:cs="Arial" w:eastAsia="Arial" w:hAnsi="Arial"/>
          <w:sz w:val="18"/>
          <w:szCs w:val="18"/>
          <w:b w:val="1"/>
          <w:b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Our platform drives higher employee engagement and improved collaboration, resulting in increased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organizational productivity. Switching to our platform also reduces the costs associated with expensive on-premises infrastructure and continual maintenance.</w:t>
      </w:r>
    </w:p>
    <w:p>
      <w:pPr>
        <w:spacing w:after="0" w:line="85" w:lineRule="exact"/>
        <w:rPr>
          <w:rFonts w:ascii="Arial" w:cs="Arial" w:eastAsia="Arial" w:hAnsi="Arial"/>
          <w:sz w:val="18"/>
          <w:szCs w:val="18"/>
          <w:color w:val="32406B"/>
        </w:rPr>
      </w:pPr>
    </w:p>
    <w:p>
      <w:pPr>
        <w:ind w:left="1220" w:right="100" w:hanging="415"/>
        <w:spacing w:after="0" w:line="342" w:lineRule="auto"/>
        <w:tabs>
          <w:tab w:leader="none" w:pos="1220" w:val="left"/>
        </w:tabs>
        <w:numPr>
          <w:ilvl w:val="0"/>
          <w:numId w:val="5"/>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Scalability. </w:t>
      </w:r>
      <w:r>
        <w:rPr>
          <w:rFonts w:ascii="Arial" w:cs="Arial" w:eastAsia="Arial" w:hAnsi="Arial"/>
          <w:sz w:val="16"/>
          <w:szCs w:val="16"/>
          <w:color w:val="32406B"/>
        </w:rPr>
        <w:t>Our cloud-native platform was purpose-built to scale with organizations as they grow in size and complexity. Our platform</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delivers the highest quality experience for organizations of all sizes and for meetings, whether with two or thousands of users.</w:t>
      </w:r>
    </w:p>
    <w:p>
      <w:pPr>
        <w:spacing w:after="0" w:line="29" w:lineRule="exact"/>
        <w:rPr>
          <w:rFonts w:ascii="Arial" w:cs="Arial" w:eastAsia="Arial" w:hAnsi="Arial"/>
          <w:sz w:val="16"/>
          <w:szCs w:val="16"/>
          <w:color w:val="32406B"/>
        </w:rPr>
      </w:pPr>
    </w:p>
    <w:p>
      <w:pPr>
        <w:ind w:left="1220" w:right="160" w:hanging="415"/>
        <w:spacing w:after="0" w:line="264" w:lineRule="auto"/>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Integrated. </w:t>
      </w:r>
      <w:r>
        <w:rPr>
          <w:rFonts w:ascii="Arial" w:cs="Arial" w:eastAsia="Arial" w:hAnsi="Arial"/>
          <w:sz w:val="18"/>
          <w:szCs w:val="18"/>
          <w:color w:val="32406B"/>
        </w:rPr>
        <w:t>Our platform integrates with cloud software applications provided by companies such as Atlassian, Dropbox, Google,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LinkedIn, Microsoft, salesforce.com, Slack and others. We also have an ecosystem of hardware partners through which we deploy our Zoom Rooms and Conference Room Connector offerings.</w:t>
      </w:r>
    </w:p>
    <w:p>
      <w:pPr>
        <w:spacing w:after="0" w:line="86" w:lineRule="exact"/>
        <w:rPr>
          <w:rFonts w:ascii="Arial" w:cs="Arial" w:eastAsia="Arial" w:hAnsi="Arial"/>
          <w:sz w:val="18"/>
          <w:szCs w:val="18"/>
          <w:color w:val="32406B"/>
        </w:rPr>
      </w:pPr>
    </w:p>
    <w:p>
      <w:pPr>
        <w:ind w:left="1220" w:right="780" w:hanging="415"/>
        <w:spacing w:after="0" w:line="277" w:lineRule="auto"/>
        <w:tabs>
          <w:tab w:leader="none" w:pos="1220" w:val="left"/>
        </w:tabs>
        <w:numPr>
          <w:ilvl w:val="0"/>
          <w:numId w:val="5"/>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Flexible terms. </w:t>
      </w:r>
      <w:r>
        <w:rPr>
          <w:rFonts w:ascii="Arial" w:cs="Arial" w:eastAsia="Arial" w:hAnsi="Arial"/>
          <w:sz w:val="18"/>
          <w:szCs w:val="18"/>
          <w:color w:val="32406B"/>
        </w:rPr>
        <w:t>Customers can subscribe to our communications platform based on the number of hosts that they require on a</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month-to-month basis or purchase one- to multi-year subscriptions.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32406B"/>
        </w:rPr>
        <w:t>We believe that we have a number of competitive advantages that will enable us to maintain and extend our leadership in communications.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32406B"/>
        </w:rPr>
        <w:t>Our competitive strengths include:</w:t>
      </w:r>
    </w:p>
    <w:p>
      <w:pPr>
        <w:spacing w:after="0" w:line="116" w:lineRule="exact"/>
        <w:rPr>
          <w:sz w:val="20"/>
          <w:szCs w:val="20"/>
          <w:color w:val="auto"/>
        </w:rPr>
      </w:pPr>
    </w:p>
    <w:p>
      <w:pPr>
        <w:ind w:left="1220" w:right="40" w:hanging="415"/>
        <w:spacing w:after="0" w:line="312" w:lineRule="auto"/>
        <w:tabs>
          <w:tab w:leader="none" w:pos="1220" w:val="left"/>
        </w:tabs>
        <w:numPr>
          <w:ilvl w:val="0"/>
          <w:numId w:val="6"/>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Video-first cloud architecture. </w:t>
      </w:r>
      <w:r>
        <w:rPr>
          <w:rFonts w:ascii="Arial" w:cs="Arial" w:eastAsia="Arial" w:hAnsi="Arial"/>
          <w:sz w:val="16"/>
          <w:szCs w:val="16"/>
          <w:color w:val="32406B"/>
        </w:rPr>
        <w:t>We built our platform from the ground up to be cloud-native and video-first, unlike other approaches</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52" w:lineRule="exact"/>
        <w:rPr>
          <w:rFonts w:ascii="Arial" w:cs="Arial" w:eastAsia="Arial" w:hAnsi="Arial"/>
          <w:sz w:val="16"/>
          <w:szCs w:val="16"/>
          <w:color w:val="32406B"/>
        </w:rPr>
      </w:pPr>
    </w:p>
    <w:p>
      <w:pPr>
        <w:ind w:left="1220" w:hanging="415"/>
        <w:spacing w:after="0"/>
        <w:tabs>
          <w:tab w:leader="none" w:pos="1220" w:val="left"/>
        </w:tabs>
        <w:numPr>
          <w:ilvl w:val="0"/>
          <w:numId w:val="6"/>
        </w:numPr>
        <w:rPr>
          <w:rFonts w:ascii="Arial" w:cs="Arial" w:eastAsia="Arial" w:hAnsi="Arial"/>
          <w:sz w:val="18"/>
          <w:szCs w:val="18"/>
          <w:color w:val="32406B"/>
        </w:rPr>
      </w:pPr>
      <w:r>
        <w:rPr>
          <w:rFonts w:ascii="Arial" w:cs="Arial" w:eastAsia="Arial" w:hAnsi="Arial"/>
          <w:sz w:val="18"/>
          <w:szCs w:val="18"/>
          <w:b w:val="1"/>
          <w:bCs w:val="1"/>
          <w:i w:val="1"/>
          <w:iCs w:val="1"/>
          <w:color w:val="32406B"/>
        </w:rPr>
        <w:t>A recognized market leader</w:t>
      </w:r>
      <w:r>
        <w:rPr>
          <w:rFonts w:ascii="Arial" w:cs="Arial" w:eastAsia="Arial" w:hAnsi="Arial"/>
          <w:sz w:val="18"/>
          <w:szCs w:val="18"/>
          <w:color w:val="32406B"/>
        </w:rPr>
        <w:t>. We have been recognized by industry analysts as a market leader.</w:t>
      </w:r>
    </w:p>
    <w:p>
      <w:pPr>
        <w:spacing w:after="0" w:line="130" w:lineRule="exact"/>
        <w:rPr>
          <w:rFonts w:ascii="Arial" w:cs="Arial" w:eastAsia="Arial" w:hAnsi="Arial"/>
          <w:sz w:val="18"/>
          <w:szCs w:val="18"/>
          <w:color w:val="32406B"/>
        </w:rPr>
      </w:pPr>
    </w:p>
    <w:p>
      <w:pPr>
        <w:ind w:left="1220" w:right="360" w:hanging="415"/>
        <w:spacing w:after="0" w:line="286" w:lineRule="auto"/>
        <w:tabs>
          <w:tab w:leader="none" w:pos="1220" w:val="left"/>
        </w:tabs>
        <w:numPr>
          <w:ilvl w:val="0"/>
          <w:numId w:val="6"/>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Viral demand driven by individual users. </w:t>
      </w:r>
      <w:r>
        <w:rPr>
          <w:rFonts w:ascii="Arial" w:cs="Arial" w:eastAsia="Arial" w:hAnsi="Arial"/>
          <w:sz w:val="17"/>
          <w:szCs w:val="17"/>
          <w:color w:val="32406B"/>
        </w:rPr>
        <w:t>Our rapid adoption is driven by a virtuous cycle of positive user experiences. Individuals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typically begin using our platform when a colleague or associate invites them to a Zoom meeting. When attendees experience our platform and realize the benefits, they often become paying customers to unlock additional functionality.</w:t>
      </w:r>
    </w:p>
    <w:p>
      <w:pPr>
        <w:spacing w:after="0" w:line="70" w:lineRule="exact"/>
        <w:rPr>
          <w:rFonts w:ascii="Arial" w:cs="Arial" w:eastAsia="Arial" w:hAnsi="Arial"/>
          <w:sz w:val="17"/>
          <w:szCs w:val="17"/>
          <w:color w:val="32406B"/>
        </w:rPr>
      </w:pPr>
    </w:p>
    <w:p>
      <w:pPr>
        <w:ind w:left="1220" w:hanging="415"/>
        <w:spacing w:after="0" w:line="264" w:lineRule="auto"/>
        <w:tabs>
          <w:tab w:leader="none" w:pos="1220" w:val="left"/>
        </w:tabs>
        <w:numPr>
          <w:ilvl w:val="0"/>
          <w:numId w:val="6"/>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Growing base of happy customers. </w:t>
      </w:r>
      <w:r>
        <w:rPr>
          <w:rFonts w:ascii="Arial" w:cs="Arial" w:eastAsia="Arial" w:hAnsi="Arial"/>
          <w:sz w:val="18"/>
          <w:szCs w:val="18"/>
          <w:color w:val="32406B"/>
        </w:rPr>
        <w:t>We believe that making and keeping users happy is critical to growing our business. We believe that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our customer NPS, which averaged over 70 in 2018, demonstrates that our high-quality, easy-to-use platform is making customers happy.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4</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64" w:lineRule="auto"/>
        <w:tabs>
          <w:tab w:leader="none" w:pos="1220" w:val="left"/>
        </w:tabs>
        <w:numPr>
          <w:ilvl w:val="0"/>
          <w:numId w:val="7"/>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Multipronged go-to-market strategy. </w:t>
      </w:r>
      <w:r>
        <w:rPr>
          <w:rFonts w:ascii="Arial" w:cs="Arial" w:eastAsia="Arial" w:hAnsi="Arial"/>
          <w:sz w:val="18"/>
          <w:szCs w:val="18"/>
          <w:color w:val="32406B"/>
        </w:rPr>
        <w:t>We have a multipronged go-to-market strategy that integrates the viral enthusiasm for our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platform with optimal routes-to-market that match the size of the customer opportunity. Our direct sales force and strategic partners sell to customers of all sizes, and we leverage our online sales channel for smaller customers.</w:t>
      </w:r>
    </w:p>
    <w:p>
      <w:pPr>
        <w:spacing w:after="0" w:line="86" w:lineRule="exact"/>
        <w:rPr>
          <w:rFonts w:ascii="Arial" w:cs="Arial" w:eastAsia="Arial" w:hAnsi="Arial"/>
          <w:sz w:val="18"/>
          <w:szCs w:val="18"/>
          <w:color w:val="32406B"/>
        </w:rPr>
      </w:pPr>
    </w:p>
    <w:p>
      <w:pPr>
        <w:ind w:left="1220" w:right="200" w:hanging="415"/>
        <w:spacing w:after="0" w:line="308" w:lineRule="auto"/>
        <w:tabs>
          <w:tab w:leader="none" w:pos="1220" w:val="left"/>
        </w:tabs>
        <w:numPr>
          <w:ilvl w:val="0"/>
          <w:numId w:val="7"/>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Robust customer support and success function. </w:t>
      </w:r>
      <w:r>
        <w:rPr>
          <w:rFonts w:ascii="Arial" w:cs="Arial" w:eastAsia="Arial" w:hAnsi="Arial"/>
          <w:sz w:val="17"/>
          <w:szCs w:val="17"/>
          <w:color w:val="32406B"/>
        </w:rPr>
        <w:t>We offer 24/7/365 support through live chat, phone and video. For the 90-day period</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ended January 31, 2019, our customer support team had a customer satisfaction score (CSAT) of over 90%.</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Culture of Happiness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Our culture of delivering happiness drives our mission, vision and values and is fundamental to everything we do at Zoom:</w:t>
      </w:r>
    </w:p>
    <w:p>
      <w:pPr>
        <w:spacing w:after="0" w:line="131" w:lineRule="exact"/>
        <w:rPr>
          <w:sz w:val="20"/>
          <w:szCs w:val="20"/>
          <w:color w:val="auto"/>
        </w:rPr>
      </w:pPr>
    </w:p>
    <w:p>
      <w:pPr>
        <w:ind w:left="1220" w:hanging="415"/>
        <w:spacing w:after="0"/>
        <w:tabs>
          <w:tab w:leader="none" w:pos="1220" w:val="left"/>
        </w:tabs>
        <w:numPr>
          <w:ilvl w:val="0"/>
          <w:numId w:val="8"/>
        </w:numPr>
        <w:rPr>
          <w:rFonts w:ascii="Arial" w:cs="Arial" w:eastAsia="Arial" w:hAnsi="Arial"/>
          <w:sz w:val="18"/>
          <w:szCs w:val="18"/>
          <w:color w:val="32406B"/>
        </w:rPr>
      </w:pPr>
      <w:r>
        <w:rPr>
          <w:rFonts w:ascii="Arial" w:cs="Arial" w:eastAsia="Arial" w:hAnsi="Arial"/>
          <w:sz w:val="18"/>
          <w:szCs w:val="18"/>
          <w:b w:val="1"/>
          <w:bCs w:val="1"/>
          <w:i w:val="1"/>
          <w:iCs w:val="1"/>
          <w:color w:val="32406B"/>
        </w:rPr>
        <w:t>Mission</w:t>
      </w:r>
      <w:r>
        <w:rPr>
          <w:rFonts w:ascii="Arial" w:cs="Arial" w:eastAsia="Arial" w:hAnsi="Arial"/>
          <w:sz w:val="18"/>
          <w:szCs w:val="18"/>
          <w:color w:val="32406B"/>
        </w:rPr>
        <w:t>. Our mission is to make video communications frictionless.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8"/>
        </w:numPr>
        <w:rPr>
          <w:rFonts w:ascii="Arial" w:cs="Arial" w:eastAsia="Arial" w:hAnsi="Arial"/>
          <w:sz w:val="18"/>
          <w:szCs w:val="18"/>
          <w:color w:val="32406B"/>
        </w:rPr>
      </w:pPr>
      <w:r>
        <w:rPr>
          <w:rFonts w:ascii="Arial" w:cs="Arial" w:eastAsia="Arial" w:hAnsi="Arial"/>
          <w:sz w:val="18"/>
          <w:szCs w:val="18"/>
          <w:b w:val="1"/>
          <w:bCs w:val="1"/>
          <w:i w:val="1"/>
          <w:iCs w:val="1"/>
          <w:color w:val="32406B"/>
        </w:rPr>
        <w:t>Vision</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Our vision is to empower people to accomplish more through video communications.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8"/>
        </w:numPr>
        <w:rPr>
          <w:rFonts w:ascii="Arial" w:cs="Arial" w:eastAsia="Arial" w:hAnsi="Arial"/>
          <w:sz w:val="18"/>
          <w:szCs w:val="18"/>
          <w:color w:val="32406B"/>
        </w:rPr>
      </w:pPr>
      <w:r>
        <w:rPr>
          <w:rFonts w:ascii="Arial" w:cs="Arial" w:eastAsia="Arial" w:hAnsi="Arial"/>
          <w:sz w:val="18"/>
          <w:szCs w:val="18"/>
          <w:b w:val="1"/>
          <w:bCs w:val="1"/>
          <w:i w:val="1"/>
          <w:iCs w:val="1"/>
          <w:color w:val="32406B"/>
        </w:rPr>
        <w:t>Values</w:t>
      </w:r>
      <w:r>
        <w:rPr>
          <w:rFonts w:ascii="Arial" w:cs="Arial" w:eastAsia="Arial" w:hAnsi="Arial"/>
          <w:sz w:val="18"/>
          <w:szCs w:val="18"/>
          <w:color w:val="32406B"/>
        </w:rPr>
        <w:t>. We care for our community, our customers, our company, our teammates and ourselves.</w:t>
      </w:r>
    </w:p>
    <w:p>
      <w:pPr>
        <w:spacing w:after="0" w:line="225"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32406B"/>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Market Opportunity</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32406B"/>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8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32406B"/>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information workers could benefit from our platform’s ability to connect people through frictionless video, voice, chat and content sharing.</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Our Growth Strategy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We focus on the following elements of our strategy to drive our growth:</w:t>
      </w:r>
    </w:p>
    <w:p>
      <w:pPr>
        <w:spacing w:after="0" w:line="131" w:lineRule="exact"/>
        <w:rPr>
          <w:sz w:val="20"/>
          <w:szCs w:val="20"/>
          <w:color w:val="auto"/>
        </w:rPr>
      </w:pPr>
    </w:p>
    <w:p>
      <w:pPr>
        <w:ind w:left="1220" w:hanging="415"/>
        <w:spacing w:after="0"/>
        <w:tabs>
          <w:tab w:leader="none" w:pos="12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keep our existing customers happy;</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drive new customer acquisition;</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expand within existing customers;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innovate our platform continuously;</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accelerate international expansion; and</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5</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Summary Risk Factors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32406B"/>
        </w:rPr>
        <w:t>Our business is subject to numerous risks, as more fully described in the section titled “Risk Factors” immediately following this prospectus summary. These risks include, among others:</w:t>
      </w:r>
    </w:p>
    <w:p>
      <w:pPr>
        <w:spacing w:after="0" w:line="76" w:lineRule="exact"/>
        <w:rPr>
          <w:sz w:val="20"/>
          <w:szCs w:val="20"/>
          <w:color w:val="auto"/>
        </w:rPr>
      </w:pPr>
    </w:p>
    <w:p>
      <w:pPr>
        <w:ind w:left="1220" w:right="140" w:hanging="415"/>
        <w:spacing w:after="0" w:line="342" w:lineRule="auto"/>
        <w:tabs>
          <w:tab w:leader="none" w:pos="1220" w:val="left"/>
        </w:tabs>
        <w:numPr>
          <w:ilvl w:val="0"/>
          <w:numId w:val="10"/>
        </w:numPr>
        <w:rPr>
          <w:rFonts w:ascii="Arial" w:cs="Arial" w:eastAsia="Arial" w:hAnsi="Arial"/>
          <w:sz w:val="16"/>
          <w:szCs w:val="16"/>
          <w:color w:val="32406B"/>
        </w:rPr>
      </w:pPr>
      <w:r>
        <w:rPr>
          <w:rFonts w:ascii="Arial" w:cs="Arial" w:eastAsia="Arial" w:hAnsi="Arial"/>
          <w:sz w:val="16"/>
          <w:szCs w:val="16"/>
          <w:color w:val="32406B"/>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29" w:lineRule="exact"/>
        <w:rPr>
          <w:rFonts w:ascii="Arial" w:cs="Arial" w:eastAsia="Arial" w:hAnsi="Arial"/>
          <w:sz w:val="16"/>
          <w:szCs w:val="16"/>
          <w:color w:val="32406B"/>
        </w:rPr>
      </w:pPr>
    </w:p>
    <w:p>
      <w:pPr>
        <w:ind w:left="1220" w:hanging="415"/>
        <w:spacing w:after="0"/>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We have a limited operating history, which makes it difficult to evaluate our prospects and future results of operations;</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We operate in competitive markets, and we must continue to compete effectively;</w:t>
      </w:r>
    </w:p>
    <w:p>
      <w:pPr>
        <w:spacing w:after="0" w:line="130" w:lineRule="exact"/>
        <w:rPr>
          <w:rFonts w:ascii="Arial" w:cs="Arial" w:eastAsia="Arial" w:hAnsi="Arial"/>
          <w:sz w:val="18"/>
          <w:szCs w:val="18"/>
          <w:color w:val="32406B"/>
        </w:rPr>
      </w:pPr>
    </w:p>
    <w:p>
      <w:pPr>
        <w:ind w:left="1220" w:hanging="415"/>
        <w:spacing w:after="0"/>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We may not be able to sustain our revenue growth rate in the future;</w:t>
      </w:r>
    </w:p>
    <w:p>
      <w:pPr>
        <w:spacing w:after="0" w:line="130" w:lineRule="exact"/>
        <w:rPr>
          <w:rFonts w:ascii="Arial" w:cs="Arial" w:eastAsia="Arial" w:hAnsi="Arial"/>
          <w:sz w:val="18"/>
          <w:szCs w:val="18"/>
          <w:color w:val="32406B"/>
        </w:rPr>
      </w:pPr>
    </w:p>
    <w:p>
      <w:pPr>
        <w:ind w:left="1220" w:right="220" w:hanging="415"/>
        <w:spacing w:after="0" w:line="277" w:lineRule="auto"/>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Interruptions, delays or outages in service from our co-located data centers and a variety of other factors would impair the delivery of our services, require us to issue credits or pay penalties and harm our business;</w:t>
      </w:r>
    </w:p>
    <w:p>
      <w:pPr>
        <w:spacing w:after="0" w:line="75" w:lineRule="exact"/>
        <w:rPr>
          <w:rFonts w:ascii="Arial" w:cs="Arial" w:eastAsia="Arial" w:hAnsi="Arial"/>
          <w:sz w:val="18"/>
          <w:szCs w:val="18"/>
          <w:color w:val="32406B"/>
        </w:rPr>
      </w:pPr>
    </w:p>
    <w:p>
      <w:pPr>
        <w:ind w:left="1220" w:right="400" w:hanging="415"/>
        <w:spacing w:after="0" w:line="264" w:lineRule="auto"/>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86" w:lineRule="exact"/>
        <w:rPr>
          <w:rFonts w:ascii="Arial" w:cs="Arial" w:eastAsia="Arial" w:hAnsi="Arial"/>
          <w:sz w:val="18"/>
          <w:szCs w:val="18"/>
          <w:color w:val="32406B"/>
        </w:rPr>
      </w:pPr>
    </w:p>
    <w:p>
      <w:pPr>
        <w:ind w:left="1220" w:hanging="415"/>
        <w:spacing w:after="0"/>
        <w:tabs>
          <w:tab w:leader="none" w:pos="1220" w:val="left"/>
        </w:tabs>
        <w:numPr>
          <w:ilvl w:val="0"/>
          <w:numId w:val="10"/>
        </w:numPr>
        <w:rPr>
          <w:rFonts w:ascii="Arial" w:cs="Arial" w:eastAsia="Arial" w:hAnsi="Arial"/>
          <w:sz w:val="16"/>
          <w:szCs w:val="16"/>
          <w:color w:val="32406B"/>
        </w:rPr>
      </w:pPr>
      <w:r>
        <w:rPr>
          <w:rFonts w:ascii="Arial" w:cs="Arial" w:eastAsia="Arial" w:hAnsi="Arial"/>
          <w:sz w:val="16"/>
          <w:szCs w:val="16"/>
          <w:color w:val="32406B"/>
        </w:rPr>
        <w:t>As we increase sales to large organizations, our sales cycles could lengthen, and we could experience greater deployment challenges;</w:t>
      </w:r>
    </w:p>
    <w:p>
      <w:pPr>
        <w:spacing w:after="0" w:line="153" w:lineRule="exact"/>
        <w:rPr>
          <w:rFonts w:ascii="Arial" w:cs="Arial" w:eastAsia="Arial" w:hAnsi="Arial"/>
          <w:sz w:val="16"/>
          <w:szCs w:val="16"/>
          <w:color w:val="32406B"/>
        </w:rPr>
      </w:pPr>
    </w:p>
    <w:p>
      <w:pPr>
        <w:ind w:left="1220" w:right="300" w:hanging="415"/>
        <w:spacing w:after="0" w:line="277" w:lineRule="auto"/>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We generate revenue from sales of subscriptions to our platform, and any decline in demand for our platform or for communications and collaboration technologies in general would harm our business;</w:t>
      </w:r>
    </w:p>
    <w:p>
      <w:pPr>
        <w:spacing w:after="0" w:line="75" w:lineRule="exact"/>
        <w:rPr>
          <w:rFonts w:ascii="Arial" w:cs="Arial" w:eastAsia="Arial" w:hAnsi="Arial"/>
          <w:sz w:val="18"/>
          <w:szCs w:val="18"/>
          <w:color w:val="32406B"/>
        </w:rPr>
      </w:pPr>
    </w:p>
    <w:p>
      <w:pPr>
        <w:ind w:left="1220" w:right="300" w:hanging="415"/>
        <w:spacing w:after="0" w:line="264" w:lineRule="auto"/>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6" w:lineRule="exact"/>
        <w:rPr>
          <w:rFonts w:ascii="Arial" w:cs="Arial" w:eastAsia="Arial" w:hAnsi="Arial"/>
          <w:sz w:val="18"/>
          <w:szCs w:val="18"/>
          <w:color w:val="32406B"/>
        </w:rPr>
      </w:pPr>
    </w:p>
    <w:p>
      <w:pPr>
        <w:ind w:left="1220" w:hanging="415"/>
        <w:spacing w:after="0"/>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We may not be able to respond to rapid technological changes, extend our platform or develop new features; and</w:t>
      </w:r>
    </w:p>
    <w:p>
      <w:pPr>
        <w:spacing w:after="0" w:line="130" w:lineRule="exact"/>
        <w:rPr>
          <w:rFonts w:ascii="Arial" w:cs="Arial" w:eastAsia="Arial" w:hAnsi="Arial"/>
          <w:sz w:val="18"/>
          <w:szCs w:val="18"/>
          <w:color w:val="32406B"/>
        </w:rPr>
      </w:pPr>
    </w:p>
    <w:p>
      <w:pPr>
        <w:ind w:left="1220" w:right="360" w:hanging="415"/>
        <w:spacing w:after="0" w:line="264" w:lineRule="auto"/>
        <w:tabs>
          <w:tab w:leader="none" w:pos="12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Corporate Information</w:t>
      </w:r>
    </w:p>
    <w:p>
      <w:pPr>
        <w:spacing w:after="0" w:line="121" w:lineRule="exact"/>
        <w:rPr>
          <w:sz w:val="20"/>
          <w:szCs w:val="20"/>
          <w:color w:val="auto"/>
        </w:rPr>
      </w:pPr>
    </w:p>
    <w:p>
      <w:pPr>
        <w:ind w:left="380" w:right="60" w:firstLine="426"/>
        <w:spacing w:after="0" w:line="276" w:lineRule="auto"/>
        <w:rPr>
          <w:sz w:val="20"/>
          <w:szCs w:val="20"/>
          <w:color w:val="auto"/>
        </w:rPr>
      </w:pPr>
      <w:r>
        <w:rPr>
          <w:rFonts w:ascii="Arial" w:cs="Arial" w:eastAsia="Arial" w:hAnsi="Arial"/>
          <w:sz w:val="17"/>
          <w:szCs w:val="17"/>
          <w:color w:val="32406B"/>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4"/>
          <w:szCs w:val="14"/>
          <w:color w:val="32406B"/>
        </w:rPr>
        <w:t>th</w:t>
      </w:r>
      <w:r>
        <w:rPr>
          <w:rFonts w:ascii="Arial" w:cs="Arial" w:eastAsia="Arial" w:hAnsi="Arial"/>
          <w:sz w:val="17"/>
          <w:szCs w:val="17"/>
          <w:color w:val="32406B"/>
        </w:rPr>
        <w:t xml:space="preserve"> Floor, San Jose, California 95113. Our telephone number is (888) 799-9666. Our website address is https://zoom.com. Information contained on, or that can be accessed through, our website is not incorporated by reference into this prospectus, and you should not consider information on our website to be part of this prospectus.</w:t>
      </w:r>
    </w:p>
    <w:p>
      <w:pPr>
        <w:spacing w:after="0" w:line="173"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32406B"/>
        </w:rPr>
        <w:t>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6</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17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40176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2406B"/>
        </w:rPr>
        <w:t>Implications of Being an Emerging Growth Company</w:t>
      </w:r>
    </w:p>
    <w:p>
      <w:pPr>
        <w:spacing w:after="0" w:line="121"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32406B"/>
        </w:rPr>
        <w:t>As a company with less than $1.07 billion in revenue during our last fiscal year, we qualify as an “emerging growth company”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220" w:right="20" w:hanging="415"/>
        <w:spacing w:after="0" w:line="277" w:lineRule="auto"/>
        <w:tabs>
          <w:tab w:leader="none" w:pos="122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not being required to comply for a certain period of time with the auditor attestation requirements of Section 404 of the Sarbanes-Oxley Act of 2002, as amended (the Sarbanes-Oxley Act);</w:t>
      </w:r>
    </w:p>
    <w:p>
      <w:pPr>
        <w:spacing w:after="0" w:line="75" w:lineRule="exact"/>
        <w:rPr>
          <w:rFonts w:ascii="Arial" w:cs="Arial" w:eastAsia="Arial" w:hAnsi="Arial"/>
          <w:sz w:val="18"/>
          <w:szCs w:val="18"/>
          <w:color w:val="32406B"/>
        </w:rPr>
      </w:pPr>
    </w:p>
    <w:p>
      <w:pPr>
        <w:ind w:left="1220" w:right="100" w:hanging="415"/>
        <w:spacing w:after="0" w:line="277" w:lineRule="auto"/>
        <w:tabs>
          <w:tab w:leader="none" w:pos="122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32406B"/>
        </w:rPr>
      </w:pPr>
    </w:p>
    <w:p>
      <w:pPr>
        <w:ind w:left="1220" w:right="600" w:hanging="415"/>
        <w:spacing w:after="0" w:line="277" w:lineRule="auto"/>
        <w:tabs>
          <w:tab w:leader="none" w:pos="122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exemptions from the requirements of holding a stockholder advisory vote on executive compensation and any golden parachute payments not previously approved.</w:t>
      </w:r>
    </w:p>
    <w:p>
      <w:pPr>
        <w:spacing w:after="0" w:line="170"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32406B"/>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“large accelerated filer,” with at least $700 million of equity securities held by non-affiliates; (ii) our annual gross revenue exceeds $1.07 billion; or</w:t>
      </w:r>
    </w:p>
    <w:p>
      <w:pPr>
        <w:ind w:left="380" w:right="40" w:firstLine="6"/>
        <w:spacing w:after="0" w:line="261" w:lineRule="auto"/>
        <w:tabs>
          <w:tab w:leader="none" w:pos="695"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we issue more than $1.0 billion of non-convertible debt in any three-year period, we will cease to be an emerging growth company prior to the end of such five-year period.</w:t>
      </w:r>
    </w:p>
    <w:p>
      <w:pPr>
        <w:spacing w:after="0" w:line="184" w:lineRule="exact"/>
        <w:rPr>
          <w:sz w:val="20"/>
          <w:szCs w:val="20"/>
          <w:color w:val="auto"/>
        </w:rPr>
      </w:pPr>
    </w:p>
    <w:p>
      <w:pPr>
        <w:jc w:val="both"/>
        <w:ind w:left="380" w:right="140" w:firstLine="426"/>
        <w:spacing w:after="0" w:line="312" w:lineRule="auto"/>
        <w:rPr>
          <w:sz w:val="20"/>
          <w:szCs w:val="20"/>
          <w:color w:val="auto"/>
        </w:rPr>
      </w:pPr>
      <w:r>
        <w:rPr>
          <w:rFonts w:ascii="Arial" w:cs="Arial" w:eastAsia="Arial" w:hAnsi="Arial"/>
          <w:sz w:val="16"/>
          <w:szCs w:val="16"/>
          <w:color w:val="32406B"/>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7" w:lineRule="exact"/>
        <w:rPr>
          <w:sz w:val="20"/>
          <w:szCs w:val="20"/>
          <w:color w:val="auto"/>
        </w:rPr>
      </w:pPr>
    </w:p>
    <w:p>
      <w:pPr>
        <w:ind w:left="380" w:right="40" w:firstLine="426"/>
        <w:spacing w:after="0" w:line="302" w:lineRule="auto"/>
        <w:rPr>
          <w:sz w:val="20"/>
          <w:szCs w:val="20"/>
          <w:color w:val="auto"/>
        </w:rPr>
      </w:pPr>
      <w:r>
        <w:rPr>
          <w:rFonts w:ascii="Arial" w:cs="Arial" w:eastAsia="Arial" w:hAnsi="Arial"/>
          <w:sz w:val="16"/>
          <w:szCs w:val="16"/>
          <w:color w:val="32406B"/>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7</w:t>
      </w:r>
    </w:p>
    <w:p>
      <w:pPr>
        <w:sectPr>
          <w:pgSz w:w="11900" w:h="16838" w:orient="portrait"/>
          <w:cols w:equalWidth="0" w:num="1">
            <w:col w:w="11000"/>
          </w:cols>
          <w:pgMar w:left="24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10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32406B"/>
        </w:rPr>
        <w:t>THE OFFERING</w:t>
      </w:r>
    </w:p>
    <w:p>
      <w:pPr>
        <w:spacing w:after="0" w:line="324" w:lineRule="exact"/>
        <w:rPr>
          <w:sz w:val="20"/>
          <w:szCs w:val="20"/>
          <w:color w:val="auto"/>
        </w:rPr>
      </w:pPr>
    </w:p>
    <w:p>
      <w:pPr>
        <w:ind w:left="400"/>
        <w:spacing w:after="0"/>
        <w:tabs>
          <w:tab w:leader="none" w:pos="6020" w:val="left"/>
        </w:tabs>
        <w:rPr>
          <w:sz w:val="20"/>
          <w:szCs w:val="20"/>
          <w:color w:val="auto"/>
        </w:rPr>
      </w:pPr>
      <w:r>
        <w:rPr>
          <w:rFonts w:ascii="Arial" w:cs="Arial" w:eastAsia="Arial" w:hAnsi="Arial"/>
          <w:sz w:val="18"/>
          <w:szCs w:val="18"/>
          <w:color w:val="32406B"/>
        </w:rPr>
        <w:t>Class A common stock offered by us</w:t>
      </w:r>
      <w:r>
        <w:rPr>
          <w:sz w:val="20"/>
          <w:szCs w:val="20"/>
          <w:color w:val="auto"/>
        </w:rPr>
        <w:tab/>
      </w:r>
      <w:r>
        <w:rPr>
          <w:rFonts w:ascii="Arial" w:cs="Arial" w:eastAsia="Arial" w:hAnsi="Arial"/>
          <w:sz w:val="15"/>
          <w:szCs w:val="15"/>
          <w:color w:val="32406B"/>
        </w:rPr>
        <w:t>9,911,434 shares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Class A common stock offered by the selling stockholders</w:t>
      </w:r>
    </w:p>
    <w:p>
      <w:pPr>
        <w:spacing w:after="0" w:line="23" w:lineRule="exact"/>
        <w:rPr>
          <w:sz w:val="20"/>
          <w:szCs w:val="20"/>
          <w:color w:val="auto"/>
        </w:rPr>
      </w:pPr>
    </w:p>
    <w:p>
      <w:pPr>
        <w:jc w:val="right"/>
        <w:ind w:right="3660"/>
        <w:spacing w:after="0"/>
        <w:rPr>
          <w:sz w:val="20"/>
          <w:szCs w:val="20"/>
          <w:color w:val="auto"/>
        </w:rPr>
      </w:pPr>
      <w:r>
        <w:rPr>
          <w:rFonts w:ascii="Arial" w:cs="Arial" w:eastAsia="Arial" w:hAnsi="Arial"/>
          <w:sz w:val="18"/>
          <w:szCs w:val="18"/>
          <w:color w:val="32406B"/>
        </w:rPr>
        <w:t>10,958,131 shares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Class A common stock sold by us in the concurrent private placement</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 w:right="120" w:hanging="179"/>
        <w:spacing w:after="0" w:line="277" w:lineRule="auto"/>
        <w:rPr>
          <w:sz w:val="20"/>
          <w:szCs w:val="20"/>
          <w:color w:val="auto"/>
        </w:rPr>
      </w:pPr>
      <w:r>
        <w:rPr>
          <w:rFonts w:ascii="Arial" w:cs="Arial" w:eastAsia="Arial" w:hAnsi="Arial"/>
          <w:sz w:val="18"/>
          <w:szCs w:val="18"/>
          <w:color w:val="32406B"/>
        </w:rPr>
        <w:t>Class A common stock to be outstanding after this offering and the concurrent private placement</w:t>
      </w:r>
    </w:p>
    <w:p>
      <w:pPr>
        <w:spacing w:after="0" w:line="22" w:lineRule="exact"/>
        <w:rPr>
          <w:sz w:val="20"/>
          <w:szCs w:val="20"/>
          <w:color w:val="auto"/>
        </w:rPr>
      </w:pPr>
    </w:p>
    <w:p>
      <w:pPr>
        <w:ind w:left="580" w:right="120" w:hanging="179"/>
        <w:spacing w:after="0" w:line="277" w:lineRule="auto"/>
        <w:rPr>
          <w:sz w:val="20"/>
          <w:szCs w:val="20"/>
          <w:color w:val="auto"/>
        </w:rPr>
      </w:pPr>
      <w:r>
        <w:rPr>
          <w:rFonts w:ascii="Arial" w:cs="Arial" w:eastAsia="Arial" w:hAnsi="Arial"/>
          <w:sz w:val="18"/>
          <w:szCs w:val="18"/>
          <w:color w:val="32406B"/>
        </w:rPr>
        <w:t>Class B common stock to be outstanding after this offering and the concurrent private placement</w:t>
      </w:r>
    </w:p>
    <w:p>
      <w:pPr>
        <w:spacing w:after="0" w:line="22" w:lineRule="exact"/>
        <w:rPr>
          <w:sz w:val="20"/>
          <w:szCs w:val="20"/>
          <w:color w:val="auto"/>
        </w:rPr>
      </w:pPr>
    </w:p>
    <w:p>
      <w:pPr>
        <w:ind w:left="580" w:hanging="179"/>
        <w:spacing w:after="0" w:line="277" w:lineRule="auto"/>
        <w:rPr>
          <w:sz w:val="20"/>
          <w:szCs w:val="20"/>
          <w:color w:val="auto"/>
        </w:rPr>
      </w:pPr>
      <w:r>
        <w:rPr>
          <w:rFonts w:ascii="Arial" w:cs="Arial" w:eastAsia="Arial" w:hAnsi="Arial"/>
          <w:sz w:val="18"/>
          <w:szCs w:val="18"/>
          <w:color w:val="32406B"/>
        </w:rPr>
        <w:t>Total Class A and Class B common stock to be outstanding after this offering and the concurrent private placement</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Over-allotment option of Class A common stock offered by us</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Voting rights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284" w:lineRule="auto"/>
        <w:rPr>
          <w:sz w:val="20"/>
          <w:szCs w:val="20"/>
          <w:color w:val="auto"/>
        </w:rPr>
      </w:pPr>
      <w:r>
        <w:rPr>
          <w:rFonts w:ascii="Arial" w:cs="Arial" w:eastAsia="Arial" w:hAnsi="Arial"/>
          <w:sz w:val="16"/>
          <w:szCs w:val="16"/>
          <w:color w:val="32406B"/>
        </w:rPr>
        <w:t>Immediately subsequent to the closing of this offering, Salesforce Ventures LLC will purchase from us in a private placement 2,777,777 shares of our Class A common stock. We will receive the full proceeds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for a period of up to 365 days after the date of this prospectus and a lock-up agreement with the underwriters for a period of up to 180 days after the date of this prospectus. See “Shares Eligible for Future Sale—Lock-Up Agreements and Market Standoff Provisions” for additional information regarding such restrictions. We refer to the private placement of these shares of Class A common stock as the concurrent private placement.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32406B"/>
        </w:rPr>
        <w:t>24,070,086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32406B"/>
        </w:rPr>
        <w:t>232,318,285 shares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32406B"/>
        </w:rPr>
        <w:t>256,388,371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32406B"/>
        </w:rPr>
        <w:t>3,130,435 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32406B"/>
        </w:rPr>
        <w:t>We have two classes of authorized common stock: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32406B"/>
        </w:rPr>
        <w:t>stock and Class B common stock. The rights of the holders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32406B"/>
        </w:rPr>
        <w:t>Class A and Class B common stock are identical, except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32406B"/>
        </w:rPr>
        <w:t>to voting and conversion rights. The holders of Class A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2406B"/>
        </w:rPr>
        <w:t>stock are entitled to one vote per share and the holders of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2406B"/>
        </w:rPr>
        <w:t>common stock are entitled to 10 votes per share, on all matters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2406B"/>
        </w:rPr>
        <w:t>are subject to stockholder vote. Each share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32406B"/>
        </w:rPr>
        <w:t>may be converted into one share of Class A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32406B"/>
        </w:rPr>
        <w:t>option of the holder thereof, and will be converted into one share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32406B"/>
        </w:rPr>
        <w:t>Class A common stock upon transfer thereof,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32406B"/>
        </w:rPr>
        <w:t>exceptions.</w:t>
      </w:r>
    </w:p>
    <w:p>
      <w:pPr>
        <w:spacing w:after="0" w:line="200" w:lineRule="exact"/>
        <w:rPr>
          <w:sz w:val="20"/>
          <w:szCs w:val="20"/>
          <w:color w:val="auto"/>
        </w:rPr>
      </w:pPr>
    </w:p>
    <w:p>
      <w:pPr>
        <w:sectPr>
          <w:pgSz w:w="11900" w:h="16838" w:orient="portrait"/>
          <w:cols w:equalWidth="0" w:num="2">
            <w:col w:w="5320" w:space="720"/>
            <w:col w:w="4960"/>
          </w:cols>
          <w:pgMar w:left="240" w:top="459" w:right="65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32406B"/>
        </w:rPr>
        <w:t>8</w:t>
      </w:r>
    </w:p>
    <w:p>
      <w:pPr>
        <w:sectPr>
          <w:pgSz w:w="11900" w:h="16838" w:orient="portrait"/>
          <w:cols w:equalWidth="0" w:num="1">
            <w:col w:w="11000"/>
          </w:cols>
          <w:pgMar w:left="240" w:top="459" w:right="6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040"/>
        <w:spacing w:after="0"/>
        <w:rPr>
          <w:sz w:val="20"/>
          <w:szCs w:val="20"/>
          <w:color w:val="auto"/>
        </w:rPr>
      </w:pPr>
      <w:r>
        <w:rPr>
          <w:rFonts w:ascii="Arial" w:cs="Arial" w:eastAsia="Arial" w:hAnsi="Arial"/>
          <w:sz w:val="17"/>
          <w:szCs w:val="17"/>
          <w:color w:val="32406B"/>
        </w:rPr>
        <w:t>The holders of our outstanding Class B common stock will hold</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99.0% of the voting power of our outstanding capital stock following</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32406B"/>
        </w:rPr>
        <w:t>this offering and the concurrent private placement, with our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32406B"/>
        </w:rPr>
        <w:t>directors, executive officers and 5% stockholders and their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32406B"/>
        </w:rPr>
        <w:t>respective affiliates holding 61.6% of such voting power in the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aggregate. These holders will have the ability to control the outcome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of matters submitted to our shareholders for approval, including the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32406B"/>
        </w:rPr>
        <w:t>election of our directors and the approval of any change of control</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transaction. See the section titled “Description of Capital Stock” for</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32406B"/>
        </w:rPr>
        <w:t>additional information.</w:t>
      </w:r>
    </w:p>
    <w:p>
      <w:pPr>
        <w:sectPr>
          <w:pgSz w:w="11900" w:h="16838" w:orient="portrait"/>
          <w:cols w:equalWidth="0" w:num="1">
            <w:col w:w="11040"/>
          </w:cols>
          <w:pgMar w:left="240" w:top="459" w:right="619" w:bottom="1440" w:gutter="0" w:footer="0" w:header="0"/>
        </w:sectPr>
      </w:pPr>
    </w:p>
    <w:p>
      <w:pPr>
        <w:spacing w:after="0" w:line="76" w:lineRule="exact"/>
        <w:rPr>
          <w:sz w:val="20"/>
          <w:szCs w:val="20"/>
          <w:color w:val="auto"/>
        </w:rPr>
      </w:pPr>
    </w:p>
    <w:p>
      <w:pPr>
        <w:ind w:left="400"/>
        <w:spacing w:after="0"/>
        <w:rPr>
          <w:sz w:val="20"/>
          <w:szCs w:val="20"/>
          <w:color w:val="auto"/>
        </w:rPr>
      </w:pPr>
      <w:r>
        <w:rPr>
          <w:rFonts w:ascii="Arial" w:cs="Arial" w:eastAsia="Arial" w:hAnsi="Arial"/>
          <w:sz w:val="15"/>
          <w:szCs w:val="15"/>
          <w:color w:val="32406B"/>
        </w:rPr>
        <w:t>Use of proceeds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32406B"/>
        </w:rPr>
        <w:t>We estimate that our net proceeds from the sale of our Class A common stock that we are offering and the concurrent private placement will be approximately $434.5 million (or approximately $541.5 million if the underwriters exercise their over-allotment option in full), based on the initial public offering price of $36.00 per share, and after deducting underwriting discounts and commissions and estimated expenses related to the offering and the concurrent private placement.</w:t>
      </w:r>
    </w:p>
    <w:p>
      <w:pPr>
        <w:spacing w:after="0" w:line="84" w:lineRule="exact"/>
        <w:rPr>
          <w:sz w:val="20"/>
          <w:szCs w:val="20"/>
          <w:color w:val="auto"/>
        </w:rPr>
      </w:pPr>
    </w:p>
    <w:p>
      <w:pPr>
        <w:sectPr>
          <w:pgSz w:w="11900" w:h="16838" w:orient="portrait"/>
          <w:cols w:equalWidth="0" w:num="2">
            <w:col w:w="5320" w:space="720"/>
            <w:col w:w="5000"/>
          </w:cols>
          <w:pgMar w:left="240" w:top="459" w:right="619" w:bottom="1440" w:gutter="0" w:footer="0" w:header="0"/>
          <w:type w:val="continuous"/>
        </w:sectPr>
      </w:pPr>
    </w:p>
    <w:p>
      <w:pPr>
        <w:ind w:left="6040"/>
        <w:spacing w:after="0"/>
        <w:rPr>
          <w:sz w:val="20"/>
          <w:szCs w:val="20"/>
          <w:color w:val="auto"/>
        </w:rPr>
      </w:pPr>
      <w:r>
        <w:rPr>
          <w:rFonts w:ascii="Arial" w:cs="Arial" w:eastAsia="Arial" w:hAnsi="Arial"/>
          <w:sz w:val="17"/>
          <w:szCs w:val="17"/>
          <w:color w:val="32406B"/>
        </w:rPr>
        <w:t>We currently intend to use the net proceeds we receive from this</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offering and the concurrent private placement for general corporate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purposes, including working capital, operating expenses and capital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32406B"/>
        </w:rPr>
        <w:t>expenditures. We may also use a portion of the net proceeds for</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acquisitions or strategic investments in complementary businesses,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products, services or technologies, although we do not currently have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any plans or commitments for any such acquisitions or investments.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32406B"/>
        </w:rPr>
        <w:t>See the section titled “Use of Proceeds” for additional information.</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32406B"/>
        </w:rPr>
        <w:t>We will not receive any proceeds from the sale of shares of Class A</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32406B"/>
        </w:rPr>
        <w:t>common stock by the selling stockholders.</w:t>
      </w:r>
    </w:p>
    <w:p>
      <w:pPr>
        <w:sectPr>
          <w:pgSz w:w="11900" w:h="16838" w:orient="portrait"/>
          <w:cols w:equalWidth="0" w:num="1">
            <w:col w:w="11040"/>
          </w:cols>
          <w:pgMar w:left="240" w:top="459" w:right="619" w:bottom="1440" w:gutter="0" w:footer="0" w:header="0"/>
          <w:type w:val="continuous"/>
        </w:sectPr>
      </w:pP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32406B"/>
        </w:rPr>
        <w:t>Proposed Nasdaq trading symbol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32406B"/>
        </w:rPr>
        <w:t>“ZM”</w:t>
      </w:r>
    </w:p>
    <w:p>
      <w:pPr>
        <w:spacing w:after="0" w:line="200" w:lineRule="exact"/>
        <w:rPr>
          <w:sz w:val="20"/>
          <w:szCs w:val="20"/>
          <w:color w:val="auto"/>
        </w:rPr>
      </w:pPr>
    </w:p>
    <w:p>
      <w:pPr>
        <w:sectPr>
          <w:pgSz w:w="11900" w:h="16838" w:orient="portrait"/>
          <w:cols w:equalWidth="0" w:num="2">
            <w:col w:w="5320" w:space="720"/>
            <w:col w:w="5000"/>
          </w:cols>
          <w:pgMar w:left="240" w:top="459" w:right="619" w:bottom="1440" w:gutter="0" w:footer="0" w:header="0"/>
          <w:type w:val="continuous"/>
        </w:sectPr>
      </w:pPr>
    </w:p>
    <w:p>
      <w:pPr>
        <w:spacing w:after="0" w:line="25" w:lineRule="exact"/>
        <w:rPr>
          <w:sz w:val="20"/>
          <w:szCs w:val="20"/>
          <w:color w:val="auto"/>
        </w:rPr>
      </w:pPr>
    </w:p>
    <w:p>
      <w:pPr>
        <w:ind w:left="380" w:right="300" w:firstLine="426"/>
        <w:spacing w:after="0" w:line="286" w:lineRule="auto"/>
        <w:rPr>
          <w:sz w:val="20"/>
          <w:szCs w:val="20"/>
          <w:color w:val="auto"/>
        </w:rPr>
      </w:pPr>
      <w:r>
        <w:rPr>
          <w:rFonts w:ascii="Arial" w:cs="Arial" w:eastAsia="Arial" w:hAnsi="Arial"/>
          <w:sz w:val="17"/>
          <w:szCs w:val="17"/>
          <w:color w:val="32406B"/>
        </w:rPr>
        <w:t>The number of shares of our common stock that will be outstanding after this offering and the concurrent private placement is based on 422,744 shares of our Class A common stock (including the conversion of convertible promissory notes) and 242,993,239 shares of our Class B common stock (including the conversion of preferred stock) outstanding as of January 31, 2019 and excludes:</w:t>
      </w:r>
    </w:p>
    <w:p>
      <w:pPr>
        <w:spacing w:after="0" w:line="71" w:lineRule="exact"/>
        <w:rPr>
          <w:sz w:val="20"/>
          <w:szCs w:val="20"/>
          <w:color w:val="auto"/>
        </w:rPr>
      </w:pPr>
    </w:p>
    <w:p>
      <w:pPr>
        <w:ind w:left="1220" w:right="100" w:hanging="415"/>
        <w:spacing w:after="0" w:line="257" w:lineRule="auto"/>
        <w:tabs>
          <w:tab w:leader="none" w:pos="122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35,064,465 shares of our Class B common stock issuable upon the exercise of options to purchase shares of our Class B common stock outstanding as of January 31, 2019, with a weighted-average exercise price of $1.48 per share (other than 283,177 shares to be issued upon exercise of options to purchase Class B common stock by certain selling stockholders and the subsequent conversion of such shares into an equivalent number of shares of our Class A common stock in connection with the sale of such shares by such selling stockholders in this offering);</w:t>
      </w:r>
    </w:p>
    <w:p>
      <w:pPr>
        <w:spacing w:after="0" w:line="93" w:lineRule="exact"/>
        <w:rPr>
          <w:rFonts w:ascii="Arial" w:cs="Arial" w:eastAsia="Arial" w:hAnsi="Arial"/>
          <w:sz w:val="18"/>
          <w:szCs w:val="18"/>
          <w:color w:val="32406B"/>
        </w:rPr>
      </w:pPr>
    </w:p>
    <w:p>
      <w:pPr>
        <w:ind w:left="1220" w:right="200" w:hanging="415"/>
        <w:spacing w:after="0" w:line="277" w:lineRule="auto"/>
        <w:tabs>
          <w:tab w:leader="none" w:pos="122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1,147,500 shares of our Class B common stock issuable upon the exercise of options to purchase shares of our Class B common stock granted after January 31, 2019, with a weighted-average exercise price of $26.09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32406B"/>
        </w:rPr>
        <w:t>9</w:t>
      </w:r>
    </w:p>
    <w:p>
      <w:pPr>
        <w:sectPr>
          <w:pgSz w:w="11900" w:h="16838" w:orient="portrait"/>
          <w:cols w:equalWidth="0" w:num="1">
            <w:col w:w="11040"/>
          </w:cols>
          <w:pgMar w:left="240" w:top="459" w:right="6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44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4944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line="291" w:lineRule="auto"/>
        <w:tabs>
          <w:tab w:leader="none" w:pos="1220" w:val="left"/>
        </w:tabs>
        <w:numPr>
          <w:ilvl w:val="0"/>
          <w:numId w:val="14"/>
        </w:numPr>
        <w:rPr>
          <w:rFonts w:ascii="Arial" w:cs="Arial" w:eastAsia="Arial" w:hAnsi="Arial"/>
          <w:sz w:val="16"/>
          <w:szCs w:val="16"/>
          <w:color w:val="32406B"/>
        </w:rPr>
      </w:pPr>
      <w:r>
        <w:rPr>
          <w:rFonts w:ascii="Arial" w:cs="Arial" w:eastAsia="Arial" w:hAnsi="Arial"/>
          <w:sz w:val="16"/>
          <w:szCs w:val="16"/>
          <w:color w:val="32406B"/>
        </w:rPr>
        <w:t>58,300,889 shares of our Class A common stock reserved for future issuance under our 2019 Equity Incentive Plan (2019 Plan) (including options to purchase 177,150 shares of Class A Common Stock granted after January 31, 2019), which will become effective in connection with this offering, including 34,000,000 new shares plus the number of shares (not to exceed 24,300,889 shares) (i) that remain available for grant of future awards under our 2011 Global Share Plan (2011 Plan), which shares will 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72" w:lineRule="exact"/>
        <w:rPr>
          <w:rFonts w:ascii="Arial" w:cs="Arial" w:eastAsia="Arial" w:hAnsi="Arial"/>
          <w:sz w:val="16"/>
          <w:szCs w:val="16"/>
          <w:color w:val="32406B"/>
        </w:rPr>
      </w:pPr>
    </w:p>
    <w:p>
      <w:pPr>
        <w:ind w:left="1220" w:right="320" w:hanging="415"/>
        <w:spacing w:after="0" w:line="308" w:lineRule="auto"/>
        <w:tabs>
          <w:tab w:leader="none" w:pos="122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9,000,000 shares of our Class A common stock reserved for future issuance under our 2019 Employee Stock Purchase Plan (ESPP), which includes an annual evergreen increase and will become effective in connection with this offering.</w:t>
      </w:r>
    </w:p>
    <w:p>
      <w:pPr>
        <w:spacing w:after="0" w:line="147"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32406B"/>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“Executive Compensation—Equity Plans” for additional information.</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32406B"/>
        </w:rPr>
        <w:t>Unless otherwise indicated, the information in this prospectus assumes:</w:t>
      </w:r>
    </w:p>
    <w:p>
      <w:pPr>
        <w:spacing w:after="0" w:line="131" w:lineRule="exact"/>
        <w:rPr>
          <w:sz w:val="20"/>
          <w:szCs w:val="20"/>
          <w:color w:val="auto"/>
        </w:rPr>
      </w:pPr>
    </w:p>
    <w:p>
      <w:pPr>
        <w:ind w:left="1220" w:right="300" w:hanging="415"/>
        <w:spacing w:after="0" w:line="277" w:lineRule="auto"/>
        <w:tabs>
          <w:tab w:leader="none" w:pos="122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the filing of our amended and restated certificate of incorporation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32406B"/>
        </w:rPr>
      </w:pPr>
    </w:p>
    <w:p>
      <w:pPr>
        <w:jc w:val="both"/>
        <w:ind w:left="1220" w:right="400" w:hanging="415"/>
        <w:spacing w:after="0" w:line="264" w:lineRule="auto"/>
        <w:tabs>
          <w:tab w:leader="none" w:pos="122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the issuance of 422,744 shares of our Class A common stock upon the automatic conversion of convertible promissory notes in the principal amount of $15.0 million plus accrued interest in connection with this offering, assuming a conversion date of January 31, 2019 and based on the initial public offering price of $36.00 per share;</w:t>
      </w:r>
    </w:p>
    <w:p>
      <w:pPr>
        <w:spacing w:after="0" w:line="86" w:lineRule="exact"/>
        <w:rPr>
          <w:rFonts w:ascii="Arial" w:cs="Arial" w:eastAsia="Arial" w:hAnsi="Arial"/>
          <w:sz w:val="18"/>
          <w:szCs w:val="18"/>
          <w:color w:val="32406B"/>
        </w:rPr>
      </w:pPr>
    </w:p>
    <w:p>
      <w:pPr>
        <w:ind w:left="1220" w:right="220" w:hanging="415"/>
        <w:spacing w:after="0" w:line="277" w:lineRule="auto"/>
        <w:tabs>
          <w:tab w:leader="none" w:pos="122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the issuance of 2,777,777 shares of our Class A common stock to Salesforce Ventures LLC upon the closing of the concurrent private placement immediately subsequent to the closing of this offering;</w:t>
      </w:r>
    </w:p>
    <w:p>
      <w:pPr>
        <w:spacing w:after="0" w:line="75" w:lineRule="exact"/>
        <w:rPr>
          <w:rFonts w:ascii="Arial" w:cs="Arial" w:eastAsia="Arial" w:hAnsi="Arial"/>
          <w:sz w:val="18"/>
          <w:szCs w:val="18"/>
          <w:color w:val="32406B"/>
        </w:rPr>
      </w:pPr>
    </w:p>
    <w:p>
      <w:pPr>
        <w:ind w:left="1220" w:right="100" w:hanging="415"/>
        <w:spacing w:after="0" w:line="277" w:lineRule="auto"/>
        <w:tabs>
          <w:tab w:leader="none" w:pos="122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the automatic conversion of all outstanding shares of our convertible preferred stock as of January 31, 2019 into 152,665,804 shares of our Class B common stock, which will occur immediately prior to the completion of this offering;</w:t>
      </w:r>
    </w:p>
    <w:p>
      <w:pPr>
        <w:spacing w:after="0" w:line="75" w:lineRule="exact"/>
        <w:rPr>
          <w:rFonts w:ascii="Arial" w:cs="Arial" w:eastAsia="Arial" w:hAnsi="Arial"/>
          <w:sz w:val="18"/>
          <w:szCs w:val="18"/>
          <w:color w:val="32406B"/>
        </w:rPr>
      </w:pPr>
    </w:p>
    <w:p>
      <w:pPr>
        <w:ind w:left="1220" w:right="340" w:hanging="415"/>
        <w:spacing w:after="0" w:line="312" w:lineRule="auto"/>
        <w:tabs>
          <w:tab w:leader="none" w:pos="1220" w:val="left"/>
        </w:tabs>
        <w:numPr>
          <w:ilvl w:val="0"/>
          <w:numId w:val="15"/>
        </w:numPr>
        <w:rPr>
          <w:rFonts w:ascii="Arial" w:cs="Arial" w:eastAsia="Arial" w:hAnsi="Arial"/>
          <w:sz w:val="16"/>
          <w:szCs w:val="16"/>
          <w:color w:val="32406B"/>
        </w:rPr>
      </w:pPr>
      <w:r>
        <w:rPr>
          <w:rFonts w:ascii="Arial" w:cs="Arial" w:eastAsia="Arial" w:hAnsi="Arial"/>
          <w:sz w:val="16"/>
          <w:szCs w:val="16"/>
          <w:color w:val="32406B"/>
        </w:rPr>
        <w:t>no exercise of the outstanding options described above (other than 283,177 shares to be issued upon exercise of options to purchase Class B common stock by certain selling stockholders and the subsequent conversion of such shares into an equivalent number of shares of our Class A common stock in connection with the sale of such shares by such selling stockholders in this offering); and</w:t>
      </w:r>
    </w:p>
    <w:p>
      <w:pPr>
        <w:spacing w:after="0" w:line="52" w:lineRule="exact"/>
        <w:rPr>
          <w:rFonts w:ascii="Arial" w:cs="Arial" w:eastAsia="Arial" w:hAnsi="Arial"/>
          <w:sz w:val="16"/>
          <w:szCs w:val="16"/>
          <w:color w:val="32406B"/>
        </w:rPr>
      </w:pPr>
    </w:p>
    <w:p>
      <w:pPr>
        <w:ind w:left="1220" w:right="560" w:hanging="415"/>
        <w:spacing w:after="0" w:line="277" w:lineRule="auto"/>
        <w:tabs>
          <w:tab w:leader="none" w:pos="122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no exercise of the underwriters’ option to purchase up to an additional 3,130,435 shares of Class A common stock to cover over-allotments.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32406B"/>
        </w:rPr>
        <w:t>10</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763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6676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SUMMARY CONSOLIDATED FINANCIAL DATA</w:t>
      </w:r>
    </w:p>
    <w:p>
      <w:pPr>
        <w:spacing w:after="0" w:line="229" w:lineRule="exact"/>
        <w:rPr>
          <w:sz w:val="20"/>
          <w:szCs w:val="20"/>
          <w:color w:val="auto"/>
        </w:rPr>
      </w:pPr>
    </w:p>
    <w:p>
      <w:pPr>
        <w:ind w:left="380" w:right="220" w:firstLine="426"/>
        <w:spacing w:after="0" w:line="255" w:lineRule="auto"/>
        <w:rPr>
          <w:sz w:val="20"/>
          <w:szCs w:val="20"/>
          <w:color w:val="auto"/>
        </w:rPr>
      </w:pPr>
      <w:r>
        <w:rPr>
          <w:rFonts w:ascii="Arial" w:cs="Arial" w:eastAsia="Arial" w:hAnsi="Arial"/>
          <w:sz w:val="18"/>
          <w:szCs w:val="18"/>
          <w:color w:val="32406B"/>
        </w:rPr>
        <w:t>The following summary consolidated statements of operations data for the years ended January 31, 2017, 2018 and 2019 and the consolidated balance sheet data as of January 31,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32406B"/>
              </w:rPr>
              <w:t>Year Ended January 31,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32406B"/>
              </w:rPr>
              <w:t>2018</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32406B"/>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8"/>
          </w:tcPr>
          <w:p>
            <w:pPr>
              <w:jc w:val="right"/>
              <w:ind w:right="531"/>
              <w:spacing w:after="0" w:line="142" w:lineRule="exact"/>
              <w:rPr>
                <w:sz w:val="20"/>
                <w:szCs w:val="20"/>
                <w:color w:val="auto"/>
              </w:rPr>
            </w:pPr>
            <w:r>
              <w:rPr>
                <w:rFonts w:ascii="Arial" w:cs="Arial" w:eastAsia="Arial" w:hAnsi="Arial"/>
                <w:sz w:val="14"/>
                <w:szCs w:val="14"/>
                <w:b w:val="1"/>
                <w:bCs w:val="1"/>
                <w:color w:val="32406B"/>
              </w:rPr>
              <w:t>(in thousands, except share and per share data)</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Consolidated Statements of Operations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32406B"/>
              </w:rPr>
              <w:t>Revenue</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32406B"/>
              </w:rPr>
              <w:t>60,817</w:t>
            </w:r>
          </w:p>
        </w:tc>
        <w:tc>
          <w:tcPr>
            <w:tcW w:w="5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32406B"/>
              </w:rPr>
              <w:t>151,478</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32406B"/>
              </w:rPr>
              <w:t>330,517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Cost of revenue</w:t>
            </w:r>
            <w:r>
              <w:rPr>
                <w:rFonts w:ascii="Arial" w:cs="Arial" w:eastAsia="Arial" w:hAnsi="Arial"/>
                <w:sz w:val="15"/>
                <w:szCs w:val="15"/>
                <w:color w:val="32406B"/>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12,472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rPr>
              <w:t>30,780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61,001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32406B"/>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48,345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120,698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269,516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32406B"/>
              </w:rPr>
              <w:t>9,218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32406B"/>
              </w:rPr>
              <w:t>15,733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32406B"/>
              </w:rPr>
              <w:t>33,014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Sales and marketing</w:t>
            </w:r>
            <w:r>
              <w:rPr>
                <w:rFonts w:ascii="Arial" w:cs="Arial" w:eastAsia="Arial" w:hAnsi="Arial"/>
                <w:sz w:val="15"/>
                <w:szCs w:val="15"/>
                <w:color w:val="32406B"/>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31,580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rPr>
              <w:t>82,707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185,821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32406B"/>
              </w:rPr>
              <w:t>General and administrative</w:t>
            </w:r>
            <w:r>
              <w:rPr>
                <w:rFonts w:ascii="Arial" w:cs="Arial" w:eastAsia="Arial" w:hAnsi="Arial"/>
                <w:sz w:val="15"/>
                <w:szCs w:val="15"/>
                <w:color w:val="32406B"/>
              </w:rPr>
              <w:t>(1)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7,547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32406B"/>
              </w:rPr>
              <w:t>27,091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32406B"/>
              </w:rPr>
              <w:t>44,514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740"/>
              <w:spacing w:after="0"/>
              <w:rPr>
                <w:sz w:val="20"/>
                <w:szCs w:val="20"/>
                <w:color w:val="auto"/>
              </w:rPr>
            </w:pPr>
            <w:r>
              <w:rPr>
                <w:rFonts w:ascii="Arial" w:cs="Arial" w:eastAsia="Arial" w:hAnsi="Arial"/>
                <w:sz w:val="18"/>
                <w:szCs w:val="18"/>
                <w:color w:val="32406B"/>
              </w:rPr>
              <w:t>Total 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48,345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rPr>
              <w:t>125,531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263,349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32406B"/>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(4,833)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Interest income,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rPr>
              <w:t>1,241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1,837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32406B"/>
              </w:rPr>
              <w:t>Other income,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60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32406B"/>
              </w:rPr>
              <w:t>74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32406B"/>
              </w:rPr>
              <w:t>345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income (loss) before provision for 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32406B"/>
              </w:rPr>
              <w:t>(3,518)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8,349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32406B"/>
              </w:rPr>
              <w:t>Provision for income taxes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32406B"/>
              </w:rPr>
              <w:t>(172)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32406B"/>
              </w:rPr>
              <w:t>(304)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32406B"/>
              </w:rPr>
              <w:t>(765)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32406B"/>
              </w:rPr>
              <w:t>(3,822)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32406B"/>
              </w:rPr>
              <w:t>Distributed earnings attributable to participating securities</w:t>
            </w:r>
            <w:r>
              <w:rPr>
                <w:rFonts w:ascii="Arial" w:cs="Arial" w:eastAsia="Arial" w:hAnsi="Arial"/>
                <w:sz w:val="15"/>
                <w:szCs w:val="15"/>
                <w:color w:val="32406B"/>
              </w:rPr>
              <w:t>(2)</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32406B"/>
              </w:rPr>
              <w:t>(14,366)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32406B"/>
              </w:rPr>
              <w:t>(4,405)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Undistributed earnings attributable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32406B"/>
              </w:rPr>
              <w:t>Net income (loss) attributable to common stockholders</w:t>
            </w:r>
            <w:r>
              <w:rPr>
                <w:rFonts w:ascii="Arial" w:cs="Arial" w:eastAsia="Arial" w:hAnsi="Arial"/>
                <w:sz w:val="15"/>
                <w:szCs w:val="15"/>
                <w:color w:val="32406B"/>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(14,380)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(8,227)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Net income (loss)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32406B"/>
              </w:rPr>
              <w:t>Basic</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32406B"/>
              </w:rPr>
              <w:t>(0.20)</w:t>
            </w:r>
          </w:p>
        </w:tc>
        <w:tc>
          <w:tcPr>
            <w:tcW w:w="5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32406B"/>
              </w:rPr>
              <w:t>(0.11)</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32406B"/>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(0.20)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32406B"/>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32406B"/>
              </w:rPr>
              <w:t>Weighted-average shares used in computing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32406B"/>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70,309,256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32406B"/>
                <w:w w:val="86"/>
              </w:rPr>
              <w:t>78,119,865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97"/>
              </w:rPr>
              <w:t>84,483,094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32406B"/>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8"/>
              </w:rPr>
              <w:t>70,309,256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6"/>
              </w:rPr>
              <w:t>78,119,865</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116,005,681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Pro forma net income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32406B"/>
              </w:rPr>
              <w:t>Basic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32406B"/>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32406B"/>
              </w:rPr>
              <w:t>Weighted-average shares used in computing pro forma net income per share</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32406B"/>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87"/>
              </w:rPr>
              <w:t>237,282,092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32406B"/>
              </w:rPr>
              <w:t>Diluted</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268,804,679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32406B"/>
            </w:tcBorders>
          </w:tcPr>
          <w:p>
            <w:pPr>
              <w:spacing w:after="0"/>
              <w:rPr>
                <w:sz w:val="20"/>
                <w:szCs w:val="20"/>
                <w:color w:val="auto"/>
              </w:rPr>
            </w:pPr>
          </w:p>
        </w:tc>
        <w:tc>
          <w:tcPr>
            <w:tcW w:w="6400" w:type="dxa"/>
            <w:vAlign w:val="bottom"/>
            <w:tcBorders>
              <w:bottom w:val="single" w:sz="8" w:color="32406B"/>
            </w:tcBorders>
          </w:tcPr>
          <w:p>
            <w:pPr>
              <w:spacing w:after="0"/>
              <w:rPr>
                <w:sz w:val="20"/>
                <w:szCs w:val="20"/>
                <w:color w:val="auto"/>
              </w:rPr>
            </w:pPr>
          </w:p>
        </w:tc>
        <w:tc>
          <w:tcPr>
            <w:tcW w:w="100" w:type="dxa"/>
            <w:vAlign w:val="bottom"/>
            <w:tcBorders>
              <w:bottom w:val="single" w:sz="8" w:color="32406B"/>
            </w:tcBorders>
          </w:tcPr>
          <w:p>
            <w:pPr>
              <w:spacing w:after="0"/>
              <w:rPr>
                <w:sz w:val="20"/>
                <w:szCs w:val="20"/>
                <w:color w:val="auto"/>
              </w:rPr>
            </w:pPr>
          </w:p>
        </w:tc>
        <w:tc>
          <w:tcPr>
            <w:tcW w:w="820" w:type="dxa"/>
            <w:vAlign w:val="bottom"/>
            <w:tcBorders>
              <w:bottom w:val="single" w:sz="8" w:color="32406B"/>
            </w:tcBorders>
          </w:tcPr>
          <w:p>
            <w:pPr>
              <w:spacing w:after="0"/>
              <w:rPr>
                <w:sz w:val="20"/>
                <w:szCs w:val="20"/>
                <w:color w:val="auto"/>
              </w:rPr>
            </w:pPr>
          </w:p>
        </w:tc>
        <w:tc>
          <w:tcPr>
            <w:tcW w:w="240" w:type="dxa"/>
            <w:vAlign w:val="bottom"/>
            <w:tcBorders>
              <w:bottom w:val="single" w:sz="8" w:color="32406B"/>
            </w:tcBorders>
          </w:tcPr>
          <w:p>
            <w:pPr>
              <w:spacing w:after="0"/>
              <w:rPr>
                <w:sz w:val="20"/>
                <w:szCs w:val="20"/>
                <w:color w:val="auto"/>
              </w:rPr>
            </w:pPr>
          </w:p>
        </w:tc>
        <w:tc>
          <w:tcPr>
            <w:tcW w:w="420" w:type="dxa"/>
            <w:vAlign w:val="bottom"/>
            <w:tcBorders>
              <w:bottom w:val="single" w:sz="8" w:color="32406B"/>
            </w:tcBorders>
          </w:tcPr>
          <w:p>
            <w:pPr>
              <w:spacing w:after="0"/>
              <w:rPr>
                <w:sz w:val="20"/>
                <w:szCs w:val="20"/>
                <w:color w:val="auto"/>
              </w:rPr>
            </w:pPr>
          </w:p>
        </w:tc>
        <w:tc>
          <w:tcPr>
            <w:tcW w:w="100" w:type="dxa"/>
            <w:vAlign w:val="bottom"/>
            <w:tcBorders>
              <w:bottom w:val="single" w:sz="8" w:color="32406B"/>
            </w:tcBorders>
          </w:tcPr>
          <w:p>
            <w:pPr>
              <w:spacing w:after="0"/>
              <w:rPr>
                <w:sz w:val="20"/>
                <w:szCs w:val="20"/>
                <w:color w:val="auto"/>
              </w:rPr>
            </w:pPr>
          </w:p>
        </w:tc>
        <w:tc>
          <w:tcPr>
            <w:tcW w:w="800" w:type="dxa"/>
            <w:vAlign w:val="bottom"/>
            <w:tcBorders>
              <w:bottom w:val="single" w:sz="8" w:color="32406B"/>
            </w:tcBorders>
          </w:tcPr>
          <w:p>
            <w:pPr>
              <w:spacing w:after="0"/>
              <w:rPr>
                <w:sz w:val="20"/>
                <w:szCs w:val="20"/>
                <w:color w:val="auto"/>
              </w:rPr>
            </w:pPr>
          </w:p>
        </w:tc>
        <w:tc>
          <w:tcPr>
            <w:tcW w:w="660" w:type="dxa"/>
            <w:vAlign w:val="bottom"/>
            <w:tcBorders>
              <w:bottom w:val="single" w:sz="8" w:color="32406B"/>
            </w:tcBorders>
          </w:tcPr>
          <w:p>
            <w:pPr>
              <w:spacing w:after="0"/>
              <w:rPr>
                <w:sz w:val="20"/>
                <w:szCs w:val="20"/>
                <w:color w:val="auto"/>
              </w:rPr>
            </w:pPr>
          </w:p>
        </w:tc>
        <w:tc>
          <w:tcPr>
            <w:tcW w:w="100" w:type="dxa"/>
            <w:vAlign w:val="bottom"/>
            <w:tcBorders>
              <w:bottom w:val="single" w:sz="8" w:color="32406B"/>
            </w:tcBorders>
          </w:tcPr>
          <w:p>
            <w:pPr>
              <w:spacing w:after="0"/>
              <w:rPr>
                <w:sz w:val="20"/>
                <w:szCs w:val="20"/>
                <w:color w:val="auto"/>
              </w:rPr>
            </w:pPr>
          </w:p>
        </w:tc>
        <w:tc>
          <w:tcPr>
            <w:tcW w:w="900" w:type="dxa"/>
            <w:vAlign w:val="bottom"/>
            <w:tcBorders>
              <w:bottom w:val="single" w:sz="8" w:color="32406B"/>
            </w:tcBorders>
          </w:tcPr>
          <w:p>
            <w:pPr>
              <w:spacing w:after="0"/>
              <w:rPr>
                <w:sz w:val="20"/>
                <w:szCs w:val="20"/>
                <w:color w:val="auto"/>
              </w:rPr>
            </w:pPr>
          </w:p>
        </w:tc>
        <w:tc>
          <w:tcPr>
            <w:tcW w:w="100" w:type="dxa"/>
            <w:vAlign w:val="bottom"/>
            <w:tcBorders>
              <w:bottom w:val="single" w:sz="8" w:color="32406B"/>
            </w:tcBorders>
          </w:tcPr>
          <w:p>
            <w:pPr>
              <w:spacing w:after="0"/>
              <w:rPr>
                <w:sz w:val="20"/>
                <w:szCs w:val="20"/>
                <w:color w:val="auto"/>
              </w:rPr>
            </w:pPr>
          </w:p>
        </w:tc>
        <w:tc>
          <w:tcPr>
            <w:tcW w:w="220" w:type="dxa"/>
            <w:vAlign w:val="bottom"/>
            <w:tcBorders>
              <w:bottom w:val="single" w:sz="8" w:color="32406B"/>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580" w:type="dxa"/>
            <w:vAlign w:val="bottom"/>
            <w:gridSpan w:val="2"/>
          </w:tcPr>
          <w:p>
            <w:pPr>
              <w:jc w:val="right"/>
              <w:ind w:right="890"/>
              <w:spacing w:after="0"/>
              <w:rPr>
                <w:sz w:val="20"/>
                <w:szCs w:val="20"/>
                <w:color w:val="auto"/>
              </w:rPr>
            </w:pPr>
            <w:r>
              <w:rPr>
                <w:rFonts w:ascii="Arial" w:cs="Arial" w:eastAsia="Arial" w:hAnsi="Arial"/>
                <w:sz w:val="18"/>
                <w:szCs w:val="18"/>
                <w:color w:val="32406B"/>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0" w:hanging="414"/>
        <w:spacing w:after="0"/>
        <w:tabs>
          <w:tab w:leader="none" w:pos="80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Includes stock-based compensation expense as follows: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32406B"/>
                <w:w w:val="93"/>
              </w:rPr>
              <w:t>Year Ended January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32406B"/>
                <w:w w:val="89"/>
              </w:rPr>
              <w:t>2017</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89"/>
              </w:rPr>
              <w:t>2018</w:t>
            </w: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32406B"/>
              </w:rPr>
              <w:t>2019</w:t>
            </w:r>
          </w:p>
        </w:tc>
        <w:tc>
          <w:tcPr>
            <w:tcW w:w="4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204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7"/>
              </w:rPr>
              <w:t>$1,119</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32406B"/>
              </w:rPr>
              <w:t>Research and development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32406B"/>
              </w:rPr>
              <w:t>278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360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32406B"/>
              </w:rPr>
              <w:t>1,369</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Sales and marketing</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812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3,540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32406B"/>
              </w:rPr>
              <w:t>General and administrative</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32406B"/>
              </w:rPr>
              <w:t>207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32406B"/>
              </w:rPr>
              <w:t>8,953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32406B"/>
              </w:rPr>
              <w:t>2,913</w:t>
            </w:r>
          </w:p>
        </w:tc>
      </w:tr>
      <w:tr>
        <w:trPr>
          <w:trHeight w:val="27"/>
        </w:trPr>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860" w:type="dxa"/>
            <w:vAlign w:val="bottom"/>
            <w:shd w:val="clear" w:color="auto" w:fill="CCEEFF"/>
          </w:tcPr>
          <w:p>
            <w:pPr>
              <w:ind w:left="380"/>
              <w:spacing w:after="0"/>
              <w:rPr>
                <w:sz w:val="20"/>
                <w:szCs w:val="20"/>
                <w:color w:val="auto"/>
              </w:rPr>
            </w:pPr>
            <w:r>
              <w:rPr>
                <w:rFonts w:ascii="Arial" w:cs="Arial" w:eastAsia="Arial" w:hAnsi="Arial"/>
                <w:sz w:val="18"/>
                <w:szCs w:val="18"/>
                <w:color w:val="32406B"/>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8"/>
              </w:rPr>
              <w:t>1,039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w w:val="87"/>
              </w:rPr>
              <w:t>10,329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7"/>
              </w:rPr>
              <w:t>$8,941</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800" w:right="80" w:hanging="414"/>
        <w:spacing w:after="0" w:line="257" w:lineRule="auto"/>
        <w:tabs>
          <w:tab w:leader="none" w:pos="80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32406B"/>
        </w:rPr>
        <w:t>Consolidated Balance Sheet Data:</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Cash and cash equivalents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Marketable securities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Working capital</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Total assets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32406B"/>
        </w:rPr>
        <w:t>Deferred revenue, current and non-current</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Convertible promissory notes, net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Convertible preferred stock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Accumulated deficit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32406B"/>
        </w:rPr>
        <w:t>Total stockholders’ (deficit) equity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32406B"/>
        </w:rPr>
        <w:t>As of January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32406B"/>
                <w:w w:val="94"/>
              </w:rPr>
              <w:t>Pro</w:t>
            </w:r>
          </w:p>
        </w:tc>
        <w:tc>
          <w:tcPr>
            <w:tcW w:w="860" w:type="dxa"/>
            <w:vAlign w:val="bottom"/>
            <w:tcBorders>
              <w:top w:val="single" w:sz="8" w:color="auto"/>
            </w:tcBorders>
          </w:tcPr>
          <w:p>
            <w:pPr>
              <w:jc w:val="center"/>
              <w:ind w:left="75"/>
              <w:spacing w:after="0" w:line="119" w:lineRule="exact"/>
              <w:rPr>
                <w:sz w:val="20"/>
                <w:szCs w:val="20"/>
                <w:color w:val="auto"/>
              </w:rPr>
            </w:pPr>
            <w:r>
              <w:rPr>
                <w:rFonts w:ascii="Arial" w:cs="Arial" w:eastAsia="Arial" w:hAnsi="Arial"/>
                <w:sz w:val="13"/>
                <w:szCs w:val="13"/>
                <w:b w:val="1"/>
                <w:bCs w:val="1"/>
                <w:color w:val="32406B"/>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32406B"/>
              </w:rPr>
              <w:t>Actual</w:t>
            </w:r>
          </w:p>
        </w:tc>
        <w:tc>
          <w:tcPr>
            <w:tcW w:w="1160" w:type="dxa"/>
            <w:vAlign w:val="bottom"/>
            <w:vMerge w:val="continue"/>
          </w:tcPr>
          <w:p>
            <w:pPr>
              <w:spacing w:after="0"/>
              <w:rPr>
                <w:sz w:val="12"/>
                <w:szCs w:val="12"/>
                <w:color w:val="auto"/>
              </w:rPr>
            </w:pPr>
          </w:p>
        </w:tc>
        <w:tc>
          <w:tcPr>
            <w:tcW w:w="92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32406B"/>
                <w:w w:val="95"/>
              </w:rPr>
              <w:t>Forma As</w:t>
            </w:r>
          </w:p>
        </w:tc>
        <w:tc>
          <w:tcPr>
            <w:tcW w:w="0" w:type="dxa"/>
            <w:vAlign w:val="bottom"/>
          </w:tcPr>
          <w:p>
            <w:pPr>
              <w:spacing w:after="0"/>
              <w:rPr>
                <w:sz w:val="1"/>
                <w:szCs w:val="1"/>
                <w:color w:val="auto"/>
              </w:rPr>
            </w:pPr>
          </w:p>
        </w:tc>
      </w:tr>
      <w:tr>
        <w:trPr>
          <w:trHeight w:val="171"/>
        </w:trPr>
        <w:tc>
          <w:tcPr>
            <w:tcW w:w="90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32406B"/>
                <w:w w:val="97"/>
              </w:rPr>
              <w:t>Forma</w:t>
            </w:r>
            <w:r>
              <w:rPr>
                <w:rFonts w:ascii="Arial" w:cs="Arial" w:eastAsia="Arial" w:hAnsi="Arial"/>
                <w:sz w:val="12"/>
                <w:szCs w:val="12"/>
                <w:b w:val="1"/>
                <w:bCs w:val="1"/>
                <w:color w:val="32406B"/>
                <w:w w:val="97"/>
              </w:rPr>
              <w:t>(1)</w:t>
            </w:r>
          </w:p>
        </w:tc>
        <w:tc>
          <w:tcPr>
            <w:tcW w:w="920" w:type="dxa"/>
            <w:vAlign w:val="bottom"/>
            <w:gridSpan w:val="2"/>
          </w:tcPr>
          <w:p>
            <w:pPr>
              <w:jc w:val="center"/>
              <w:ind w:left="15"/>
              <w:spacing w:after="0"/>
              <w:rPr>
                <w:sz w:val="20"/>
                <w:szCs w:val="20"/>
                <w:color w:val="auto"/>
              </w:rPr>
            </w:pPr>
            <w:r>
              <w:rPr>
                <w:rFonts w:ascii="Arial" w:cs="Arial" w:eastAsia="Arial" w:hAnsi="Arial"/>
                <w:sz w:val="14"/>
                <w:szCs w:val="14"/>
                <w:b w:val="1"/>
                <w:bCs w:val="1"/>
                <w:color w:val="32406B"/>
                <w:w w:val="93"/>
              </w:rPr>
              <w:t>Adjusted</w:t>
            </w:r>
            <w:r>
              <w:rPr>
                <w:rFonts w:ascii="Arial" w:cs="Arial" w:eastAsia="Arial" w:hAnsi="Arial"/>
                <w:sz w:val="12"/>
                <w:szCs w:val="12"/>
                <w:b w:val="1"/>
                <w:bCs w:val="1"/>
                <w:color w:val="32406B"/>
                <w:w w:val="93"/>
              </w:rPr>
              <w:t>(2)</w:t>
            </w:r>
          </w:p>
        </w:tc>
        <w:tc>
          <w:tcPr>
            <w:tcW w:w="0" w:type="dxa"/>
            <w:vAlign w:val="bottom"/>
          </w:tcPr>
          <w:p>
            <w:pPr>
              <w:spacing w:after="0"/>
              <w:rPr>
                <w:sz w:val="1"/>
                <w:szCs w:val="1"/>
                <w:color w:val="auto"/>
              </w:rPr>
            </w:pPr>
          </w:p>
        </w:tc>
      </w:tr>
      <w:tr>
        <w:trPr>
          <w:trHeight w:val="180"/>
        </w:trPr>
        <w:tc>
          <w:tcPr>
            <w:tcW w:w="9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(in thousands)</w:t>
            </w:r>
          </w:p>
        </w:tc>
        <w:tc>
          <w:tcPr>
            <w:tcW w:w="8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900" w:type="dxa"/>
            <w:vAlign w:val="bottom"/>
          </w:tcPr>
          <w:p>
            <w:pPr>
              <w:jc w:val="right"/>
              <w:ind w:right="112"/>
              <w:spacing w:after="0"/>
              <w:rPr>
                <w:sz w:val="20"/>
                <w:szCs w:val="20"/>
                <w:color w:val="auto"/>
              </w:rPr>
            </w:pPr>
            <w:r>
              <w:rPr>
                <w:rFonts w:ascii="Arial" w:cs="Arial" w:eastAsia="Arial" w:hAnsi="Arial"/>
                <w:sz w:val="18"/>
                <w:szCs w:val="18"/>
                <w:color w:val="32406B"/>
                <w:w w:val="96"/>
              </w:rPr>
              <w:t>$ 63,624</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$ 63,624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$ 499,205</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32406B"/>
              </w:rPr>
              <w:t>112,777</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112,777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112,777</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32406B"/>
              </w:rPr>
              <w:t>124,378</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124,378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559,959</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32406B"/>
              </w:rPr>
              <w:t>354,565</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354,565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789,207</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32406B"/>
              </w:rPr>
              <w:t>125,773</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125,773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125,773</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32406B"/>
              </w:rPr>
              <w:t>14,858</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112"/>
              <w:spacing w:after="0"/>
              <w:rPr>
                <w:sz w:val="20"/>
                <w:szCs w:val="20"/>
                <w:color w:val="auto"/>
              </w:rPr>
            </w:pPr>
            <w:r>
              <w:rPr>
                <w:rFonts w:ascii="Arial" w:cs="Arial" w:eastAsia="Arial" w:hAnsi="Arial"/>
                <w:sz w:val="18"/>
                <w:szCs w:val="18"/>
                <w:color w:val="32406B"/>
              </w:rPr>
              <w:t>159,552</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900" w:type="dxa"/>
            <w:vAlign w:val="bottom"/>
          </w:tcPr>
          <w:p>
            <w:pPr>
              <w:jc w:val="right"/>
              <w:ind w:right="52"/>
              <w:spacing w:after="0"/>
              <w:rPr>
                <w:sz w:val="20"/>
                <w:szCs w:val="20"/>
                <w:color w:val="auto"/>
              </w:rPr>
            </w:pPr>
            <w:r>
              <w:rPr>
                <w:rFonts w:ascii="Arial" w:cs="Arial" w:eastAsia="Arial" w:hAnsi="Arial"/>
                <w:sz w:val="18"/>
                <w:szCs w:val="18"/>
                <w:color w:val="32406B"/>
              </w:rPr>
              <w:t>(25,153)</w:t>
            </w:r>
          </w:p>
        </w:tc>
        <w:tc>
          <w:tcPr>
            <w:tcW w:w="1160" w:type="dxa"/>
            <w:vAlign w:val="bottom"/>
          </w:tcPr>
          <w:p>
            <w:pPr>
              <w:jc w:val="right"/>
              <w:ind w:right="114"/>
              <w:spacing w:after="0"/>
              <w:rPr>
                <w:sz w:val="20"/>
                <w:szCs w:val="20"/>
                <w:color w:val="auto"/>
              </w:rPr>
            </w:pPr>
            <w:r>
              <w:rPr>
                <w:rFonts w:ascii="Arial" w:cs="Arial" w:eastAsia="Arial" w:hAnsi="Arial"/>
                <w:sz w:val="18"/>
                <w:szCs w:val="18"/>
                <w:color w:val="32406B"/>
              </w:rPr>
              <w:t>(25,153)</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(25,153)</w:t>
            </w:r>
          </w:p>
        </w:tc>
        <w:tc>
          <w:tcPr>
            <w:tcW w:w="0" w:type="dxa"/>
            <w:vAlign w:val="bottom"/>
          </w:tcPr>
          <w:p>
            <w:pPr>
              <w:spacing w:after="0"/>
              <w:rPr>
                <w:sz w:val="1"/>
                <w:szCs w:val="1"/>
                <w:color w:val="auto"/>
              </w:rPr>
            </w:pPr>
          </w:p>
        </w:tc>
      </w:tr>
      <w:tr>
        <w:trPr>
          <w:trHeight w:val="230"/>
        </w:trPr>
        <w:tc>
          <w:tcPr>
            <w:tcW w:w="900" w:type="dxa"/>
            <w:vAlign w:val="bottom"/>
          </w:tcPr>
          <w:p>
            <w:pPr>
              <w:jc w:val="right"/>
              <w:ind w:right="52"/>
              <w:spacing w:after="0"/>
              <w:rPr>
                <w:sz w:val="20"/>
                <w:szCs w:val="20"/>
                <w:color w:val="auto"/>
              </w:rPr>
            </w:pPr>
            <w:r>
              <w:rPr>
                <w:rFonts w:ascii="Arial" w:cs="Arial" w:eastAsia="Arial" w:hAnsi="Arial"/>
                <w:sz w:val="18"/>
                <w:szCs w:val="18"/>
                <w:color w:val="32406B"/>
              </w:rPr>
              <w:t>(7,439)</w:t>
            </w:r>
          </w:p>
        </w:tc>
        <w:tc>
          <w:tcPr>
            <w:tcW w:w="1160" w:type="dxa"/>
            <w:vAlign w:val="bottom"/>
          </w:tcPr>
          <w:p>
            <w:pPr>
              <w:jc w:val="right"/>
              <w:ind w:right="174"/>
              <w:spacing w:after="0"/>
              <w:rPr>
                <w:sz w:val="20"/>
                <w:szCs w:val="20"/>
                <w:color w:val="auto"/>
              </w:rPr>
            </w:pPr>
            <w:r>
              <w:rPr>
                <w:rFonts w:ascii="Arial" w:cs="Arial" w:eastAsia="Arial" w:hAnsi="Arial"/>
                <w:sz w:val="18"/>
                <w:szCs w:val="18"/>
                <w:color w:val="32406B"/>
              </w:rPr>
              <w:t>167,332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601,974</w:t>
            </w: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7280" w:space="720"/>
            <w:col w:w="3020"/>
          </w:cols>
          <w:pgMar w:left="240" w:top="459" w:right="639" w:bottom="1440" w:gutter="0" w:footer="0" w:header="0"/>
          <w:type w:val="continuous"/>
        </w:sectPr>
      </w:pPr>
    </w:p>
    <w:p>
      <w:pPr>
        <w:ind w:left="800" w:right="80" w:hanging="414"/>
        <w:spacing w:after="0" w:line="253" w:lineRule="auto"/>
        <w:tabs>
          <w:tab w:leader="none" w:pos="80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Pro forma gives effect to (a) the automatic conversion of all outstanding shares of our convertible preferred stock as of January 31, 2019 into 152,665,804 shares of Class B common stock immediately prior to the completion of this offering, (b) the filing of our amended and restated certificate of incorporation immediately prior to the completion of this offering and (c) the issuance of 422,744 shares of Class A common stock upon conversion of outstanding convertible promissory notes (included in other liabilities, non-current on our consolidated balance sheet) as of January 31, 2019 at the initial public offering price of $36.00 per share, in the principal amount of $15.0 million plus accrued interest upon the completion of this offering.</w:t>
      </w:r>
    </w:p>
    <w:p>
      <w:pPr>
        <w:spacing w:after="0" w:line="1" w:lineRule="exact"/>
        <w:rPr>
          <w:rFonts w:ascii="Arial" w:cs="Arial" w:eastAsia="Arial" w:hAnsi="Arial"/>
          <w:sz w:val="18"/>
          <w:szCs w:val="18"/>
          <w:color w:val="32406B"/>
        </w:rPr>
      </w:pPr>
    </w:p>
    <w:p>
      <w:pPr>
        <w:ind w:left="800" w:hanging="414"/>
        <w:spacing w:after="0"/>
        <w:tabs>
          <w:tab w:leader="none" w:pos="80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Pro forma as adjusted gives further effect to (a) the pro forma items described immediately above, (b) our issuance and sale of</w:t>
      </w:r>
    </w:p>
    <w:p>
      <w:pPr>
        <w:spacing w:after="0" w:line="9" w:lineRule="exact"/>
        <w:rPr>
          <w:rFonts w:ascii="Arial" w:cs="Arial" w:eastAsia="Arial" w:hAnsi="Arial"/>
          <w:sz w:val="18"/>
          <w:szCs w:val="18"/>
          <w:color w:val="32406B"/>
        </w:rPr>
      </w:pPr>
    </w:p>
    <w:p>
      <w:pPr>
        <w:ind w:left="800" w:right="40"/>
        <w:spacing w:after="0" w:line="269" w:lineRule="auto"/>
        <w:rPr>
          <w:rFonts w:ascii="Arial" w:cs="Arial" w:eastAsia="Arial" w:hAnsi="Arial"/>
          <w:sz w:val="18"/>
          <w:szCs w:val="18"/>
          <w:color w:val="32406B"/>
        </w:rPr>
      </w:pPr>
      <w:r>
        <w:rPr>
          <w:rFonts w:ascii="Arial" w:cs="Arial" w:eastAsia="Arial" w:hAnsi="Arial"/>
          <w:sz w:val="17"/>
          <w:szCs w:val="17"/>
          <w:color w:val="32406B"/>
        </w:rPr>
        <w:t>12,689,211 shares of Class A common stock in this offering and the concurrent private placement at the initial public offering price of $36.00 per share, after deducting underwriting discounts and commissions and estimated expenses related to the offering and the concurrent private placement payable by us, and (c) the conversion of 10,674,954 shares of our Class B common stock held by certain selling stockholders into an equivalent number of our Class A common stock upon the sale by the selling stockholders in this offering, as well as the issuance of 283,177 shares of our Class B common stock and the subsequent conversion of such shares into an equivalent number of shares of our Class A common stock upon the exercise of options held by certain selling stockholders in connection with the sale of such shares by such selling stockholders in this offering.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12</w:t>
      </w:r>
    </w:p>
    <w:p>
      <w:pPr>
        <w:sectPr>
          <w:pgSz w:w="11900" w:h="16838" w:orient="portrait"/>
          <w:cols w:equalWidth="0" w:num="1">
            <w:col w:w="11020"/>
          </w:cols>
          <w:pgMar w:left="24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32406B"/>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Our Business and Our Industry</w:t>
      </w:r>
    </w:p>
    <w:p>
      <w:pPr>
        <w:spacing w:after="0" w:line="121"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32406B"/>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32406B"/>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7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8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32406B"/>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have a limited operating history, which makes it difficult to evaluate our prospects and future results of operations.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operate in competitive markets, and we must continue to compete effectively.</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76"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legacy web-based meeting providers, including Webex and Skype for Business;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bundled productivity solutions providers with basic video functionality, including Google;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point solutions providers, including LogMeIn.</w:t>
      </w:r>
    </w:p>
    <w:p>
      <w:pPr>
        <w:spacing w:after="0" w:line="225"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32406B"/>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6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not be able to sustain our revenue growth rate in the future.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32406B"/>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32406B"/>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Additionally, if our data centers are unable to keep up with our increasing needs for capacity, customers may experience delays as we seek to obtain additional capacity, which could harm our business.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97"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32406B"/>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Unlike traditional communications and collaborations technologies, our services depend on our users’ high-speed broadband access to the internet, usually provided through a cable or digital subscriber line connection.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32406B"/>
        </w:rPr>
        <w:t>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7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32406B"/>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6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32406B"/>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32406B"/>
        </w:rPr>
        <w:t>As we increase sales to large organizations, our sales cycles could lengthen, and we could experience greater deployment challenges.</w:t>
      </w:r>
    </w:p>
    <w:p>
      <w:pPr>
        <w:spacing w:after="0" w:line="12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32406B"/>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32406B"/>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32406B"/>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1"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awareness of the communications and collaboration technologies category generally;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availability of products and services that compete with ours;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new modes of communications and collaboration that may be developed in the future;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ease of adoption and use;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features and platform experience;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reliability of our platform, including frequency of outages;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performance;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brand;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security and privacy;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user support;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pricing.</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32406B"/>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8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32406B"/>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32406B"/>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7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32406B"/>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not be able to respond to rapid technological changes, extend our platform or develop new features.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32406B"/>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8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32406B"/>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32406B"/>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Further, we are currently recruiting a new Head of Worldwide Sales or role with similar responsibility, which will require significant management time and resources.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8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32406B"/>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73"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32406B"/>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deploy updates to the software addressing these vulnerabilities and we are not aware of any customers being affected or meetings compromised by these vulnerabilities,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32406B"/>
        </w:rPr>
        <w:t>premiums due to cybersecurity incidents, increased costs to address cybersecurity issues and attempts to prevent future incidents, and harm to our business and our reputation because of any such incident.</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32406B"/>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86"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32406B"/>
        </w:rPr>
        <w:t>We have a history of net losses, and we expect to increase our expenses in the future, which could prevent us from achieving or maintaining profitability.</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Although we generated net income of $7.6 million for the fiscal year ended January 31, 2019, we have incurred net losses in the past, including a net loss of $3.8 million for the fiscal year ended January 31, 2018,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32406B"/>
        </w:rPr>
        <w:t>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not successfully manage our growth or plan for future growth.</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Since our founding in 2011, we have experienced rapid growth. For example, our headcount has grown to 1,702 full-time employees as of January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32406B"/>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ability to sell subscriptions to our platform could be harmed by real or perceived material defects or errors in our platform.</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32406B"/>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87"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cause a reduction in revenue or delay in market acceptance of our platform;</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require us to issue refunds to our customers or expose us to claims for damages;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cause us to lose existing hosts and make it more difficult to attract new customers and hosts;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1"/>
        </w:numPr>
        <w:rPr>
          <w:rFonts w:ascii="Arial" w:cs="Arial" w:eastAsia="Arial" w:hAnsi="Arial"/>
          <w:sz w:val="17"/>
          <w:szCs w:val="17"/>
          <w:color w:val="32406B"/>
        </w:rPr>
      </w:pPr>
      <w:r>
        <w:rPr>
          <w:rFonts w:ascii="Arial" w:cs="Arial" w:eastAsia="Arial" w:hAnsi="Arial"/>
          <w:sz w:val="17"/>
          <w:szCs w:val="17"/>
          <w:color w:val="32406B"/>
        </w:rPr>
        <w:t>divert our development resources or require us to make extensive changes to our platform, which would increase our expenses;</w:t>
      </w:r>
    </w:p>
    <w:p>
      <w:pPr>
        <w:spacing w:after="0" w:line="169" w:lineRule="exact"/>
        <w:rPr>
          <w:rFonts w:ascii="Arial" w:cs="Arial" w:eastAsia="Arial" w:hAnsi="Arial"/>
          <w:sz w:val="17"/>
          <w:szCs w:val="17"/>
          <w:color w:val="32406B"/>
        </w:rPr>
      </w:pPr>
    </w:p>
    <w:p>
      <w:pPr>
        <w:ind w:left="5620"/>
        <w:spacing w:after="0"/>
        <w:rPr>
          <w:rFonts w:ascii="Arial" w:cs="Arial" w:eastAsia="Arial" w:hAnsi="Arial"/>
          <w:sz w:val="17"/>
          <w:szCs w:val="17"/>
          <w:color w:val="32406B"/>
        </w:rPr>
      </w:pPr>
      <w:r>
        <w:rPr>
          <w:rFonts w:ascii="Arial" w:cs="Arial" w:eastAsia="Arial" w:hAnsi="Arial"/>
          <w:sz w:val="18"/>
          <w:szCs w:val="18"/>
          <w:color w:val="32406B"/>
        </w:rPr>
        <w:t>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increase our technical support costs;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harm our reputation and brand.</w:t>
      </w:r>
    </w:p>
    <w:p>
      <w:pPr>
        <w:spacing w:after="0" w:line="33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32406B"/>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32406B"/>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8"/>
          <w:szCs w:val="18"/>
          <w:b w:val="1"/>
          <w:bCs w:val="1"/>
          <w:color w:val="32406B"/>
        </w:rPr>
        <w:t>-</w:t>
      </w:r>
      <w:r>
        <w:rPr>
          <w:rFonts w:ascii="Arial" w:cs="Arial" w:eastAsia="Arial" w:hAnsi="Arial"/>
          <w:sz w:val="18"/>
          <w:szCs w:val="18"/>
          <w:color w:val="32406B"/>
        </w:rPr>
        <w:t>will employees, and we do not maintain any key person life insurance policies. The loss of any member of our senior management team would harm our business.</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32406B"/>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32406B"/>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For example, our former Head of Worldwide Sales recently transitioned from this position and as one of our executive officers to a corporate strategy role with us, and while he will continue to be a key contributor, we will need to spend significant resources on recruiting a new Head of Worldwide Sales or role with similar responsibility. If we fail to attract new personnel or fail to retain and motivate our current personnel, our business could be harmed.</w:t>
      </w:r>
    </w:p>
    <w:p>
      <w:pPr>
        <w:spacing w:after="0" w:line="17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66"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32406B"/>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For example, we were recently informed of a personal relationship involving our Chief Financial Officer and an individual with whom she worked, while they were both at her prior employer. After reviewing the facts and circumstances of the situation, we confirmed that our Chief Financial Officer can and should continue to serve in her role. However, these are the types of situations that will continue to challenge our culture of transparency, especially as we become a public company and operate under the rules and responsibilities to which public companies are subject.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32406B"/>
        </w:rPr>
        <w:t>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2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32406B"/>
        </w:rPr>
        <w:t>We are continuing to expand our operations outside the United States, where we may be subject to increased business and economic risks that could harm our business.</w:t>
      </w:r>
    </w:p>
    <w:p>
      <w:pPr>
        <w:spacing w:after="0" w:line="62" w:lineRule="exact"/>
        <w:rPr>
          <w:sz w:val="20"/>
          <w:szCs w:val="20"/>
          <w:color w:val="auto"/>
        </w:rPr>
      </w:pPr>
    </w:p>
    <w:p>
      <w:pPr>
        <w:ind w:left="200" w:right="120" w:firstLine="441"/>
        <w:spacing w:after="0" w:line="287" w:lineRule="auto"/>
        <w:rPr>
          <w:sz w:val="20"/>
          <w:szCs w:val="20"/>
          <w:color w:val="auto"/>
        </w:rPr>
      </w:pPr>
      <w:r>
        <w:rPr>
          <w:rFonts w:ascii="Arial" w:cs="Arial" w:eastAsia="Arial" w:hAnsi="Arial"/>
          <w:sz w:val="16"/>
          <w:szCs w:val="16"/>
          <w:color w:val="32406B"/>
        </w:rPr>
        <w:t>We have customers in over 180 countries, and 18% of our revenue in the fiscal year ended January 31, 2019 was generated from customers in APAC and EMEA. In fiscal 2018, we established a physical sales presence in Australia and the United Kingdom. Additionally, as of January 31, 2019, we had five additional international sales locations, and we plan to add local sales support in further select international markets over time. We also operate research and development centers in China, employing over 500 employees as of January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78" w:lineRule="exact"/>
        <w:rPr>
          <w:sz w:val="20"/>
          <w:szCs w:val="20"/>
          <w:color w:val="auto"/>
        </w:rPr>
      </w:pPr>
    </w:p>
    <w:p>
      <w:pPr>
        <w:ind w:left="1060" w:right="300" w:hanging="424"/>
        <w:spacing w:after="0" w:line="277" w:lineRule="auto"/>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recruiting and retaining talented and capable employees outside the United States and maintaining our company culture across all of our offices;</w:t>
      </w:r>
    </w:p>
    <w:p>
      <w:pPr>
        <w:spacing w:after="0" w:line="75" w:lineRule="exact"/>
        <w:rPr>
          <w:rFonts w:ascii="Arial" w:cs="Arial" w:eastAsia="Arial" w:hAnsi="Arial"/>
          <w:sz w:val="18"/>
          <w:szCs w:val="18"/>
          <w:color w:val="32406B"/>
        </w:rPr>
      </w:pPr>
    </w:p>
    <w:p>
      <w:pPr>
        <w:ind w:left="1060" w:right="480" w:hanging="424"/>
        <w:spacing w:after="0" w:line="264" w:lineRule="auto"/>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86" w:lineRule="exact"/>
        <w:rPr>
          <w:rFonts w:ascii="Arial" w:cs="Arial" w:eastAsia="Arial" w:hAnsi="Arial"/>
          <w:sz w:val="18"/>
          <w:szCs w:val="18"/>
          <w:color w:val="32406B"/>
        </w:rPr>
      </w:pPr>
    </w:p>
    <w:p>
      <w:pPr>
        <w:ind w:left="1060" w:right="140" w:hanging="424"/>
        <w:spacing w:after="0" w:line="264" w:lineRule="auto"/>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86" w:lineRule="exact"/>
        <w:rPr>
          <w:rFonts w:ascii="Arial" w:cs="Arial" w:eastAsia="Arial" w:hAnsi="Arial"/>
          <w:sz w:val="18"/>
          <w:szCs w:val="18"/>
          <w:color w:val="32406B"/>
        </w:rPr>
      </w:pPr>
    </w:p>
    <w:p>
      <w:pPr>
        <w:ind w:left="1060" w:right="300" w:hanging="424"/>
        <w:spacing w:after="0" w:line="277" w:lineRule="auto"/>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management of an employee base in jurisdictions that may not give us the same employment and retention flexibility as does the United States;</w:t>
      </w:r>
    </w:p>
    <w:p>
      <w:pPr>
        <w:spacing w:after="0" w:line="75" w:lineRule="exact"/>
        <w:rPr>
          <w:rFonts w:ascii="Arial" w:cs="Arial" w:eastAsia="Arial" w:hAnsi="Arial"/>
          <w:sz w:val="18"/>
          <w:szCs w:val="18"/>
          <w:color w:val="32406B"/>
        </w:rPr>
      </w:pPr>
    </w:p>
    <w:p>
      <w:pPr>
        <w:ind w:left="1060" w:right="560" w:hanging="424"/>
        <w:spacing w:after="0" w:line="277" w:lineRule="auto"/>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operating in jurisdictions that do not protect intellectual property rights to the same extent as does the United States and the practical enforcement of such intellectual property rights outside of the United States;</w:t>
      </w:r>
    </w:p>
    <w:p>
      <w:pPr>
        <w:spacing w:after="0" w:line="75" w:lineRule="exact"/>
        <w:rPr>
          <w:rFonts w:ascii="Arial" w:cs="Arial" w:eastAsia="Arial" w:hAnsi="Arial"/>
          <w:sz w:val="18"/>
          <w:szCs w:val="18"/>
          <w:color w:val="32406B"/>
        </w:rPr>
      </w:pPr>
    </w:p>
    <w:p>
      <w:pPr>
        <w:ind w:left="1060" w:right="40" w:hanging="424"/>
        <w:spacing w:after="0" w:line="342" w:lineRule="auto"/>
        <w:tabs>
          <w:tab w:leader="none" w:pos="1060" w:val="left"/>
        </w:tabs>
        <w:numPr>
          <w:ilvl w:val="0"/>
          <w:numId w:val="23"/>
        </w:numPr>
        <w:rPr>
          <w:rFonts w:ascii="Arial" w:cs="Arial" w:eastAsia="Arial" w:hAnsi="Arial"/>
          <w:sz w:val="16"/>
          <w:szCs w:val="16"/>
          <w:color w:val="32406B"/>
        </w:rPr>
      </w:pPr>
      <w:r>
        <w:rPr>
          <w:rFonts w:ascii="Arial" w:cs="Arial" w:eastAsia="Arial" w:hAnsi="Arial"/>
          <w:sz w:val="16"/>
          <w:szCs w:val="16"/>
          <w:color w:val="32406B"/>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29" w:lineRule="exact"/>
        <w:rPr>
          <w:rFonts w:ascii="Arial" w:cs="Arial" w:eastAsia="Arial" w:hAnsi="Arial"/>
          <w:sz w:val="16"/>
          <w:szCs w:val="16"/>
          <w:color w:val="32406B"/>
        </w:rPr>
      </w:pPr>
    </w:p>
    <w:p>
      <w:pPr>
        <w:ind w:left="1060" w:hanging="424"/>
        <w:spacing w:after="0"/>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integration with partners outside of the United States;</w:t>
      </w:r>
    </w:p>
    <w:p>
      <w:pPr>
        <w:spacing w:after="0" w:line="130" w:lineRule="exact"/>
        <w:rPr>
          <w:rFonts w:ascii="Arial" w:cs="Arial" w:eastAsia="Arial" w:hAnsi="Arial"/>
          <w:sz w:val="18"/>
          <w:szCs w:val="18"/>
          <w:color w:val="32406B"/>
        </w:rPr>
      </w:pPr>
    </w:p>
    <w:p>
      <w:pPr>
        <w:ind w:left="1060" w:right="460" w:hanging="424"/>
        <w:spacing w:after="0" w:line="308" w:lineRule="auto"/>
        <w:tabs>
          <w:tab w:leader="none" w:pos="1060" w:val="left"/>
        </w:tabs>
        <w:numPr>
          <w:ilvl w:val="0"/>
          <w:numId w:val="23"/>
        </w:numPr>
        <w:rPr>
          <w:rFonts w:ascii="Arial" w:cs="Arial" w:eastAsia="Arial" w:hAnsi="Arial"/>
          <w:sz w:val="17"/>
          <w:szCs w:val="17"/>
          <w:color w:val="32406B"/>
        </w:rPr>
      </w:pPr>
      <w:r>
        <w:rPr>
          <w:rFonts w:ascii="Arial" w:cs="Arial" w:eastAsia="Arial" w:hAnsi="Arial"/>
          <w:sz w:val="17"/>
          <w:szCs w:val="17"/>
          <w:color w:val="32406B"/>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32406B"/>
        </w:rPr>
      </w:pPr>
    </w:p>
    <w:p>
      <w:pPr>
        <w:ind w:left="1060" w:hanging="424"/>
        <w:spacing w:after="0" w:line="277" w:lineRule="auto"/>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political and economic instability;</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23</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77" w:lineRule="auto"/>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changes in diplomatic and trade relationships, including the imposition of new trade restrictions, trade protection measures, import or export requirements, trade embargoes and other trade barriers;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generally longer payment cycles and greater difficulty in collecting accounts receivable;</w:t>
      </w:r>
    </w:p>
    <w:p>
      <w:pPr>
        <w:spacing w:after="0" w:line="130" w:lineRule="exact"/>
        <w:rPr>
          <w:rFonts w:ascii="Arial" w:cs="Arial" w:eastAsia="Arial" w:hAnsi="Arial"/>
          <w:sz w:val="18"/>
          <w:szCs w:val="18"/>
          <w:color w:val="32406B"/>
        </w:rPr>
      </w:pPr>
    </w:p>
    <w:p>
      <w:pPr>
        <w:ind w:left="1060" w:right="220" w:hanging="424"/>
        <w:spacing w:after="0" w:line="277" w:lineRule="auto"/>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higher costs of doing business internationally, including increased accounting, travel, infrastructure and legal compliance costs.</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quarterly results may fluctuate significantly and may not fully reflect the underlying performance of our business.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4"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our ability to retain and upgrade customers to higher-priced tiers of Zoom Meeting plans;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our ability to attract new hosts and upgrade hosts that subscribe to our free Zoom Meeting plan to one of our paid Zoom Meeting plans;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our ability to hire and retain employees, in particular those responsible for the selling or marketing of our platform;</w:t>
      </w:r>
    </w:p>
    <w:p>
      <w:pPr>
        <w:spacing w:after="0" w:line="130" w:lineRule="exact"/>
        <w:rPr>
          <w:rFonts w:ascii="Arial" w:cs="Arial" w:eastAsia="Arial" w:hAnsi="Arial"/>
          <w:sz w:val="18"/>
          <w:szCs w:val="18"/>
          <w:color w:val="32406B"/>
        </w:rPr>
      </w:pPr>
    </w:p>
    <w:p>
      <w:pPr>
        <w:ind w:left="1060" w:right="180" w:hanging="424"/>
        <w:spacing w:after="0" w:line="277" w:lineRule="auto"/>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changes in the way we organize and compensate our sales teams;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the timing of expenses and recognition of revenue;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increased sales to large organizations;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the length of sales cycles;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amount and timing of operating expenses related to the maintenance and expansion of our business, operations and infrastructure, as well as international expansion and entry into operating leases;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timing and effectiveness of new sales and marketing initiatives;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changes in our pricing policies or those of our competitors;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timing and success of new products, features and functionality by us or our competitors;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interruptions or delays in our service, network outages, or actual or perceived privacy or security breaches;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changes in the competitive dynamics of our industry, including consolidation among competitors;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changes in laws and regulations that impact our business;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any large indemnification payments to our users or other third parties;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timing of expenses related to any future acquisitions;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general economic and market conditions.</w:t>
      </w:r>
    </w:p>
    <w:p>
      <w:pPr>
        <w:spacing w:after="0" w:line="33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32406B"/>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8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32406B"/>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32406B"/>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We receive, store, process and use personal information and other user content. There are numerous federal, state, local and international laws and regulations regarding privacy, data protection, information security and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32406B"/>
        </w:rPr>
        <w:t>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89"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32406B"/>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93"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32406B"/>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manner, which we may be unable to complete and may limit our ability to store and process user data or develop new services and features.</w:t>
      </w:r>
    </w:p>
    <w:p>
      <w:pPr>
        <w:spacing w:after="0" w:line="34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32406B"/>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be subject to liabilities on past sales for taxes, surcharges and fees.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69"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$8.9 million and $22.0 million for the fiscal years ended January 31, 2018 and 2019,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32406B"/>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32406B"/>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9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32406B"/>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32406B"/>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32406B"/>
        </w:rPr>
        <w:t>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8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32406B"/>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32406B"/>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 ended January 31, 2019, 6.4% of our revenue and 12.3% of our expenses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87"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b w:val="1"/>
          <w:bCs w:val="1"/>
          <w:i w:val="1"/>
          <w:iCs w:val="1"/>
          <w:color w:val="32406B"/>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97"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32406B"/>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32406B"/>
        </w:rPr>
        <w:t>Market opportunity estimates and growth forecasts included in this prospectus, including those we have generated ourselves, are subject to significant uncertainty and are based on assumptions and estimates that may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32406B"/>
        </w:rPr>
        <w:t>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29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32406B"/>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32406B"/>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92"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32406B"/>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78" w:lineRule="exact"/>
        <w:rPr>
          <w:sz w:val="20"/>
          <w:szCs w:val="20"/>
          <w:color w:val="auto"/>
        </w:rPr>
      </w:pPr>
    </w:p>
    <w:p>
      <w:pPr>
        <w:jc w:val="both"/>
        <w:ind w:left="200" w:right="340" w:firstLine="441"/>
        <w:spacing w:after="0" w:line="286" w:lineRule="auto"/>
        <w:rPr>
          <w:sz w:val="20"/>
          <w:szCs w:val="20"/>
          <w:color w:val="auto"/>
        </w:rPr>
      </w:pPr>
      <w:r>
        <w:rPr>
          <w:rFonts w:ascii="Arial" w:cs="Arial" w:eastAsia="Arial" w:hAnsi="Arial"/>
          <w:sz w:val="17"/>
          <w:szCs w:val="17"/>
          <w:color w:val="32406B"/>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32406B"/>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Federal Regulation</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State Regulation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International Regulation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32406B"/>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8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32406B"/>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For example, on February 28, 2019, Wave Linx LLC (Wave Linx) filed a lawsuit against us in the U.S. District Court for the District of Delaware alleging that we infringe a patent owned by Wave Linx. Also, on April 5, 2019, Krush Technologies, Inc. (Krush) filed a lawsuit against us in the Northern District Court of California, alleging that we infringe three patents that Krush acquired. Krush is seeking a permanent injunction</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32406B"/>
        </w:rPr>
        <w:t>against infringement, treble damages and attorneys’ fees. While we intend to defend these lawsuits vigorously and believe that we have valid defenses to these claims, litigation can be costly and time-consuming,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32406B"/>
        </w:rPr>
        <w:t>Our failure to protect our intellectual property rights and proprietary information could diminish our brand and other intangible assets.</w:t>
      </w:r>
    </w:p>
    <w:p>
      <w:pPr>
        <w:spacing w:after="0" w:line="12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32406B"/>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as of March 22, 2019, we have two issued patents and seven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76"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b w:val="1"/>
          <w:bCs w:val="1"/>
          <w:i w:val="1"/>
          <w:iCs w:val="1"/>
          <w:color w:val="32406B"/>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A large portion of our customers authorize us to bill their credit card accounts directly for our products. If customers pay for their subscriptions with stolen credit cards, we could incur substantial third-party vendor costs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32406B"/>
        </w:rPr>
        <w:t>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Our business may be significantly impacted by a change in the economy, including any resulting effect on consumer or business spending.</w:t>
      </w:r>
    </w:p>
    <w:p>
      <w:pPr>
        <w:spacing w:after="0" w:line="14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business could be disrupted by catastrophic events.</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32406B"/>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have exposure to greater than anticipated tax liabilities, which could harm our business.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32406B"/>
        </w:rPr>
        <w:t>33</w:t>
      </w:r>
    </w:p>
    <w:p>
      <w:pPr>
        <w:sectPr>
          <w:pgSz w:w="11900" w:h="16838" w:orient="portrait"/>
          <w:cols w:equalWidth="0" w:num="1">
            <w:col w:w="11100"/>
          </w:cols>
          <w:pgMar w:left="24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Our ability to use our net operating loss carryforwards and certain other tax attributes may be limited.</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32406B"/>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this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32406B"/>
        </w:rPr>
        <w:t>Our reported results of operations may be adversely affected by changes in accounting principles generally accepted in the United States.</w:t>
      </w:r>
    </w:p>
    <w:p>
      <w:pPr>
        <w:spacing w:after="0" w:line="140"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32406B"/>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w:t>
      </w:r>
      <w:r>
        <w:rPr>
          <w:rFonts w:ascii="Arial" w:cs="Arial" w:eastAsia="Arial" w:hAnsi="Arial"/>
          <w:sz w:val="16"/>
          <w:szCs w:val="16"/>
          <w:i w:val="1"/>
          <w:iCs w:val="1"/>
          <w:color w:val="32406B"/>
        </w:rPr>
        <w:t>Accounting Standards Codification (ASC) Topic</w:t>
      </w:r>
      <w:r>
        <w:rPr>
          <w:rFonts w:ascii="Arial" w:cs="Arial" w:eastAsia="Arial" w:hAnsi="Arial"/>
          <w:sz w:val="16"/>
          <w:szCs w:val="16"/>
          <w:color w:val="32406B"/>
        </w:rPr>
        <w:t xml:space="preserve"> </w:t>
      </w:r>
      <w:r>
        <w:rPr>
          <w:rFonts w:ascii="Arial" w:cs="Arial" w:eastAsia="Arial" w:hAnsi="Arial"/>
          <w:sz w:val="16"/>
          <w:szCs w:val="16"/>
          <w:i w:val="1"/>
          <w:iCs w:val="1"/>
          <w:color w:val="32406B"/>
        </w:rPr>
        <w:t xml:space="preserve">606, Revenue from Contracts with Customers </w:t>
      </w:r>
      <w:r>
        <w:rPr>
          <w:rFonts w:ascii="Arial" w:cs="Arial" w:eastAsia="Arial" w:hAnsi="Arial"/>
          <w:sz w:val="16"/>
          <w:szCs w:val="16"/>
          <w:color w:val="32406B"/>
        </w:rPr>
        <w:t>(ASC 606), effective as of February 1, 2017, utilizing the full retrospective method of adoption.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may need additional capital, and we cannot be certain that additional financing will be available on favorable terms, or at all.</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32406B"/>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86"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32406B"/>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32406B"/>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7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96"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32406B"/>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As a public company, we will be subject to the reporting requirements of the Securities Exchange Act of 1934, as amended (the Exchange Act), the Sarbanes-Oxley Act of 2002 (the Sarbanes-Oxley Act) and the rules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35</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32406B"/>
        </w:rPr>
        <w:t>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32406B"/>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6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32406B"/>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w:t>
      </w:r>
    </w:p>
    <w:p>
      <w:pPr>
        <w:spacing w:after="0" w:line="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32406B"/>
        </w:rPr>
        <w:t xml:space="preserve">ASU 2016-02, </w:t>
      </w:r>
      <w:r>
        <w:rPr>
          <w:rFonts w:ascii="Arial" w:cs="Arial" w:eastAsia="Arial" w:hAnsi="Arial"/>
          <w:sz w:val="16"/>
          <w:szCs w:val="16"/>
          <w:i w:val="1"/>
          <w:iCs w:val="1"/>
          <w:color w:val="32406B"/>
        </w:rPr>
        <w:t>Leases</w:t>
      </w:r>
      <w:r>
        <w:rPr>
          <w:rFonts w:ascii="Arial" w:cs="Arial" w:eastAsia="Arial" w:hAnsi="Arial"/>
          <w:sz w:val="16"/>
          <w:szCs w:val="16"/>
          <w:color w:val="32406B"/>
        </w:rPr>
        <w:t xml:space="preserve"> (Topic 842)</w:t>
      </w:r>
      <w:r>
        <w:rPr>
          <w:rFonts w:ascii="Arial" w:cs="Arial" w:eastAsia="Arial" w:hAnsi="Arial"/>
          <w:sz w:val="16"/>
          <w:szCs w:val="16"/>
          <w:i w:val="1"/>
          <w:iCs w:val="1"/>
          <w:color w:val="32406B"/>
        </w:rPr>
        <w:t>,</w:t>
      </w:r>
      <w:r>
        <w:rPr>
          <w:rFonts w:ascii="Arial" w:cs="Arial" w:eastAsia="Arial" w:hAnsi="Arial"/>
          <w:sz w:val="16"/>
          <w:szCs w:val="16"/>
          <w:color w:val="32406B"/>
        </w:rPr>
        <w:t xml:space="preserve"> which requires, among other things, lessees to 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8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32406B"/>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32406B"/>
        </w:rPr>
        <w:t>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8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32406B"/>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Risks Related to Ownership of Our Class A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An active trading market for our Class A common stock may never develop or be sustained.</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We have been approved to list our Class A common stock on The Nasdaq Global Select Market under the symbol “ZM.”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The trading price of our Class A common stock may be volatile, and you could lose all or part of your investment.</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32406B"/>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95"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price and volume fluctuations in the overall stock market from time to time;</w:t>
      </w:r>
    </w:p>
    <w:p>
      <w:pPr>
        <w:spacing w:after="0" w:line="130" w:lineRule="exact"/>
        <w:rPr>
          <w:rFonts w:ascii="Arial" w:cs="Arial" w:eastAsia="Arial" w:hAnsi="Arial"/>
          <w:sz w:val="18"/>
          <w:szCs w:val="18"/>
          <w:color w:val="32406B"/>
        </w:rPr>
      </w:pPr>
    </w:p>
    <w:p>
      <w:pPr>
        <w:ind w:left="5620" w:right="4920" w:hanging="4984"/>
        <w:spacing w:after="0" w:line="536" w:lineRule="auto"/>
        <w:tabs>
          <w:tab w:leader="none" w:pos="1064" w:val="left"/>
        </w:tabs>
        <w:numPr>
          <w:ilvl w:val="0"/>
          <w:numId w:val="27"/>
        </w:numPr>
        <w:rPr>
          <w:rFonts w:ascii="Arial" w:cs="Arial" w:eastAsia="Arial" w:hAnsi="Arial"/>
          <w:sz w:val="16"/>
          <w:szCs w:val="16"/>
          <w:color w:val="32406B"/>
        </w:rPr>
      </w:pPr>
      <w:r>
        <w:rPr>
          <w:rFonts w:ascii="Arial" w:cs="Arial" w:eastAsia="Arial" w:hAnsi="Arial"/>
          <w:sz w:val="16"/>
          <w:szCs w:val="16"/>
          <w:color w:val="32406B"/>
        </w:rPr>
        <w:t>volatility in the trading prices and trading volumes of technology stocks; 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00" w:hanging="424"/>
        <w:spacing w:after="0" w:line="277" w:lineRule="auto"/>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changes in operating performance and stock market valuations of other technology companies generally, or those in our industry in particular;</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sales of shares of our Class A common stock by us or our stockholders;</w:t>
      </w:r>
    </w:p>
    <w:p>
      <w:pPr>
        <w:spacing w:after="0" w:line="130" w:lineRule="exact"/>
        <w:rPr>
          <w:rFonts w:ascii="Arial" w:cs="Arial" w:eastAsia="Arial" w:hAnsi="Arial"/>
          <w:sz w:val="18"/>
          <w:szCs w:val="18"/>
          <w:color w:val="32406B"/>
        </w:rPr>
      </w:pPr>
    </w:p>
    <w:p>
      <w:pPr>
        <w:ind w:left="1060" w:right="260" w:hanging="424"/>
        <w:spacing w:after="0" w:line="277" w:lineRule="auto"/>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the financial projections we may provide to the public, any changes in those projections, or our failure to meet those projections;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announcements by us or our competitors of new products, features, or services;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public’s reaction to our press releases, other public announcements and filings with the SEC;</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rumors and market speculation involving us or other companies in our industry;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actual or anticipated changes in our results of operations or fluctuations in our results of operations;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actual or anticipated developments in our business, our competitors’ businesses or the competitive landscape generally;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developments or disputes concerning our intellectual property or other proprietary rights;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announced or completed acquisitions of businesses, products, services or technologies by us or our competitors;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new laws or regulations or new interpretations of existing laws or regulations applicable to our business;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changes in accounting standards, policies, guidelines, interpretations or principles;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any significant change in our management;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general economic conditions and slow or negative growth of our markets.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9"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b w:val="1"/>
          <w:bCs w:val="1"/>
          <w:i w:val="1"/>
          <w:iCs w:val="1"/>
          <w:color w:val="32406B"/>
        </w:rPr>
        <w:t>The dual class structure of our common stock as contained in our amended and restated certificate of incorporation has the effect of concentrating voting control with those stockholders who held our stock prior to this offering and the concurrent private placement, including our executive officers, employees and directors and their affiliates, limiting your ability to influence corporate matters.</w:t>
      </w:r>
    </w:p>
    <w:p>
      <w:pPr>
        <w:spacing w:after="0" w:line="5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Our Class B common stock has 10 votes per share, and our Class A common stock, which is the stock we are offering in this initial public offering and the concurrent private placement, has one vote per share. The holders of our outstanding Class B common stock will hold 99.0% of the voting power of our outstanding capital stock following this offering and the concurrent private placement, with our directors, executive officers and 5% stockholders and their respective affiliates holding 61.6% of such voting power in the aggregate. Our founder, President and Chief Executive Officer, Eric S. Yuan, will hold approximately 18.2% of our outstanding capital stock but will control approximately 19.9% of the voting power of our outstanding capital stock following the completion of this offering and the concurrent private placement. Therefore, these holders will have significant influence over our management and affairs and over all matters requiring stockholder approval, including</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32406B"/>
        </w:rPr>
        <w:t>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32406B"/>
        </w:rPr>
        <w:t>If you purchase our Class A common stock in this offering, you will incur immediate and substantial dilution in the book value of your investment.</w:t>
      </w:r>
    </w:p>
    <w:p>
      <w:pPr>
        <w:spacing w:after="0" w:line="15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 common stock in this offering at the initial public offering price of $36.00 per share, you will experience immediate dilution of $33.66 per share, the difference between the price per share you pay for our Class A common stock and its pro forma net tangible book value per share as of January 31, 2019, after giving effect to the issuance of shares of our Class A common stock in this offering and the concurrent private placement.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32406B"/>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96"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32406B"/>
        </w:rPr>
        <w:t>We will have broad discretion in the use of net proceeds from this offering and the concurrent private placement and may invest or spend the proceeds in ways with which you do not agree and in ways that may not yield a return.</w:t>
      </w:r>
    </w:p>
    <w:p>
      <w:pPr>
        <w:spacing w:after="0" w:line="6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We cannot specify with any certainty the particular uses of the net proceeds that we will receive from this offering and the concurrent private placement. Our management will have broad discretion over the use of net proceeds from this offering and the concurrent private placement,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and the concurrent private placement, their ultimate use may vary substantially from their currently intended use. Our failure to apply the net proceeds of this offering and the concurrent private placement effectively could impair our ability to pursue our growth strategy or could require us to raise additional capital.</w:t>
      </w:r>
    </w:p>
    <w:p>
      <w:pPr>
        <w:spacing w:after="0" w:line="275"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32406B"/>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equityholders have substantial unrecognized gains on the value of the equity they hold based upon the price of this offering, and therefore they may take steps to sell their shares or otherwise secure the unrecognized gains on those shares.</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Based on shares outstanding as of January 31, 2019, upon the completion of this offering, we will have outstanding a total of 24,070,086 shares of Class A common stock and 232,318,285 shares of Class B common stock, assuming no exercise of the underwriters’ option to purchase additional shares and no exercise of outstanding options, other than 283,177 shares to be issued upon the exercise of options to purchase Class B common stock by certain selling stockholders and sold in this offering, after giving effect to the conversion of all outstanding shares of our preferred stock into shares of Class B common stock immediately upon the completion of this offering and after giving effect to the conversion of 10,958,131 shares of Class B common stock into Class A common stock upon the sale of such shares by the selling stockholders. Of these shares, only the shares of Class A common stock sold in this offering will be freely tradable, without restriction, in the public market immediately after the offering and the concurrent private placement.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4"/>
          <w:szCs w:val="14"/>
          <w:color w:val="32406B"/>
        </w:rPr>
        <w:t>th</w:t>
      </w:r>
      <w:r>
        <w:rPr>
          <w:rFonts w:ascii="Arial" w:cs="Arial" w:eastAsia="Arial" w:hAnsi="Arial"/>
          <w:sz w:val="17"/>
          <w:szCs w:val="17"/>
          <w:color w:val="32406B"/>
        </w:rPr>
        <w:t xml:space="preserve"> day after the date of this prospectus, subject to specified exceptions. We refer to such period as the lock-up period. We and the underwriters may permit certain stockholders who are subject to these market standoff agreements or lock-up agreements to sell shares prior to the expiration of the lock-up period. After the end of the lock-up period, all shares of Class A and Class B common stock outstanding as of March 31, 2019 will become eligible for sale, of which 83,045,414 shares held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40</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32406B"/>
        </w:rPr>
        <w:t>by directors, executive officers and other affiliates will be subject to volume limitations under Rule 144 under the Securities Act of 1933, as amended (the Securities Act) and various vesting agreements.</w:t>
      </w:r>
    </w:p>
    <w:p>
      <w:pPr>
        <w:spacing w:after="0" w:line="17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32406B"/>
        </w:rPr>
        <w:t>In addition, as of January 31, 2019, there were 35,064,465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As of January 31, 2019, holders of 156,171,668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“Shares Eligible for Future Sale” and “Underwriters.”</w:t>
      </w:r>
    </w:p>
    <w:p>
      <w:pPr>
        <w:spacing w:after="0" w:line="295"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32406B"/>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32406B"/>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charter documents will also contain other provisions that could have an anti-takeover effect, such as:</w:t>
      </w:r>
    </w:p>
    <w:p>
      <w:pPr>
        <w:spacing w:after="0" w:line="131"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establishing a classified board of directors so that not all members of our board of directors are elected at one time;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permitting the board of directors to establish the number of directors and fill any vacancies and newly created directorships;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providing that directors may only be removed for cause;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prohibiting cumulative voting for directors;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requiring super-majority voting to amend some provisions in our certificate of incorporation and bylaws;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9"/>
        </w:numPr>
        <w:rPr>
          <w:rFonts w:ascii="Arial" w:cs="Arial" w:eastAsia="Arial" w:hAnsi="Arial"/>
          <w:sz w:val="17"/>
          <w:szCs w:val="17"/>
          <w:color w:val="32406B"/>
        </w:rPr>
      </w:pPr>
      <w:r>
        <w:rPr>
          <w:rFonts w:ascii="Arial" w:cs="Arial" w:eastAsia="Arial" w:hAnsi="Arial"/>
          <w:sz w:val="17"/>
          <w:szCs w:val="17"/>
          <w:color w:val="32406B"/>
        </w:rPr>
        <w:t>authorizing the issuance of “blank check” preferred stock that our board of directors could use to implement a stockholder rights plan;</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eliminating the ability of stockholders to call special meetings of stockholders;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29"/>
        </w:numPr>
        <w:rPr>
          <w:rFonts w:ascii="Arial" w:cs="Arial" w:eastAsia="Arial" w:hAnsi="Arial"/>
          <w:sz w:val="16"/>
          <w:szCs w:val="16"/>
          <w:color w:val="32406B"/>
        </w:rPr>
      </w:pPr>
      <w:r>
        <w:rPr>
          <w:rFonts w:ascii="Arial" w:cs="Arial" w:eastAsia="Arial" w:hAnsi="Arial"/>
          <w:sz w:val="16"/>
          <w:szCs w:val="16"/>
          <w:color w:val="32406B"/>
        </w:rPr>
        <w:t>prohibiting stockholder action by written consent, which requires all stockholder actions to be taken at a meeting of our stockholders; and</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our dual class common stock structure as described above.</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41</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340" w:lineRule="auto"/>
        <w:rPr>
          <w:sz w:val="20"/>
          <w:szCs w:val="20"/>
          <w:color w:val="auto"/>
        </w:rPr>
      </w:pPr>
      <w:r>
        <w:rPr>
          <w:rFonts w:ascii="Arial" w:cs="Arial" w:eastAsia="Arial" w:hAnsi="Arial"/>
          <w:sz w:val="15"/>
          <w:szCs w:val="15"/>
          <w:b w:val="1"/>
          <w:bCs w:val="1"/>
          <w:i w:val="1"/>
          <w:iCs w:val="1"/>
          <w:color w:val="32406B"/>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2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32406B"/>
        </w:rPr>
        <w:t>Our amended and restated certificate of incorporation, which will become effective immediately prior to the completion of this offering, will provide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9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32406B"/>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30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32406B"/>
        </w:rPr>
        <w:t>We will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32406B"/>
        </w:rPr>
        <w:t>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9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32406B"/>
        </w:rPr>
        <w:t>We are an “emerging growth company,” and we intend to comply only with reduced disclosure requirements applicable to emerging growth companies. As a result, our Class A common stock could be less attractive to investors.</w:t>
      </w:r>
    </w:p>
    <w:p>
      <w:pPr>
        <w:spacing w:after="0" w:line="62"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32406B"/>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w:t>
      </w:r>
    </w:p>
    <w:p>
      <w:pPr>
        <w:spacing w:after="0" w:line="1" w:lineRule="exact"/>
        <w:rPr>
          <w:sz w:val="20"/>
          <w:szCs w:val="20"/>
          <w:color w:val="auto"/>
        </w:rPr>
      </w:pPr>
    </w:p>
    <w:p>
      <w:pPr>
        <w:ind w:left="200" w:right="200" w:firstLine="4"/>
        <w:spacing w:after="0" w:line="254" w:lineRule="auto"/>
        <w:tabs>
          <w:tab w:leader="none" w:pos="465"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We do not intend to pay dividends for the foreseeable future.</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32406B"/>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SPECIAL NOTE REGARDING FORWARD-LOOKING STATEMENTS</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32406B"/>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4"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32406B"/>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MARKET AND INDUSTRY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Certain information in the text of this prospectus is contained in independent industry publications. The source of these independent industry publications is provided below:</w:t>
      </w:r>
    </w:p>
    <w:p>
      <w:pPr>
        <w:spacing w:after="0" w:line="76" w:lineRule="exact"/>
        <w:rPr>
          <w:sz w:val="20"/>
          <w:szCs w:val="20"/>
          <w:color w:val="auto"/>
        </w:rPr>
      </w:pPr>
    </w:p>
    <w:p>
      <w:pPr>
        <w:ind w:left="1060" w:right="180" w:hanging="424"/>
        <w:spacing w:after="0" w:line="277" w:lineRule="auto"/>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 xml:space="preserve">Forbes Media LLC, </w:t>
      </w:r>
      <w:r>
        <w:rPr>
          <w:rFonts w:ascii="Arial" w:cs="Arial" w:eastAsia="Arial" w:hAnsi="Arial"/>
          <w:sz w:val="18"/>
          <w:szCs w:val="18"/>
          <w:i w:val="1"/>
          <w:iCs w:val="1"/>
          <w:color w:val="32406B"/>
        </w:rPr>
        <w:t>The Connected Culture: Unleashing the Power of Video in Everyday Collaboration</w:t>
      </w:r>
      <w:r>
        <w:rPr>
          <w:rFonts w:ascii="Arial" w:cs="Arial" w:eastAsia="Arial" w:hAnsi="Arial"/>
          <w:sz w:val="18"/>
          <w:szCs w:val="18"/>
          <w:color w:val="32406B"/>
        </w:rPr>
        <w:t>, October 30, 2017 (commissioned by us).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 xml:space="preserve">Forrester, </w:t>
      </w:r>
      <w:r>
        <w:rPr>
          <w:rFonts w:ascii="Arial" w:cs="Arial" w:eastAsia="Arial" w:hAnsi="Arial"/>
          <w:sz w:val="18"/>
          <w:szCs w:val="18"/>
          <w:i w:val="1"/>
          <w:iCs w:val="1"/>
          <w:color w:val="32406B"/>
        </w:rPr>
        <w:t>Information Worker Population estimate 2018 Commissioned by Morgan Stanley</w:t>
      </w:r>
      <w:r>
        <w:rPr>
          <w:rFonts w:ascii="Arial" w:cs="Arial" w:eastAsia="Arial" w:hAnsi="Arial"/>
          <w:sz w:val="18"/>
          <w:szCs w:val="18"/>
          <w:color w:val="32406B"/>
        </w:rPr>
        <w:t>, March 29, 2019.</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 xml:space="preserve">G2 Crowd, </w:t>
      </w:r>
      <w:r>
        <w:rPr>
          <w:rFonts w:ascii="Arial" w:cs="Arial" w:eastAsia="Arial" w:hAnsi="Arial"/>
          <w:sz w:val="18"/>
          <w:szCs w:val="18"/>
          <w:i w:val="1"/>
          <w:iCs w:val="1"/>
          <w:color w:val="32406B"/>
        </w:rPr>
        <w:t>2018 Momentum Report for Video Conferencing</w:t>
      </w:r>
      <w:r>
        <w:rPr>
          <w:rFonts w:ascii="Arial" w:cs="Arial" w:eastAsia="Arial" w:hAnsi="Arial"/>
          <w:sz w:val="18"/>
          <w:szCs w:val="18"/>
          <w:color w:val="32406B"/>
        </w:rPr>
        <w:t>, 2018.</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 xml:space="preserve">Gartner, </w:t>
      </w:r>
      <w:r>
        <w:rPr>
          <w:rFonts w:ascii="Arial" w:cs="Arial" w:eastAsia="Arial" w:hAnsi="Arial"/>
          <w:sz w:val="18"/>
          <w:szCs w:val="18"/>
          <w:i w:val="1"/>
          <w:iCs w:val="1"/>
          <w:color w:val="32406B"/>
        </w:rPr>
        <w:t>Magic Quadrant for Meeting Solutions</w:t>
      </w:r>
      <w:r>
        <w:rPr>
          <w:rFonts w:ascii="Arial" w:cs="Arial" w:eastAsia="Arial" w:hAnsi="Arial"/>
          <w:sz w:val="18"/>
          <w:szCs w:val="18"/>
          <w:color w:val="32406B"/>
        </w:rPr>
        <w:t>, September 4, 2018.</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Gartner Peer Insights: https://www.gartner.com/reviews/market/meeting-solutions-web-conferencing/vendor/zoom.</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 xml:space="preserve">International Data Corporation (IDC), </w:t>
      </w:r>
      <w:r>
        <w:rPr>
          <w:rFonts w:ascii="Arial" w:cs="Arial" w:eastAsia="Arial" w:hAnsi="Arial"/>
          <w:sz w:val="18"/>
          <w:szCs w:val="18"/>
          <w:i w:val="1"/>
          <w:iCs w:val="1"/>
          <w:color w:val="32406B"/>
        </w:rPr>
        <w:t>Worldwide Unified Communications and Collaboration Forecast, 2018-2022</w:t>
      </w:r>
      <w:r>
        <w:rPr>
          <w:rFonts w:ascii="Arial" w:cs="Arial" w:eastAsia="Arial" w:hAnsi="Arial"/>
          <w:sz w:val="18"/>
          <w:szCs w:val="18"/>
          <w:color w:val="32406B"/>
        </w:rPr>
        <w:t>, May 2018.</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 xml:space="preserve">Salesforce Research, </w:t>
      </w:r>
      <w:r>
        <w:rPr>
          <w:rFonts w:ascii="Arial" w:cs="Arial" w:eastAsia="Arial" w:hAnsi="Arial"/>
          <w:sz w:val="18"/>
          <w:szCs w:val="18"/>
          <w:i w:val="1"/>
          <w:iCs w:val="1"/>
          <w:color w:val="32406B"/>
        </w:rPr>
        <w:t>State of IT</w:t>
      </w:r>
      <w:r>
        <w:rPr>
          <w:rFonts w:ascii="Arial" w:cs="Arial" w:eastAsia="Arial" w:hAnsi="Arial"/>
          <w:sz w:val="18"/>
          <w:szCs w:val="18"/>
          <w:color w:val="32406B"/>
        </w:rPr>
        <w:t>, April 26, 2017.</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 xml:space="preserve">TrustRadius, </w:t>
      </w:r>
      <w:r>
        <w:rPr>
          <w:rFonts w:ascii="Arial" w:cs="Arial" w:eastAsia="Arial" w:hAnsi="Arial"/>
          <w:sz w:val="18"/>
          <w:szCs w:val="18"/>
          <w:i w:val="1"/>
          <w:iCs w:val="1"/>
          <w:color w:val="32406B"/>
        </w:rPr>
        <w:t>Announcing the Top Rated Web Conferencing Software for 2019</w:t>
      </w:r>
      <w:r>
        <w:rPr>
          <w:rFonts w:ascii="Arial" w:cs="Arial" w:eastAsia="Arial" w:hAnsi="Arial"/>
          <w:sz w:val="18"/>
          <w:szCs w:val="18"/>
          <w:color w:val="32406B"/>
        </w:rPr>
        <w:t>, February 6, 2019.</w:t>
      </w:r>
    </w:p>
    <w:p>
      <w:pPr>
        <w:spacing w:after="0" w:line="225"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32406B"/>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32406B"/>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8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32406B"/>
        </w:rPr>
        <w:t>Gartner Peer Insights Customers’ Choice constitute the subjective opinions of individual end-user reviews, ratings, and data applied against a documented methodology; they neither represent the views of, nor constitute an endorsement by, Gartner or its affiliates.</w:t>
      </w:r>
    </w:p>
    <w:p>
      <w:pPr>
        <w:spacing w:after="0" w:line="14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Information contained on or accessible through the website referenced above is not a part of this prospectus and the inclusion of the website address referenced above in this prospectus is an inactive textual reference only.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USE OF PROCEEDS</w:t>
      </w:r>
    </w:p>
    <w:p>
      <w:pPr>
        <w:spacing w:after="0" w:line="229"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We estimate that our net proceeds from the sale of our Class A common stock that we are offering and the concurrent private placement will be approximately $434.5 million (or approximately $541.5 million if the underwriters exercise their over-allotment option in full), based on the initial public offering price of $36.00 per share of Class A common stock, after deducting underwriting discounts and commissions and estimated expenses related to the offering and the concurrent private placement. We will not receive any proceeds from the sale of shares of our Class A common stock by the selling stockholders.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32406B"/>
        </w:rPr>
        <w:t>The principal purposes of this offering are to increase our capitalization and financial flexibility and create a public market for our Class A common stock. We currently intend to use the net proceeds we receive from this offering and the concurrent private placement for general corporate purposes, including working capital, operating expenses and capital expenditures. We cannot specify with certainty all of the particular uses for the remaining net proceeds to us from this offering and the concurrent private placement.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and the concurrent private placement that are not used as described above in investment-grade, interest-bearing instruments.</w:t>
      </w: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DIVIDEND POLICY</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32406B"/>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following table sets forth our cash, cash equivalents and marketable securities and our capitalization as of January 31, 2019 as follows:</w:t>
      </w:r>
    </w:p>
    <w:p>
      <w:pPr>
        <w:spacing w:after="0" w:line="142"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on an actual basis;</w:t>
      </w:r>
    </w:p>
    <w:p>
      <w:pPr>
        <w:spacing w:after="0" w:line="130" w:lineRule="exact"/>
        <w:rPr>
          <w:rFonts w:ascii="Arial" w:cs="Arial" w:eastAsia="Arial" w:hAnsi="Arial"/>
          <w:sz w:val="18"/>
          <w:szCs w:val="18"/>
          <w:color w:val="32406B"/>
        </w:rPr>
      </w:pPr>
    </w:p>
    <w:p>
      <w:pPr>
        <w:ind w:left="1060" w:hanging="424"/>
        <w:spacing w:after="0" w:line="255" w:lineRule="auto"/>
        <w:tabs>
          <w:tab w:leader="none" w:pos="106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on a pro forma basis to reflect (1) the automatic conversion of all outstanding shares of our convertible preferred stock as of January 31, 2019 into 152,665,804 shares of Class B common stock immediately prior to the completion of this offering, (2) the filing of our amended and restated certificate of incorporation immediately prior to the completion of this offering, and (3) the issuance of 422,744 shares of Class A common stock upon conversion of outstanding convertible promissory notes assuming a conversion date of January 31, 2019 at the initial public offering price of $36.00 per share, in the principal amount of $15.0 million plus accrued interest upon the completion of this offering; and</w:t>
      </w:r>
    </w:p>
    <w:p>
      <w:pPr>
        <w:spacing w:after="0" w:line="98" w:lineRule="exact"/>
        <w:rPr>
          <w:rFonts w:ascii="Arial" w:cs="Arial" w:eastAsia="Arial" w:hAnsi="Arial"/>
          <w:sz w:val="18"/>
          <w:szCs w:val="18"/>
          <w:color w:val="32406B"/>
        </w:rPr>
      </w:pPr>
    </w:p>
    <w:p>
      <w:pPr>
        <w:ind w:left="1060" w:right="20" w:hanging="424"/>
        <w:spacing w:after="0" w:line="271" w:lineRule="auto"/>
        <w:tabs>
          <w:tab w:leader="none" w:pos="106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on a pro forma as adjusted basis to give further effect to (1) the pro forma items described immediately above, (2) our issuance and sale of 12,689,211 shares of Class A common stock in this offering and the concurrent private placement at the initial public offering price of $36.00 per share, after deducting underwriting discounts and commissions and estimated expenses related to the offering and the concurrent private placement payable by us, and (3) the conversion of 10,674,954 shares of our Class B common stock held by certain selling stockholders into an equivalent number of our Class A common stock upon the sale by the selling stockholders in this offering, as well as the issuance of 283,177 shares of our Class B common stock and the subsequent conversion of such shares into an equivalent number of shares of our Class A common stock upon the exercise of options held by certain selling stockholders in connection with the sale of such shares by such selling stockholders in this offering.</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47</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32406B"/>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32406B"/>
              </w:rPr>
              <w:t>As of January 31, 2019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32406B"/>
              </w:rPr>
              <w:t>Actual</w:t>
            </w:r>
          </w:p>
        </w:tc>
        <w:tc>
          <w:tcPr>
            <w:tcW w:w="340" w:type="dxa"/>
            <w:vAlign w:val="bottom"/>
          </w:tcPr>
          <w:p>
            <w:pPr>
              <w:spacing w:after="0"/>
              <w:rPr>
                <w:sz w:val="10"/>
                <w:szCs w:val="10"/>
                <w:color w:val="auto"/>
              </w:rPr>
            </w:pPr>
          </w:p>
        </w:tc>
        <w:tc>
          <w:tcPr>
            <w:tcW w:w="12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32406B"/>
                <w:w w:val="99"/>
              </w:rPr>
              <w:t>Pro Forma</w:t>
            </w:r>
          </w:p>
        </w:tc>
        <w:tc>
          <w:tcPr>
            <w:tcW w:w="6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32406B"/>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32406B"/>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9"/>
          </w:tcPr>
          <w:p>
            <w:pPr>
              <w:jc w:val="right"/>
              <w:ind w:right="271"/>
              <w:spacing w:after="0" w:line="142" w:lineRule="exact"/>
              <w:rPr>
                <w:sz w:val="20"/>
                <w:szCs w:val="20"/>
                <w:color w:val="auto"/>
              </w:rPr>
            </w:pPr>
            <w:r>
              <w:rPr>
                <w:rFonts w:ascii="Arial" w:cs="Arial" w:eastAsia="Arial" w:hAnsi="Arial"/>
                <w:sz w:val="14"/>
                <w:szCs w:val="14"/>
                <w:b w:val="1"/>
                <w:bCs w:val="1"/>
                <w:color w:val="32406B"/>
                <w:w w:val="97"/>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32406B"/>
              </w:rPr>
              <w:t>Cash, cash equivalents and marketable securities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176,401</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176,401</w:t>
            </w: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611,982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32406B"/>
              </w:rPr>
              <w:t>Convertible promissory notes and derivatives, net</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15,219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9"/>
              </w:rPr>
              <w:t>Convertible preferred stock, $0.001 par value per share; 158,104,540 shares authorized;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152,665,804 shares issued and outstanding, actual; no shares authorized, issued and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outstanding, pro forma and pro forma as adjusted</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159,552</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32406B"/>
              </w:rPr>
              <w:t>Stockholders’ (deficit)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w w:val="93"/>
              </w:rPr>
              <w:t>Preferred stock, $0.001 par value per share: no shares authorized, issued or outstanding,</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32406B"/>
                <w:w w:val="92"/>
              </w:rPr>
              <w:t>actual; 200,000,000 shares authorized and no shares issued and outstanding, pro forma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and pro forma as adjusted</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ind w:left="340"/>
              <w:spacing w:after="0" w:line="201" w:lineRule="exact"/>
              <w:rPr>
                <w:sz w:val="20"/>
                <w:szCs w:val="20"/>
                <w:color w:val="auto"/>
              </w:rPr>
            </w:pPr>
            <w:r>
              <w:rPr>
                <w:rFonts w:ascii="Arial" w:cs="Arial" w:eastAsia="Arial" w:hAnsi="Arial"/>
                <w:sz w:val="18"/>
                <w:szCs w:val="18"/>
                <w:color w:val="32406B"/>
                <w:w w:val="95"/>
              </w:rPr>
              <w:t>Class A common stock, $0.001 par value per share; 320,000,000 shares authorized, no</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520"/>
              <w:spacing w:after="0"/>
              <w:rPr>
                <w:sz w:val="20"/>
                <w:szCs w:val="20"/>
                <w:color w:val="auto"/>
              </w:rPr>
            </w:pPr>
            <w:r>
              <w:rPr>
                <w:rFonts w:ascii="Arial" w:cs="Arial" w:eastAsia="Arial" w:hAnsi="Arial"/>
                <w:sz w:val="18"/>
                <w:szCs w:val="18"/>
                <w:color w:val="32406B"/>
                <w:w w:val="91"/>
              </w:rPr>
              <w:t>shares issued and outstanding, actual; 2,000,000,000 shares authorized, 422,744 shares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520"/>
              <w:spacing w:after="0"/>
              <w:rPr>
                <w:sz w:val="20"/>
                <w:szCs w:val="20"/>
                <w:color w:val="auto"/>
              </w:rPr>
            </w:pPr>
            <w:r>
              <w:rPr>
                <w:rFonts w:ascii="Arial" w:cs="Arial" w:eastAsia="Arial" w:hAnsi="Arial"/>
                <w:sz w:val="18"/>
                <w:szCs w:val="18"/>
                <w:color w:val="32406B"/>
                <w:w w:val="92"/>
              </w:rPr>
              <w:t>issued and outstanding, pro forma; 2,000,000,000 shares authorized, 24,070,086 shares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520"/>
              <w:spacing w:after="0"/>
              <w:rPr>
                <w:sz w:val="20"/>
                <w:szCs w:val="20"/>
                <w:color w:val="auto"/>
              </w:rPr>
            </w:pPr>
            <w:r>
              <w:rPr>
                <w:rFonts w:ascii="Arial" w:cs="Arial" w:eastAsia="Arial" w:hAnsi="Arial"/>
                <w:sz w:val="18"/>
                <w:szCs w:val="18"/>
                <w:color w:val="32406B"/>
              </w:rPr>
              <w:t>issued and outstanding, pro forma as adjusted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32406B"/>
                <w:w w:val="99"/>
              </w:rPr>
              <w:t>Class B common stock, $0.001 par value per share, 300,000,000 shares authorized,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32406B"/>
                <w:w w:val="98"/>
              </w:rPr>
              <w:t>90,327,435 shares issued and outstanding, actual; 300,000,000 shares authorized,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32406B"/>
                <w:w w:val="92"/>
              </w:rPr>
              <w:t>242,993,239 shares issued and outstanding, pro forma; 300,000,000 shares authorized,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32406B"/>
              </w:rPr>
              <w:t>232,318,285 shares issued and outstanding, pro forma as adjusted</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89</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242</w:t>
            </w: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32406B"/>
              </w:rPr>
              <w:t>Additional paid-in 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17,760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w w:val="95"/>
              </w:rPr>
              <w:t>192,378</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627,006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32406B"/>
              </w:rPr>
              <w:t>Accumulated other comprehensive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(135)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32406B"/>
              </w:rPr>
              <w:t>Accumulated deficit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32406B"/>
              </w:rPr>
              <w:t>(25,153)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32406B"/>
              </w:rPr>
              <w:t>(25,153)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32406B"/>
              </w:rPr>
              <w:t>(25,153)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stockholders’ (deficit)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(7,439)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167,332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601,974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32406B"/>
              </w:rPr>
              <w:t>Total capitalization</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167,332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5"/>
              </w:rPr>
              <w:t>167,332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601,974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370"/>
              <w:spacing w:after="0"/>
              <w:rPr>
                <w:sz w:val="20"/>
                <w:szCs w:val="20"/>
                <w:color w:val="auto"/>
              </w:rPr>
            </w:pPr>
            <w:r>
              <w:rPr>
                <w:rFonts w:ascii="Arial" w:cs="Arial" w:eastAsia="Arial" w:hAnsi="Arial"/>
                <w:sz w:val="18"/>
                <w:szCs w:val="18"/>
                <w:color w:val="32406B"/>
              </w:rPr>
              <w:t>48</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The outstanding share information in the table above is based on 422,744 shares of our Class A common stock (including the conversion of convertible promissory notes) and 242,993,239 shares of our Class B common stock (including preferred stock on an as-converted basis and reclassified as common stock) outstanding as of January 31, 2019 and excludes:</w:t>
      </w:r>
    </w:p>
    <w:p>
      <w:pPr>
        <w:spacing w:after="0" w:line="87" w:lineRule="exact"/>
        <w:rPr>
          <w:sz w:val="20"/>
          <w:szCs w:val="20"/>
          <w:color w:val="auto"/>
        </w:rPr>
      </w:pPr>
    </w:p>
    <w:p>
      <w:pPr>
        <w:ind w:left="1060" w:right="100" w:hanging="424"/>
        <w:spacing w:after="0" w:line="286" w:lineRule="auto"/>
        <w:tabs>
          <w:tab w:leader="none" w:pos="106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35,064,465 shares of our Class B common stock issuable upon the exercise of options to purchase shares of our Class B common stock outstanding as of January 31, 2019, with a weighted-average exercise price of $1.48 per share (other than 283,177 shares to be issued upon exercise of options to purchase Class B common stock by certain selling stockholders and sold in this offering);</w:t>
      </w:r>
    </w:p>
    <w:p>
      <w:pPr>
        <w:spacing w:after="0" w:line="70" w:lineRule="exact"/>
        <w:rPr>
          <w:rFonts w:ascii="Arial" w:cs="Arial" w:eastAsia="Arial" w:hAnsi="Arial"/>
          <w:sz w:val="17"/>
          <w:szCs w:val="17"/>
          <w:color w:val="32406B"/>
        </w:rPr>
      </w:pPr>
    </w:p>
    <w:p>
      <w:pPr>
        <w:ind w:left="1060" w:right="480" w:hanging="424"/>
        <w:spacing w:after="0" w:line="277" w:lineRule="auto"/>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1,147,500 shares of our Class B common stock issuable upon the exercise of options to purchase shares of our Class B common stock granted after January 31, 2019, with a weighted-average exercise price of $26.09 per share;</w:t>
      </w:r>
    </w:p>
    <w:p>
      <w:pPr>
        <w:spacing w:after="0" w:line="75" w:lineRule="exact"/>
        <w:rPr>
          <w:rFonts w:ascii="Arial" w:cs="Arial" w:eastAsia="Arial" w:hAnsi="Arial"/>
          <w:sz w:val="18"/>
          <w:szCs w:val="18"/>
          <w:color w:val="32406B"/>
        </w:rPr>
      </w:pPr>
    </w:p>
    <w:p>
      <w:pPr>
        <w:ind w:left="1060" w:hanging="424"/>
        <w:spacing w:after="0" w:line="272" w:lineRule="auto"/>
        <w:tabs>
          <w:tab w:leader="none" w:pos="106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58,300,889 shares of our Class A common stock reserved for future issuance under our 2019 Equity Incentive Plan (2019 Plan) (including options to purchase 177,150 shares of Class A Common Stock granted after January 31, 2019), which will become effective in connection with this offering, including 34,000,000 new shares plus the number of shares (not to exceed 24,300,889 shares) (i) that remain available for grant of future awards under our 2011 Global Share Plan (2011 Plan), which shares will 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83" w:lineRule="exact"/>
        <w:rPr>
          <w:rFonts w:ascii="Arial" w:cs="Arial" w:eastAsia="Arial" w:hAnsi="Arial"/>
          <w:sz w:val="17"/>
          <w:szCs w:val="17"/>
          <w:color w:val="32406B"/>
        </w:rPr>
      </w:pPr>
    </w:p>
    <w:p>
      <w:pPr>
        <w:ind w:left="1060" w:right="60" w:hanging="424"/>
        <w:spacing w:after="0" w:line="277" w:lineRule="auto"/>
        <w:tabs>
          <w:tab w:leader="none" w:pos="106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9,000,000 shares of our Class A common stock reserved for future issuance under our 2019 Employee Stock Purchase Plan, which includes an annual evergreen increase and will become effective in connection with this offering.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49</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DILUTION</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 and the concurrent private placement.</w:t>
      </w:r>
    </w:p>
    <w:p>
      <w:pPr>
        <w:spacing w:after="0" w:line="181" w:lineRule="exact"/>
        <w:rPr>
          <w:sz w:val="20"/>
          <w:szCs w:val="20"/>
          <w:color w:val="auto"/>
        </w:rPr>
      </w:pPr>
    </w:p>
    <w:p>
      <w:pPr>
        <w:jc w:val="both"/>
        <w:ind w:left="200" w:right="280" w:firstLine="441"/>
        <w:spacing w:after="0" w:line="279" w:lineRule="auto"/>
        <w:rPr>
          <w:sz w:val="20"/>
          <w:szCs w:val="20"/>
          <w:color w:val="auto"/>
        </w:rPr>
      </w:pPr>
      <w:r>
        <w:rPr>
          <w:rFonts w:ascii="Arial" w:cs="Arial" w:eastAsia="Arial" w:hAnsi="Arial"/>
          <w:sz w:val="17"/>
          <w:szCs w:val="17"/>
          <w:color w:val="32406B"/>
        </w:rPr>
        <w:t>As of January 31, 2019, we had a pro forma net tangible book value (deficit) of $165.3 million, or $0.68 per share. Pro forma net tangible book value per share represents the amount of our total tangible assets less our total liabilities, divided by the number of shares of our Class A and Class B common stock outstanding as of January 31, 2019, after giving effect to the reclassification and automatic conversion of all shares of our convertible preferred stock outstanding as of January 31, 2019 into 152,665,804 shares of our Class B common stock.</w:t>
      </w:r>
    </w:p>
    <w:p>
      <w:pPr>
        <w:spacing w:after="0" w:line="17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32406B"/>
        </w:rPr>
        <w:t>After giving further effect to the sale of 12,689,211 shares of Class A common stock that we are offering and the concurrent private placement at the initial public offering price of $36.00 per share, as well as the issuance of 283,177 shares of Class A common stock (as converted) upon exercise of options held by certain selling stockholders, and after deducting underwriting discounts and commissions and estimated expenses related to the offering and the concurrent private placement payable by us, our pro forma as adjusted net tangible book value as of January 31, 2019 would have been approximately $600.0 million, or approximately $2.34 per share. This amount represents an immediate increase in pro forma net tangible book value of $1.66 per share to our existing stockholders and an immediate dilution in pro forma net tangible book value of approximately $33.66 per share to new investors purchasing shares of Class A common stock in this offering and the concurrent private placement.</w:t>
      </w:r>
    </w:p>
    <w:p>
      <w:pPr>
        <w:spacing w:after="0" w:line="16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32406B"/>
              </w:rPr>
              <w:t>Initial public offering price per share</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$36.00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32406B"/>
              </w:rPr>
              <w:t>Pro forma net tangible book value per share as of January 31, 2019</w:t>
            </w:r>
          </w:p>
        </w:tc>
        <w:tc>
          <w:tcPr>
            <w:tcW w:w="740" w:type="dxa"/>
            <w:vAlign w:val="bottom"/>
            <w:gridSpan w:val="2"/>
          </w:tcPr>
          <w:p>
            <w:pPr>
              <w:jc w:val="right"/>
              <w:spacing w:after="0"/>
              <w:rPr>
                <w:sz w:val="20"/>
                <w:szCs w:val="20"/>
                <w:color w:val="auto"/>
              </w:rPr>
            </w:pPr>
            <w:r>
              <w:rPr>
                <w:rFonts w:ascii="Arial" w:cs="Arial" w:eastAsia="Arial" w:hAnsi="Arial"/>
                <w:sz w:val="18"/>
                <w:szCs w:val="18"/>
                <w:color w:val="32406B"/>
              </w:rPr>
              <w:t>$0.68</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93"/>
              </w:rPr>
              <w:t>Increase in pro forma net tangible book value per share attributable to this offering and the concurrent private placement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32406B"/>
              </w:rPr>
              <w:t>Pro forma as adjusted net tangible book value per share after this offering and the concurrent private placement</w:t>
            </w:r>
          </w:p>
        </w:tc>
        <w:tc>
          <w:tcPr>
            <w:tcW w:w="3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2.34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32406B"/>
              </w:rPr>
              <w:t>Dilution per share to new investors in this offering and the concurrent private placement</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$33.66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32406B"/>
        </w:rPr>
        <w:t>If the underwriters exercise their over-allotment option in full, the pro forma as adjusted net tangible book value after the offering and the concurrent private placement would be $2.72 per share, the increase in pro forma net tangible book value per share to existing stockholders would be $2.05 per share and the dilution per share to new investors would be $33.28 per share, in each case based on the initial public offering price of $36.00 per share.</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The following table summarizes on the pro forma as adjusted basis described above, as of January 31, 2019, the differences between the number of shares of Class B common stock purchased from us by our existing stockholders and Class A common stock by new investors purchasing shares in this offering and the concurrent private placement, the total consideration paid to us in cash and the average price per share paid by existing stockholders for shares of Class B common stock issued prior to this offering and the price to be paid by new investors for shares of Class A common stock in this offering and the concurrent private placement. The calculation below is based on the initial public offering price of $36.00 per share, before deducting underwriting</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50</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discounts and commissions and estimated expenses related to the offering and the concurrent private placement payable by us.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8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32406B"/>
              </w:rPr>
              <w:t>Shares Purchased</w:t>
            </w:r>
          </w:p>
        </w:tc>
        <w:tc>
          <w:tcPr>
            <w:tcW w:w="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32406B"/>
              </w:rPr>
              <w:t>Total Consideration</w:t>
            </w:r>
          </w:p>
        </w:tc>
        <w:tc>
          <w:tcPr>
            <w:tcW w:w="3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32406B"/>
                <w:w w:val="94"/>
              </w:rPr>
              <w:t>Average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540" w:type="dxa"/>
            <w:vAlign w:val="bottom"/>
          </w:tcPr>
          <w:p>
            <w:pPr>
              <w:spacing w:after="0"/>
              <w:rPr>
                <w:sz w:val="6"/>
                <w:szCs w:val="6"/>
                <w:color w:val="auto"/>
              </w:rPr>
            </w:pPr>
          </w:p>
        </w:tc>
        <w:tc>
          <w:tcPr>
            <w:tcW w:w="188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60" w:type="dxa"/>
            <w:vAlign w:val="bottom"/>
            <w:gridSpan w:val="4"/>
            <w:vMerge w:val="restart"/>
          </w:tcPr>
          <w:p>
            <w:pPr>
              <w:jc w:val="center"/>
              <w:ind w:left="59"/>
              <w:spacing w:after="0" w:line="149" w:lineRule="exact"/>
              <w:rPr>
                <w:sz w:val="20"/>
                <w:szCs w:val="20"/>
                <w:color w:val="auto"/>
              </w:rPr>
            </w:pPr>
            <w:r>
              <w:rPr>
                <w:rFonts w:ascii="Arial" w:cs="Arial" w:eastAsia="Arial" w:hAnsi="Arial"/>
                <w:sz w:val="14"/>
                <w:szCs w:val="14"/>
                <w:b w:val="1"/>
                <w:bCs w:val="1"/>
                <w:color w:val="32406B"/>
                <w:w w:val="92"/>
              </w:rPr>
              <w:t>Price Per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540" w:type="dxa"/>
            <w:vAlign w:val="bottom"/>
          </w:tcPr>
          <w:p>
            <w:pPr>
              <w:spacing w:after="0"/>
              <w:rPr>
                <w:sz w:val="4"/>
                <w:szCs w:val="4"/>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32406B"/>
              </w:rPr>
              <w:t>Number</w:t>
            </w:r>
          </w:p>
        </w:tc>
        <w:tc>
          <w:tcPr>
            <w:tcW w:w="12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32406B"/>
              </w:rPr>
              <w:t>Percent</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32406B"/>
                <w:w w:val="98"/>
              </w:rPr>
              <w:t>Amount</w:t>
            </w:r>
          </w:p>
        </w:tc>
        <w:tc>
          <w:tcPr>
            <w:tcW w:w="12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32406B"/>
              </w:rPr>
              <w:t>Percent</w:t>
            </w: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32406B"/>
                <w:w w:val="92"/>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w w:val="87"/>
              </w:rPr>
              <w:t>(in thousands)</w:t>
            </w:r>
          </w:p>
        </w:tc>
        <w:tc>
          <w:tcPr>
            <w:tcW w:w="4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32406B"/>
              </w:rPr>
              <w:t>Existing stockholders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1"/>
              </w:rPr>
              <w:t>243,699,160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rPr>
              <w:t>95.1%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192,792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rPr>
              <w:t>29.7%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32406B"/>
              </w:rPr>
              <w:t>New investors</w:t>
            </w:r>
          </w:p>
        </w:tc>
        <w:tc>
          <w:tcPr>
            <w:tcW w:w="960" w:type="dxa"/>
            <w:vAlign w:val="bottom"/>
          </w:tcPr>
          <w:p>
            <w:pPr>
              <w:jc w:val="right"/>
              <w:spacing w:after="0"/>
              <w:rPr>
                <w:sz w:val="20"/>
                <w:szCs w:val="20"/>
                <w:color w:val="auto"/>
              </w:rPr>
            </w:pPr>
            <w:r>
              <w:rPr>
                <w:rFonts w:ascii="Arial" w:cs="Arial" w:eastAsia="Arial" w:hAnsi="Arial"/>
                <w:sz w:val="18"/>
                <w:szCs w:val="18"/>
                <w:color w:val="32406B"/>
              </w:rPr>
              <w:t>9,911,434</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3.9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32406B"/>
              </w:rPr>
              <w:t>356,812</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54.9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36.00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32406B"/>
              </w:rPr>
              <w:t>Concurrent private placement investor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2,777,777</w:t>
            </w: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100,000</w:t>
            </w: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32406B"/>
              </w:rPr>
              <w:t>Total</w:t>
            </w:r>
          </w:p>
        </w:tc>
        <w:tc>
          <w:tcPr>
            <w:tcW w:w="960" w:type="dxa"/>
            <w:vAlign w:val="bottom"/>
          </w:tcPr>
          <w:p>
            <w:pPr>
              <w:jc w:val="right"/>
              <w:spacing w:after="0"/>
              <w:rPr>
                <w:sz w:val="20"/>
                <w:szCs w:val="20"/>
                <w:color w:val="auto"/>
              </w:rPr>
            </w:pPr>
            <w:r>
              <w:rPr>
                <w:rFonts w:ascii="Arial" w:cs="Arial" w:eastAsia="Arial" w:hAnsi="Arial"/>
                <w:sz w:val="18"/>
                <w:szCs w:val="18"/>
                <w:color w:val="32406B"/>
                <w:w w:val="93"/>
              </w:rPr>
              <w:t>256,388,371</w:t>
            </w:r>
          </w:p>
        </w:tc>
        <w:tc>
          <w:tcPr>
            <w:tcW w:w="4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32406B"/>
              </w:rPr>
              <w:t>100%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Pr>
          <w:p>
            <w:pPr>
              <w:jc w:val="right"/>
              <w:spacing w:after="0"/>
              <w:rPr>
                <w:sz w:val="20"/>
                <w:szCs w:val="20"/>
                <w:color w:val="auto"/>
              </w:rPr>
            </w:pPr>
            <w:r>
              <w:rPr>
                <w:rFonts w:ascii="Arial" w:cs="Arial" w:eastAsia="Arial" w:hAnsi="Arial"/>
                <w:sz w:val="18"/>
                <w:szCs w:val="18"/>
                <w:color w:val="32406B"/>
              </w:rPr>
              <w:t>649,604</w:t>
            </w:r>
          </w:p>
        </w:tc>
        <w:tc>
          <w:tcPr>
            <w:tcW w:w="4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32406B"/>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32406B"/>
        </w:rPr>
        <w:t>Sales by the selling stockholders in this offering will reduce the number of shares held by existing stockholders to 232,741,029, or approximately 90.8% of the total shares of common stock outstanding after this offering and the concurrent private placement, and will increase the number of shares held by new investors (including the concurrent private placement investor) to 23,647,342, or approximately 9.2% of the total shares of common stock outstanding after this offering and the concurrent private placement.</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The outstanding share information in the table above is based on 422,744 shares of our Class A common stock (including the conversion of convertible promissory notes) and 242,993,239 shares of our Class B common stock (including preferred stock on an as-converted basis and reclassified as Class B common stock) outstanding as of January 31, 2019 and excludes:</w:t>
      </w:r>
    </w:p>
    <w:p>
      <w:pPr>
        <w:spacing w:after="0" w:line="87" w:lineRule="exact"/>
        <w:rPr>
          <w:sz w:val="20"/>
          <w:szCs w:val="20"/>
          <w:color w:val="auto"/>
        </w:rPr>
      </w:pPr>
    </w:p>
    <w:p>
      <w:pPr>
        <w:ind w:left="1060" w:right="160" w:hanging="424"/>
        <w:spacing w:after="0" w:line="286" w:lineRule="auto"/>
        <w:tabs>
          <w:tab w:leader="none" w:pos="106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35,064,465 shares of our Class B common stock issuable upon the exercise of options to purchase shares of our Class B common stock outstanding as of January 31, 2019, with a weighted-average exercise price of $1.48 per share (other than 283,177 shares to be issued upon exercise of options to purchase Class B common stock by certain selling stockholders and sold in this offering);</w:t>
      </w:r>
    </w:p>
    <w:p>
      <w:pPr>
        <w:spacing w:after="0" w:line="70" w:lineRule="exact"/>
        <w:rPr>
          <w:rFonts w:ascii="Arial" w:cs="Arial" w:eastAsia="Arial" w:hAnsi="Arial"/>
          <w:sz w:val="17"/>
          <w:szCs w:val="17"/>
          <w:color w:val="32406B"/>
        </w:rPr>
      </w:pPr>
    </w:p>
    <w:p>
      <w:pPr>
        <w:ind w:left="1060" w:right="540" w:hanging="424"/>
        <w:spacing w:after="0" w:line="277" w:lineRule="auto"/>
        <w:tabs>
          <w:tab w:leader="none" w:pos="106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1,147,500 shares of our Class B common stock issuable upon the exercise of options to purchase shares of our Class B common stock granted after January 31, 2019, with a weighted-average exercise price of $26.09 per share;</w:t>
      </w:r>
    </w:p>
    <w:p>
      <w:pPr>
        <w:spacing w:after="0" w:line="75" w:lineRule="exact"/>
        <w:rPr>
          <w:rFonts w:ascii="Arial" w:cs="Arial" w:eastAsia="Arial" w:hAnsi="Arial"/>
          <w:sz w:val="18"/>
          <w:szCs w:val="18"/>
          <w:color w:val="32406B"/>
        </w:rPr>
      </w:pPr>
    </w:p>
    <w:p>
      <w:pPr>
        <w:ind w:left="1060" w:right="60" w:hanging="424"/>
        <w:spacing w:after="0" w:line="272" w:lineRule="auto"/>
        <w:tabs>
          <w:tab w:leader="none" w:pos="106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58,300,889 shares of our Class A common stock reserved for future issuance under our 2019 Equity Incentive Plan (2019 Plan) (including options to purchase 177,150 shares of Class A Common Stock granted after January 31, 2019), which will become effective in connection with this offering, including 34,000,000 new shares plus the number of shares (not to exceed 24,300,889 shares) (i) that remain available for grant of future awards under our 2011 Global Share Plan (2011 Plan), which shares will be added to the shares reserved under the 2019 Plan upon its effectiveness and (ii) any shares underlying outstanding stock awards granted under our 2011 Plan that expire, or are forfeited, cancelled, withheld or reacquired; plus an annual evergreen increase, as more fully described under the terms of the 2019 Plan described in the section titled “Executive Compensation—Equity Plans”; and</w:t>
      </w:r>
    </w:p>
    <w:p>
      <w:pPr>
        <w:spacing w:after="0" w:line="83" w:lineRule="exact"/>
        <w:rPr>
          <w:rFonts w:ascii="Arial" w:cs="Arial" w:eastAsia="Arial" w:hAnsi="Arial"/>
          <w:sz w:val="17"/>
          <w:szCs w:val="17"/>
          <w:color w:val="32406B"/>
        </w:rPr>
      </w:pPr>
    </w:p>
    <w:p>
      <w:pPr>
        <w:ind w:left="1060" w:right="120" w:hanging="424"/>
        <w:spacing w:after="0" w:line="277" w:lineRule="auto"/>
        <w:tabs>
          <w:tab w:leader="none" w:pos="106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9,000,000 shares of our Class A common stock reserved for future issuance under our 2019 Employee Stock Purchase Plan, which includes an annual evergreen increase and will become effective in connection with this offering.</w:t>
      </w:r>
    </w:p>
    <w:p>
      <w:pPr>
        <w:spacing w:after="0" w:line="170"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32406B"/>
        </w:rPr>
        <w:t>To the extent any outstanding options are exercised, there will be further dilution to new investors. If all of such outstanding options had been exercised as of January 31, 2019, the pro forma as adjusted net tangible book value per share after this offering and the concurrent private placement would be $2.24, and total dilution per share to new investors would be $33.76.</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51</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32406B"/>
        </w:rPr>
        <w:t>If the underwriters exercise their over-allotment option in full, our existing stockholders would own 89.7% and the investors purchasing shares of our Class A common stock in this offering and the concurrent private placement would own 10.3% of the total number of shares of our Class A common stock outstanding immediately after completion of this offering and the concurrent private placement.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52</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SELECTED CONSOLIDATED FINANCIAL DATA</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The following selected consolidated statements of operations data for the years ended January 31, 2017, 2018 and 2019 and the consolidated balance sheet data as of January 31, 2018 and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32406B"/>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gridSpan w:val="9"/>
          </w:tcPr>
          <w:p>
            <w:pPr>
              <w:jc w:val="right"/>
              <w:ind w:right="551"/>
              <w:spacing w:after="0" w:line="142" w:lineRule="exact"/>
              <w:rPr>
                <w:sz w:val="20"/>
                <w:szCs w:val="20"/>
                <w:color w:val="auto"/>
              </w:rPr>
            </w:pPr>
            <w:r>
              <w:rPr>
                <w:rFonts w:ascii="Arial" w:cs="Arial" w:eastAsia="Arial" w:hAnsi="Arial"/>
                <w:sz w:val="14"/>
                <w:szCs w:val="14"/>
                <w:b w:val="1"/>
                <w:bCs w:val="1"/>
                <w:color w:val="32406B"/>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Consolidated Statements of Operations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20" w:type="dxa"/>
            <w:vAlign w:val="bottom"/>
          </w:tcPr>
          <w:p>
            <w:pPr>
              <w:jc w:val="right"/>
              <w:spacing w:after="0"/>
              <w:rPr>
                <w:sz w:val="20"/>
                <w:szCs w:val="20"/>
                <w:color w:val="auto"/>
              </w:rPr>
            </w:pPr>
            <w:r>
              <w:rPr>
                <w:rFonts w:ascii="Arial" w:cs="Arial" w:eastAsia="Arial" w:hAnsi="Arial"/>
                <w:sz w:val="18"/>
                <w:szCs w:val="18"/>
                <w:color w:val="32406B"/>
              </w:rPr>
              <w:t>60,817</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20" w:type="dxa"/>
            <w:vAlign w:val="bottom"/>
          </w:tcPr>
          <w:p>
            <w:pPr>
              <w:jc w:val="right"/>
              <w:spacing w:after="0"/>
              <w:rPr>
                <w:sz w:val="20"/>
                <w:szCs w:val="20"/>
                <w:color w:val="auto"/>
              </w:rPr>
            </w:pPr>
            <w:r>
              <w:rPr>
                <w:rFonts w:ascii="Arial" w:cs="Arial" w:eastAsia="Arial" w:hAnsi="Arial"/>
                <w:sz w:val="18"/>
                <w:szCs w:val="18"/>
                <w:color w:val="32406B"/>
              </w:rPr>
              <w:t>151,478</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330,517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w:t>
            </w:r>
            <w:r>
              <w:rPr>
                <w:rFonts w:ascii="Arial" w:cs="Arial" w:eastAsia="Arial" w:hAnsi="Arial"/>
                <w:sz w:val="15"/>
                <w:szCs w:val="15"/>
                <w:color w:val="32406B"/>
              </w:rPr>
              <w:t>(1)</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12,472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30,780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61,001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32406B"/>
              </w:rPr>
              <w:t>Gross profit</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120,698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269,516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9,218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15,733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rPr>
              <w:t>33,014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Sales and marketing</w:t>
            </w:r>
            <w:r>
              <w:rPr>
                <w:rFonts w:ascii="Arial" w:cs="Arial" w:eastAsia="Arial" w:hAnsi="Arial"/>
                <w:sz w:val="15"/>
                <w:szCs w:val="15"/>
                <w:color w:val="32406B"/>
              </w:rPr>
              <w:t>(1)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31,580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82,707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185,821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32406B"/>
              </w:rPr>
              <w:t>General and administrative</w:t>
            </w:r>
            <w:r>
              <w:rPr>
                <w:rFonts w:ascii="Arial" w:cs="Arial" w:eastAsia="Arial" w:hAnsi="Arial"/>
                <w:sz w:val="15"/>
                <w:szCs w:val="15"/>
                <w:color w:val="32406B"/>
              </w:rPr>
              <w:t>(1)</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7,547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27,091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44,514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operating expenses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125,531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263,349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32406B"/>
              </w:rPr>
              <w:t>Income (loss) from operations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(4,833)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Interest income,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1,241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Other income, net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Net income (loss) before 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(3,518)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Provision for income taxes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32406B"/>
              </w:rPr>
              <w:t>(172)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32406B"/>
              </w:rPr>
              <w:t>(304)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32406B"/>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(3,822)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Distributed earnings attributable to participating securities</w:t>
            </w:r>
            <w:r>
              <w:rPr>
                <w:rFonts w:ascii="Arial" w:cs="Arial" w:eastAsia="Arial" w:hAnsi="Arial"/>
                <w:sz w:val="15"/>
                <w:szCs w:val="15"/>
                <w:color w:val="32406B"/>
              </w:rPr>
              <w:t>(2)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32406B"/>
              </w:rPr>
              <w:t>(14,366)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32406B"/>
              </w:rPr>
              <w:t>(4,405)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Undistributed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(7,584)</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32406B"/>
              </w:rPr>
              <w:t>Net income (loss) attributable to common stockholders</w:t>
            </w:r>
            <w:r>
              <w:rPr>
                <w:rFonts w:ascii="Arial" w:cs="Arial" w:eastAsia="Arial" w:hAnsi="Arial"/>
                <w:sz w:val="15"/>
                <w:szCs w:val="15"/>
                <w:color w:val="32406B"/>
              </w:rPr>
              <w:t>(2)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(14,380)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(8,227)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Net income (loss)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32406B"/>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32406B"/>
              </w:rPr>
              <w:t>(0.20)</w:t>
            </w:r>
          </w:p>
        </w:tc>
        <w:tc>
          <w:tcPr>
            <w:tcW w:w="5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32406B"/>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32406B"/>
                <w:w w:val="94"/>
              </w:rPr>
              <w:t>Weighted-average shares used in computing net income (loss) per share attributable</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32406B"/>
              </w:rPr>
              <w:t>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Basic</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84,483,094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32406B"/>
              </w:rPr>
              <w:t>Diluted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116,005,681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Pro forma net income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32406B"/>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00" w:type="dxa"/>
            <w:vAlign w:val="bottom"/>
          </w:tcPr>
          <w:p>
            <w:pPr>
              <w:jc w:val="right"/>
              <w:spacing w:after="0"/>
              <w:rPr>
                <w:sz w:val="20"/>
                <w:szCs w:val="20"/>
                <w:color w:val="auto"/>
              </w:rPr>
            </w:pPr>
            <w:r>
              <w:rPr>
                <w:rFonts w:ascii="Arial" w:cs="Arial" w:eastAsia="Arial" w:hAnsi="Arial"/>
                <w:sz w:val="18"/>
                <w:szCs w:val="18"/>
                <w:color w:val="32406B"/>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32406B"/>
              </w:rPr>
              <w:t>Weighted-average shares used in computing pro forma net income per share</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32406B"/>
              </w:rPr>
              <w:t>attributable 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237,282,092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32406B"/>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268,804,679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ind w:left="5420"/>
              <w:spacing w:after="0"/>
              <w:rPr>
                <w:sz w:val="20"/>
                <w:szCs w:val="20"/>
                <w:color w:val="auto"/>
              </w:rPr>
            </w:pPr>
            <w:r>
              <w:rPr>
                <w:rFonts w:ascii="Arial" w:cs="Arial" w:eastAsia="Arial" w:hAnsi="Arial"/>
                <w:sz w:val="18"/>
                <w:szCs w:val="18"/>
                <w:color w:val="32406B"/>
              </w:rPr>
              <w:t>53</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32406B"/>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32406B"/>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32406B"/>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32406B"/>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32406B"/>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40" w:hanging="436"/>
        <w:spacing w:after="0" w:line="284" w:lineRule="auto"/>
        <w:tabs>
          <w:tab w:leader="none" w:pos="640" w:val="left"/>
        </w:tabs>
        <w:numPr>
          <w:ilvl w:val="0"/>
          <w:numId w:val="36"/>
        </w:numPr>
        <w:rPr>
          <w:rFonts w:ascii="Arial" w:cs="Arial" w:eastAsia="Arial" w:hAnsi="Arial"/>
          <w:sz w:val="16"/>
          <w:szCs w:val="16"/>
          <w:color w:val="32406B"/>
        </w:rPr>
      </w:pPr>
      <w:r>
        <w:rPr>
          <w:rFonts w:ascii="Arial" w:cs="Arial" w:eastAsia="Arial" w:hAnsi="Arial"/>
          <w:sz w:val="16"/>
          <w:szCs w:val="16"/>
          <w:color w:val="32406B"/>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920" w:type="dxa"/>
            <w:vAlign w:val="bottom"/>
            <w:gridSpan w:val="3"/>
          </w:tcPr>
          <w:p>
            <w:pPr>
              <w:jc w:val="right"/>
              <w:ind w:right="480"/>
              <w:spacing w:after="0" w:line="157" w:lineRule="exact"/>
              <w:rPr>
                <w:sz w:val="20"/>
                <w:szCs w:val="20"/>
                <w:color w:val="auto"/>
              </w:rPr>
            </w:pPr>
            <w:r>
              <w:rPr>
                <w:rFonts w:ascii="Arial" w:cs="Arial" w:eastAsia="Arial" w:hAnsi="Arial"/>
                <w:sz w:val="14"/>
                <w:szCs w:val="14"/>
                <w:b w:val="1"/>
                <w:bCs w:val="1"/>
                <w:color w:val="32406B"/>
              </w:rPr>
              <w:t>As of January 31,</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32406B"/>
              </w:rPr>
              <w:t>2018</w:t>
            </w: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Consolidated Balance Sheet Data:</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32406B"/>
              </w:rPr>
              <w:t>Cash and cash equivalents</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32406B"/>
              </w:rPr>
              <w:t>$ 36,146</w:t>
            </w:r>
          </w:p>
        </w:tc>
        <w:tc>
          <w:tcPr>
            <w:tcW w:w="880" w:type="dxa"/>
            <w:vAlign w:val="bottom"/>
          </w:tcPr>
          <w:p>
            <w:pPr>
              <w:jc w:val="right"/>
              <w:spacing w:after="0"/>
              <w:rPr>
                <w:sz w:val="20"/>
                <w:szCs w:val="20"/>
                <w:color w:val="auto"/>
              </w:rPr>
            </w:pPr>
            <w:r>
              <w:rPr>
                <w:rFonts w:ascii="Arial" w:cs="Arial" w:eastAsia="Arial" w:hAnsi="Arial"/>
                <w:sz w:val="18"/>
                <w:szCs w:val="18"/>
                <w:color w:val="32406B"/>
              </w:rPr>
              <w:t>$ 63,624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Marketable securities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32406B"/>
              </w:rPr>
              <w:t>103,056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112,777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32406B"/>
              </w:rPr>
              <w:t>Working capital</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32406B"/>
              </w:rPr>
              <w:t>114,633</w:t>
            </w:r>
          </w:p>
        </w:tc>
        <w:tc>
          <w:tcPr>
            <w:tcW w:w="880" w:type="dxa"/>
            <w:vAlign w:val="bottom"/>
          </w:tcPr>
          <w:p>
            <w:pPr>
              <w:jc w:val="right"/>
              <w:spacing w:after="0"/>
              <w:rPr>
                <w:sz w:val="20"/>
                <w:szCs w:val="20"/>
                <w:color w:val="auto"/>
              </w:rPr>
            </w:pPr>
            <w:r>
              <w:rPr>
                <w:rFonts w:ascii="Arial" w:cs="Arial" w:eastAsia="Arial" w:hAnsi="Arial"/>
                <w:sz w:val="18"/>
                <w:szCs w:val="18"/>
                <w:color w:val="32406B"/>
              </w:rPr>
              <w:t>124,378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Total assets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32406B"/>
              </w:rPr>
              <w:t>215,019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354,565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32406B"/>
              </w:rPr>
              <w:t>Deferred revenue, current and non-current</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32406B"/>
              </w:rPr>
              <w:t>54,262</w:t>
            </w:r>
          </w:p>
        </w:tc>
        <w:tc>
          <w:tcPr>
            <w:tcW w:w="880" w:type="dxa"/>
            <w:vAlign w:val="bottom"/>
          </w:tcPr>
          <w:p>
            <w:pPr>
              <w:jc w:val="right"/>
              <w:spacing w:after="0"/>
              <w:rPr>
                <w:sz w:val="20"/>
                <w:szCs w:val="20"/>
                <w:color w:val="auto"/>
              </w:rPr>
            </w:pPr>
            <w:r>
              <w:rPr>
                <w:rFonts w:ascii="Arial" w:cs="Arial" w:eastAsia="Arial" w:hAnsi="Arial"/>
                <w:sz w:val="18"/>
                <w:szCs w:val="18"/>
                <w:color w:val="32406B"/>
              </w:rPr>
              <w:t>125,773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Convertible promissory notes, net</w:t>
            </w:r>
            <w:r>
              <w:rPr>
                <w:rFonts w:ascii="Arial" w:cs="Arial" w:eastAsia="Arial" w:hAnsi="Arial"/>
                <w:sz w:val="15"/>
                <w:szCs w:val="15"/>
                <w:color w:val="32406B"/>
              </w:rPr>
              <w:t>(1)</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14,858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32406B"/>
              </w:rPr>
              <w:t>Convertible preferred stock</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32406B"/>
              </w:rPr>
              <w:t>159,552</w:t>
            </w:r>
          </w:p>
        </w:tc>
        <w:tc>
          <w:tcPr>
            <w:tcW w:w="880" w:type="dxa"/>
            <w:vAlign w:val="bottom"/>
          </w:tcPr>
          <w:p>
            <w:pPr>
              <w:jc w:val="right"/>
              <w:spacing w:after="0"/>
              <w:rPr>
                <w:sz w:val="20"/>
                <w:szCs w:val="20"/>
                <w:color w:val="auto"/>
              </w:rPr>
            </w:pPr>
            <w:r>
              <w:rPr>
                <w:rFonts w:ascii="Arial" w:cs="Arial" w:eastAsia="Arial" w:hAnsi="Arial"/>
                <w:sz w:val="18"/>
                <w:szCs w:val="18"/>
                <w:color w:val="32406B"/>
              </w:rPr>
              <w:t>159,552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Accumulated deficit</w:t>
            </w:r>
          </w:p>
        </w:tc>
        <w:tc>
          <w:tcPr>
            <w:tcW w:w="39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32406B"/>
              </w:rPr>
              <w:t>(32,737)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(25,153)</w:t>
            </w: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32406B"/>
              </w:rPr>
              <w:t>Total stockholders’ deficit</w:t>
            </w:r>
          </w:p>
        </w:tc>
        <w:tc>
          <w:tcPr>
            <w:tcW w:w="3960" w:type="dxa"/>
            <w:vAlign w:val="bottom"/>
            <w:gridSpan w:val="2"/>
          </w:tcPr>
          <w:p>
            <w:pPr>
              <w:jc w:val="right"/>
              <w:ind w:right="104"/>
              <w:spacing w:after="0"/>
              <w:rPr>
                <w:sz w:val="20"/>
                <w:szCs w:val="20"/>
                <w:color w:val="auto"/>
              </w:rPr>
            </w:pPr>
            <w:r>
              <w:rPr>
                <w:rFonts w:ascii="Arial" w:cs="Arial" w:eastAsia="Arial" w:hAnsi="Arial"/>
                <w:sz w:val="18"/>
                <w:szCs w:val="18"/>
                <w:color w:val="32406B"/>
              </w:rPr>
              <w:t>(26,671)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32406B"/>
              </w:rPr>
              <w:t>(7,439)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5620" w:right="5220" w:hanging="5416"/>
        <w:spacing w:after="0" w:line="536" w:lineRule="auto"/>
        <w:tabs>
          <w:tab w:leader="none" w:pos="632" w:val="left"/>
        </w:tabs>
        <w:numPr>
          <w:ilvl w:val="0"/>
          <w:numId w:val="37"/>
        </w:numPr>
        <w:rPr>
          <w:rFonts w:ascii="Arial" w:cs="Arial" w:eastAsia="Arial" w:hAnsi="Arial"/>
          <w:sz w:val="16"/>
          <w:szCs w:val="16"/>
          <w:color w:val="32406B"/>
        </w:rPr>
      </w:pPr>
      <w:r>
        <w:rPr>
          <w:rFonts w:ascii="Arial" w:cs="Arial" w:eastAsia="Arial" w:hAnsi="Arial"/>
          <w:sz w:val="16"/>
          <w:szCs w:val="16"/>
          <w:color w:val="32406B"/>
        </w:rPr>
        <w:t>Included in other liabilities, non-current on our consolidated balance sheet. 54</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32406B"/>
        </w:rPr>
        <w:t>MANAGEMENT’S DISCUSSION AND ANALYSIS OF FINANCIAL CONDITION AND RESULTS OF OPERATIONS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32406B"/>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 The last day of our fiscal year is January 31. Our fiscal quarters end on April 30, July 31, October 31 and January 31.</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mission is to make video communications frictionless.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32406B"/>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The positive impact we have on our customers and hosts is reflected in our average customer Net Promoter Score (NPS), which was over 70 in 2018. NPS, which can range from a low of -100 to a high of +100, measures the willingness of customers to recommend a company’s products or services to others and is used as a proxy for gauging customers’ overall satisfaction with a company’s product or service and the customers’ loyalty to the brand.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Since our inception, our consistent focus on innovation has allowed us to achieve the following significant milestones:</w:t>
      </w:r>
    </w:p>
    <w:p>
      <w:pPr>
        <w:spacing w:after="0" w:line="127"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2011: </w:t>
      </w:r>
      <w:r>
        <w:rPr>
          <w:rFonts w:ascii="Arial" w:cs="Arial" w:eastAsia="Arial" w:hAnsi="Arial"/>
          <w:sz w:val="18"/>
          <w:szCs w:val="18"/>
          <w:color w:val="32406B"/>
        </w:rPr>
        <w:t>Zoom founded, first employee hired, first seed funding and first office leased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2013: </w:t>
      </w:r>
      <w:r>
        <w:rPr>
          <w:rFonts w:ascii="Arial" w:cs="Arial" w:eastAsia="Arial" w:hAnsi="Arial"/>
          <w:sz w:val="18"/>
          <w:szCs w:val="18"/>
          <w:color w:val="32406B"/>
        </w:rPr>
        <w:t>First public release of Zoom Meetings, which supported 200 million annual meeting minutes by year end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2014: </w:t>
      </w:r>
      <w:r>
        <w:rPr>
          <w:rFonts w:ascii="Arial" w:cs="Arial" w:eastAsia="Arial" w:hAnsi="Arial"/>
          <w:sz w:val="18"/>
          <w:szCs w:val="18"/>
          <w:color w:val="32406B"/>
        </w:rPr>
        <w:t>Introduced Zoom Chat, Zoom Video Webinar and Zoom Rooms</w:t>
      </w:r>
    </w:p>
    <w:p>
      <w:pPr>
        <w:spacing w:after="0" w:line="130" w:lineRule="exact"/>
        <w:rPr>
          <w:rFonts w:ascii="Arial" w:cs="Arial" w:eastAsia="Arial" w:hAnsi="Arial"/>
          <w:sz w:val="18"/>
          <w:szCs w:val="18"/>
          <w:color w:val="32406B"/>
        </w:rPr>
      </w:pPr>
    </w:p>
    <w:p>
      <w:pPr>
        <w:ind w:left="1060" w:right="100" w:hanging="424"/>
        <w:spacing w:after="0" w:line="282" w:lineRule="auto"/>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2015: </w:t>
      </w:r>
      <w:r>
        <w:rPr>
          <w:rFonts w:ascii="Arial" w:cs="Arial" w:eastAsia="Arial" w:hAnsi="Arial"/>
          <w:sz w:val="18"/>
          <w:szCs w:val="18"/>
          <w:color w:val="32406B"/>
        </w:rPr>
        <w:t>100th employee hired, revolutionized mobile screen sharing, introduced Zoom Video Breakout Rooms and partnered with Slack and</w:t>
      </w:r>
      <w:r>
        <w:rPr>
          <w:rFonts w:ascii="Arial" w:cs="Arial" w:eastAsia="Arial" w:hAnsi="Arial"/>
          <w:sz w:val="18"/>
          <w:szCs w:val="18"/>
          <w:b w:val="1"/>
          <w:bCs w:val="1"/>
          <w:color w:val="32406B"/>
        </w:rPr>
        <w:t xml:space="preserve"> </w:t>
      </w:r>
      <w:r>
        <w:rPr>
          <w:rFonts w:ascii="Arial" w:cs="Arial" w:eastAsia="Arial" w:hAnsi="Arial"/>
          <w:sz w:val="18"/>
          <w:szCs w:val="18"/>
          <w:color w:val="32406B"/>
        </w:rPr>
        <w:t>salesforce.com</w:t>
      </w:r>
    </w:p>
    <w:p>
      <w:pPr>
        <w:spacing w:after="0" w:line="67" w:lineRule="exact"/>
        <w:rPr>
          <w:rFonts w:ascii="Arial" w:cs="Arial" w:eastAsia="Arial" w:hAnsi="Arial"/>
          <w:sz w:val="18"/>
          <w:szCs w:val="18"/>
          <w:color w:val="32406B"/>
        </w:rPr>
      </w:pPr>
    </w:p>
    <w:p>
      <w:pPr>
        <w:ind w:left="1060" w:right="280" w:hanging="424"/>
        <w:spacing w:after="0" w:line="282" w:lineRule="auto"/>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2016: </w:t>
      </w:r>
      <w:r>
        <w:rPr>
          <w:rFonts w:ascii="Arial" w:cs="Arial" w:eastAsia="Arial" w:hAnsi="Arial"/>
          <w:sz w:val="18"/>
          <w:szCs w:val="18"/>
          <w:color w:val="32406B"/>
        </w:rPr>
        <w:t>Added native interoperability with Microsoft Skype for business, introduced touch and three-screen support for Zoom Rooms and</w:t>
      </w:r>
      <w:r>
        <w:rPr>
          <w:rFonts w:ascii="Arial" w:cs="Arial" w:eastAsia="Arial" w:hAnsi="Arial"/>
          <w:sz w:val="18"/>
          <w:szCs w:val="18"/>
          <w:b w:val="1"/>
          <w:bCs w:val="1"/>
          <w:color w:val="32406B"/>
        </w:rPr>
        <w:t xml:space="preserve"> </w:t>
      </w:r>
      <w:r>
        <w:rPr>
          <w:rFonts w:ascii="Arial" w:cs="Arial" w:eastAsia="Arial" w:hAnsi="Arial"/>
          <w:sz w:val="18"/>
          <w:szCs w:val="18"/>
          <w:color w:val="32406B"/>
        </w:rPr>
        <w:t>reached six billion annual meeting minutes</w:t>
      </w:r>
    </w:p>
    <w:p>
      <w:pPr>
        <w:spacing w:after="0" w:line="67" w:lineRule="exact"/>
        <w:rPr>
          <w:rFonts w:ascii="Arial" w:cs="Arial" w:eastAsia="Arial" w:hAnsi="Arial"/>
          <w:sz w:val="18"/>
          <w:szCs w:val="18"/>
          <w:color w:val="32406B"/>
        </w:rPr>
      </w:pPr>
    </w:p>
    <w:p>
      <w:pPr>
        <w:ind w:left="1060" w:right="180" w:hanging="424"/>
        <w:spacing w:after="0" w:line="282" w:lineRule="auto"/>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2017: </w:t>
      </w:r>
      <w:r>
        <w:rPr>
          <w:rFonts w:ascii="Arial" w:cs="Arial" w:eastAsia="Arial" w:hAnsi="Arial"/>
          <w:sz w:val="18"/>
          <w:szCs w:val="18"/>
          <w:color w:val="32406B"/>
        </w:rPr>
        <w:t>Announced Zoom Developer Platform, hosted our first user conference, Zoomtopia, and opened offices in Australia and the United</w:t>
      </w:r>
      <w:r>
        <w:rPr>
          <w:rFonts w:ascii="Arial" w:cs="Arial" w:eastAsia="Arial" w:hAnsi="Arial"/>
          <w:sz w:val="18"/>
          <w:szCs w:val="18"/>
          <w:b w:val="1"/>
          <w:bCs w:val="1"/>
          <w:color w:val="32406B"/>
        </w:rPr>
        <w:t xml:space="preserve"> </w:t>
      </w:r>
      <w:r>
        <w:rPr>
          <w:rFonts w:ascii="Arial" w:cs="Arial" w:eastAsia="Arial" w:hAnsi="Arial"/>
          <w:sz w:val="18"/>
          <w:szCs w:val="18"/>
          <w:color w:val="32406B"/>
        </w:rPr>
        <w:t>Kingdom</w:t>
      </w:r>
    </w:p>
    <w:p>
      <w:pPr>
        <w:spacing w:after="0" w:line="67"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2018: </w:t>
      </w:r>
      <w:r>
        <w:rPr>
          <w:rFonts w:ascii="Arial" w:cs="Arial" w:eastAsia="Arial" w:hAnsi="Arial"/>
          <w:sz w:val="18"/>
          <w:szCs w:val="18"/>
          <w:color w:val="32406B"/>
        </w:rPr>
        <w:t>Announced Zoom Phone, Zoom App Marketplace and partnerships with Atlassian and Dropbox</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38"/>
        </w:numPr>
        <w:rPr>
          <w:rFonts w:ascii="Arial" w:cs="Arial" w:eastAsia="Arial" w:hAnsi="Arial"/>
          <w:sz w:val="18"/>
          <w:szCs w:val="18"/>
          <w:color w:val="32406B"/>
        </w:rPr>
      </w:pPr>
      <w:r>
        <w:rPr>
          <w:rFonts w:ascii="Arial" w:cs="Arial" w:eastAsia="Arial" w:hAnsi="Arial"/>
          <w:sz w:val="18"/>
          <w:szCs w:val="18"/>
          <w:b w:val="1"/>
          <w:bCs w:val="1"/>
          <w:color w:val="32406B"/>
        </w:rPr>
        <w:t xml:space="preserve">2019: </w:t>
      </w:r>
      <w:r>
        <w:rPr>
          <w:rFonts w:ascii="Arial" w:cs="Arial" w:eastAsia="Arial" w:hAnsi="Arial"/>
          <w:sz w:val="18"/>
          <w:szCs w:val="18"/>
          <w:color w:val="32406B"/>
        </w:rPr>
        <w:t>Exceeded 5 billion monthly meeting minutes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32406B"/>
        </w:rPr>
        <w:t>55</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Our revenue was $60.8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Business Model</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We generate revenue from the sale of subscriptions to our video-first communications platform. Subscription revenue is driven primarily by the number of paid hosts, as well as purchases of additional products including Zoom Rooms and Zoom Video Webinars.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6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 For example, for the fiscal years ended January 31, 2018 and 2019, 65% and 74%, respectively, of our annual recurring revenue (ARR) was generated from annual and multi-year subscriptions. We define ARR as the annualized revenue run-rate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The attrition rate for our monthly subscribers was less than 4% per month in the fiscal years ended January 31, 2018 and 2019. ARR and MRR should be viewed independently of revenue as they are operating metrics and are not intended to be replacements or forecasts of revenue.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Go-to-Market Model</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We offer subscriptions to our platform to a broad range of customers, from single users to organizations with hundreds of thousands of employees. Users are comprised of both hosts who organize video meetings and the individual attendees who participate in those video meetings.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7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For the fiscal year ended January 31, 2019, 55% of our 344 customers that contributed more than $100,000 of revenue started with at least one free host prior to subscribing. These 344 customers contributed 30% of revenue for the fiscal year ended January 31, 2019.</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Our customer base is diverse and spans various industries and countries. Our top 10 customers accounted for less than 10% of revenue for each of the fiscal years ended January 31, 2017, 2018 and 2019.</w:t>
      </w:r>
    </w:p>
    <w:p>
      <w:pPr>
        <w:spacing w:after="0" w:line="170"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32406B"/>
        </w:rPr>
        <w:t>We have experienced significant success in attracting large enterprise customers using our model. For the fiscal year ended January 31, 2019, we had 344 customers that contributed more than $100,000 of revenue, compared to just 143 customers one year before.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Key Factors Affecting Our Performance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Acquiring New Customers</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Expansion of Zoom Across Existing Customers</w:t>
      </w:r>
    </w:p>
    <w:p>
      <w:pPr>
        <w:spacing w:after="0" w:line="117"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32406B"/>
        </w:rPr>
        <w:t>We believe that there is a large opportunity for growth with many of our existing customers. For the fiscal year ended January 31, 2019, greater than 50% of the Fortune 500 had at least one paid Zoom host, compared to only 4% that contributed more than $100,000 of revenue. We believe this demonstrates that our product has already gained a foothold in many of the largest enterprises in the United States, and there is a large opportunity to expand within these large enterprise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ARR from customers with greater than 10 employees as of the 12 months prior to such period end (Prior Period ARR). We then calculate the ARR from these customers as of the current period end (Current Period ARR). The calculation of Current Period ARR includes any upsells, contraction and attrition. We then divide the total Current Period ARR by the total Prior Period ARR to arrive at the net dollar expansion rate. For the trailing 12-months calculation, we take an average of this calculation over the previous 12 months. Our net dollar expansion rate may fluctuate as a result of a number of factors, including the level of penetration within our customer base, expansion of products and features and our ability to retain our customers. Our trailing 12-month net dollar expansion rate was 138%, 139% and 140% as of July 31, 2018, October 31, 2018 and January 31, 2019, respectively. As we only began tracking this metric in August 2017, we are not able to calculate the net dollar expansion rate for a trailing 12-month period prior to July 31, 2018.</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Innovation and Expansion of Our Platform</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32406B"/>
        </w:rPr>
        <w:t>We continue to invest resources to enhance the capabilities of our platform. We announced Zoom Phone in October 2018 and made it generally available in January 2019. In 2018, we also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International Expansion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Our platform addresses the communications needs of users worldwide. Minimal updates are required in order to make Zoom available for foreign markets, and we see international expansion as a major opportunity.</w:t>
      </w:r>
    </w:p>
    <w:p>
      <w:pPr>
        <w:spacing w:after="0" w:line="17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32406B"/>
        </w:rPr>
        <w:t>We only recently started to expand our go-to-market operations internationally. Our revenue from APAC and EMEA represented 17% of our revenue in the fiscal year ended January 31, 2018 when we first established a physical sales presence in Australia and the United Kingdom. In the fiscal year ended January 31, 2019, our revenue from APAC and EMEA represented 18% of our revenue, and we added five additional local sales locations in Canada, France, Japan, the Netherlands and Singapore.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Key Business Metrics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We review the following key business metrics to measure our performance, identify trends, formulate financial projections, and make strategic decisions.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Customers with Greater Than 10 Employees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Revenue from these customers represented 69%, 75% and 78% of revenue for the fiscal years ended January 31, 2017, 2018 and 2019, respectively. As of January 31, 2017, 2018 and 2019, we had approximately 10,900, 25,800 and 50,800 customers with more than 10 employees. When disclosing the number of customers, we round down to the nearest hundred.</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Customers Contributing More Than $100,000 of Annual Revenue</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32406B"/>
        </w:rPr>
        <w:t>We focus on growing the number of customers that contribute more than $100,000 of annual revenue as a measure of our ability to scale with our customers and attract larger organizations to Zoom. Revenue from these customers represented 22%, 25% and 30% of revenue for the fiscal years ended January 31, 2017, 2018 and 2019, respectively. As of January 31, 2017, 2018 and 2019, we had 54, 143 and 344 customers that contributed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58</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more than $100,000 of revenue in each of their respective fiscal years, demonstrating our rapid penetration of larger organizations including enterprises.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These customers are a subset of the customers with greater than 10 employees.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Revenue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32406B"/>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Cost of Revenue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Research and Development</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Sales and Marketing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General and Administrative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General and administrative expenses primarily consist of personnel-related expenses associated with our finance, legal and human resources organizations, professional fees for external legal, accounting and other consulting services, bad debt expense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Interest Income, Net</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32406B"/>
        </w:rPr>
        <w:t>Interest income, net consists primarily of interest income earned on our cash equivalents and marketable securities and is partially offset by interest expenses on convertible promissory notes.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59</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 Income, Net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32406B"/>
        </w:rPr>
        <w:t>Other income, net consists primarily of miscellaneous non-operational income and expenses and remeasurement of derivative liabilities related to convertible promissory notes.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Provision for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Provision for income taxes consists primarily of income taxes related to foreign and state jurisdictions in which we conduct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Results of Operations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The following tables set forth selected consolidated statements of operations data and such data as a percentage of total revenue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32406B"/>
              </w:rPr>
              <w:t>Year Ended January 31,</w:t>
            </w: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rPr>
              <w:t>2017</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2018</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32406B"/>
                <w:w w:val="99"/>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60,817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151,478</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330,517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32406B"/>
              </w:rPr>
              <w:t>Cost of revenue</w:t>
            </w:r>
            <w:r>
              <w:rPr>
                <w:rFonts w:ascii="Arial" w:cs="Arial" w:eastAsia="Arial" w:hAnsi="Arial"/>
                <w:sz w:val="15"/>
                <w:szCs w:val="15"/>
                <w:color w:val="32406B"/>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12,472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30,780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61,001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Gross profit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48,345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120,698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269,516</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32406B"/>
              </w:rPr>
              <w:t>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9,218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33,014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32406B"/>
              </w:rPr>
              <w:t>Sales and marketing</w:t>
            </w:r>
            <w:r>
              <w:rPr>
                <w:rFonts w:ascii="Arial" w:cs="Arial" w:eastAsia="Arial" w:hAnsi="Arial"/>
                <w:sz w:val="15"/>
                <w:szCs w:val="15"/>
                <w:color w:val="32406B"/>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w w:val="87"/>
              </w:rPr>
              <w:t>31,580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82,707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w w:val="89"/>
              </w:rPr>
              <w:t>185,821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General and administrative</w:t>
            </w:r>
            <w:r>
              <w:rPr>
                <w:rFonts w:ascii="Arial" w:cs="Arial" w:eastAsia="Arial" w:hAnsi="Arial"/>
                <w:sz w:val="15"/>
                <w:szCs w:val="15"/>
                <w:color w:val="32406B"/>
              </w:rPr>
              <w:t>(1)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27,091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44,514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1060"/>
              <w:spacing w:after="0"/>
              <w:rPr>
                <w:sz w:val="20"/>
                <w:szCs w:val="20"/>
                <w:color w:val="auto"/>
              </w:rPr>
            </w:pPr>
            <w:r>
              <w:rPr>
                <w:rFonts w:ascii="Arial" w:cs="Arial" w:eastAsia="Arial" w:hAnsi="Arial"/>
                <w:sz w:val="18"/>
                <w:szCs w:val="18"/>
                <w:color w:val="32406B"/>
              </w:rPr>
              <w:t>Total operating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48,345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6"/>
              </w:rPr>
              <w:t>125,531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9"/>
              </w:rPr>
              <w:t>263,349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6,167</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32406B"/>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1,241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1,837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Other income,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345</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32406B"/>
              </w:rPr>
              <w:t>Net income (loss) before provision for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158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w w:val="98"/>
              </w:rPr>
              <w:t>(3,518)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8,349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(304)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(765)</w:t>
            </w: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32406B"/>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(3,822)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7,584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32406B"/>
            </w:tcBorders>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32406B"/>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32406B"/>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32406B"/>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32406B"/>
              </w:rPr>
              <w:t>1,369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32406B"/>
              </w:rPr>
              <w:t>General and administrative</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stock-based compensation expense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60" w:type="dxa"/>
            <w:vAlign w:val="bottom"/>
            <w:vMerge w:val="restart"/>
          </w:tcPr>
          <w:p>
            <w:pPr>
              <w:jc w:val="right"/>
              <w:ind w:right="2930"/>
              <w:spacing w:after="0"/>
              <w:rPr>
                <w:sz w:val="20"/>
                <w:szCs w:val="20"/>
                <w:color w:val="auto"/>
              </w:rPr>
            </w:pPr>
            <w:r>
              <w:rPr>
                <w:rFonts w:ascii="Arial" w:cs="Arial" w:eastAsia="Arial" w:hAnsi="Arial"/>
                <w:sz w:val="18"/>
                <w:szCs w:val="18"/>
                <w:color w:val="32406B"/>
              </w:rPr>
              <w:t>60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32406B"/>
                <w:w w:val="93"/>
              </w:rPr>
              <w:t>Year Ended January 31,</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32406B"/>
              </w:rPr>
              <w:t>2017</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left="484"/>
              <w:spacing w:after="0" w:line="142" w:lineRule="exact"/>
              <w:rPr>
                <w:sz w:val="20"/>
                <w:szCs w:val="20"/>
                <w:color w:val="auto"/>
              </w:rPr>
            </w:pPr>
            <w:r>
              <w:rPr>
                <w:rFonts w:ascii="Arial" w:cs="Arial" w:eastAsia="Arial" w:hAnsi="Arial"/>
                <w:sz w:val="14"/>
                <w:szCs w:val="14"/>
                <w:b w:val="1"/>
                <w:bCs w:val="1"/>
                <w:color w:val="32406B"/>
                <w:w w:val="89"/>
              </w:rPr>
              <w:t>2018</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32406B"/>
              </w:rPr>
              <w:t>2019</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32406B"/>
                <w:w w:val="90"/>
              </w:rPr>
              <w:t>(as a percentage of revenue)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32406B"/>
              </w:rPr>
              <w:t>100%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32406B"/>
              </w:rPr>
              <w:t>Cost of revenue</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Gross profit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2406B"/>
              </w:rPr>
              <w:t>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32406B"/>
              </w:rPr>
              <w:t>Operating expenses: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Research and development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32406B"/>
              </w:rPr>
              <w:t>Sales and marketing</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2406B"/>
              </w:rPr>
              <w:t>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32406B"/>
              </w:rPr>
              <w:t>55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General and administrative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2406B"/>
              </w:rPr>
              <w:t>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060"/>
              <w:spacing w:after="0"/>
              <w:rPr>
                <w:sz w:val="20"/>
                <w:szCs w:val="20"/>
                <w:color w:val="auto"/>
              </w:rPr>
            </w:pPr>
            <w:r>
              <w:rPr>
                <w:rFonts w:ascii="Arial" w:cs="Arial" w:eastAsia="Arial" w:hAnsi="Arial"/>
                <w:sz w:val="18"/>
                <w:szCs w:val="18"/>
                <w:color w:val="32406B"/>
              </w:rPr>
              <w:t>Total operating expenses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83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80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Income (loss) from operations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32406B"/>
              </w:rPr>
              <w:t>(3)</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32406B"/>
              </w:rPr>
              <w:t>Interest income, net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32406B"/>
              </w:rPr>
              <w:t>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net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32406B"/>
              </w:rPr>
              <w:t>Net income (loss) before provision for income taxes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32406B"/>
              </w:rPr>
              <w:t>(2)</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Provision for income taxes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32406B"/>
              </w:rPr>
              <w:t>(1)</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32406B"/>
              </w:rPr>
              <w:t>Net income (loss)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32406B"/>
              </w:rPr>
              <w:t>(3)</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32406B"/>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32406B"/>
                <w:w w:val="92"/>
              </w:rPr>
              <w:t>Comparison of the Fiscal Years Ended January 31, 2017, 2018 and 2019</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60" w:type="dxa"/>
            <w:vAlign w:val="bottom"/>
          </w:tcPr>
          <w:p>
            <w:pPr>
              <w:ind w:left="420"/>
              <w:spacing w:after="0"/>
              <w:rPr>
                <w:sz w:val="20"/>
                <w:szCs w:val="20"/>
                <w:color w:val="auto"/>
              </w:rPr>
            </w:pPr>
            <w:r>
              <w:rPr>
                <w:rFonts w:ascii="Arial" w:cs="Arial" w:eastAsia="Arial" w:hAnsi="Arial"/>
                <w:sz w:val="18"/>
                <w:szCs w:val="18"/>
                <w:i w:val="1"/>
                <w:iCs w:val="1"/>
                <w:color w:val="32406B"/>
              </w:rPr>
              <w:t>Revenue</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32406B"/>
              </w:rPr>
              <w:t>Year Ended January 31,</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tcPr>
          <w:p>
            <w:pPr>
              <w:jc w:val="right"/>
              <w:ind w:right="28"/>
              <w:spacing w:after="0" w:line="119" w:lineRule="exact"/>
              <w:rPr>
                <w:sz w:val="20"/>
                <w:szCs w:val="20"/>
                <w:color w:val="auto"/>
              </w:rPr>
            </w:pPr>
            <w:r>
              <w:rPr>
                <w:rFonts w:ascii="Arial" w:cs="Arial" w:eastAsia="Arial" w:hAnsi="Arial"/>
                <w:sz w:val="13"/>
                <w:szCs w:val="13"/>
                <w:b w:val="1"/>
                <w:bCs w:val="1"/>
                <w:color w:val="32406B"/>
              </w:rPr>
              <w:t>2018</w:t>
            </w:r>
          </w:p>
        </w:tc>
        <w:tc>
          <w:tcPr>
            <w:tcW w:w="140" w:type="dxa"/>
            <w:vAlign w:val="bottom"/>
          </w:tcPr>
          <w:p>
            <w:pPr>
              <w:spacing w:after="0"/>
              <w:rPr>
                <w:sz w:val="10"/>
                <w:szCs w:val="10"/>
                <w:color w:val="auto"/>
              </w:rPr>
            </w:pPr>
          </w:p>
        </w:tc>
        <w:tc>
          <w:tcPr>
            <w:tcW w:w="860" w:type="dxa"/>
            <w:vAlign w:val="bottom"/>
            <w:gridSpan w:val="2"/>
          </w:tcPr>
          <w:p>
            <w:pPr>
              <w:jc w:val="right"/>
              <w:ind w:right="59"/>
              <w:spacing w:after="0" w:line="119" w:lineRule="exact"/>
              <w:rPr>
                <w:sz w:val="20"/>
                <w:szCs w:val="20"/>
                <w:color w:val="auto"/>
              </w:rPr>
            </w:pPr>
            <w:r>
              <w:rPr>
                <w:rFonts w:ascii="Arial" w:cs="Arial" w:eastAsia="Arial" w:hAnsi="Arial"/>
                <w:sz w:val="13"/>
                <w:szCs w:val="13"/>
                <w:b w:val="1"/>
                <w:bCs w:val="1"/>
                <w:color w:val="32406B"/>
              </w:rPr>
              <w:t>2019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89"/>
              </w:rPr>
              <w:t>vs</w:t>
            </w:r>
          </w:p>
        </w:tc>
        <w:tc>
          <w:tcPr>
            <w:tcW w:w="36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32406B"/>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32406B"/>
              </w:rPr>
              <w:t>2017</w:t>
            </w:r>
          </w:p>
        </w:tc>
        <w:tc>
          <w:tcPr>
            <w:tcW w:w="60" w:type="dxa"/>
            <w:vAlign w:val="bottom"/>
          </w:tcPr>
          <w:p>
            <w:pPr>
              <w:spacing w:after="0"/>
              <w:rPr>
                <w:sz w:val="12"/>
                <w:szCs w:val="12"/>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32406B"/>
              </w:rPr>
              <w:t>2018</w:t>
            </w:r>
          </w:p>
        </w:tc>
        <w:tc>
          <w:tcPr>
            <w:tcW w:w="16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rPr>
              <w:t>2019</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32406B"/>
              </w:rPr>
              <w:t>2017%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2406B"/>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4"/>
          </w:tcPr>
          <w:p>
            <w:pPr>
              <w:jc w:val="center"/>
              <w:ind w:left="93"/>
              <w:spacing w:after="0"/>
              <w:rPr>
                <w:sz w:val="20"/>
                <w:szCs w:val="20"/>
                <w:color w:val="auto"/>
              </w:rPr>
            </w:pPr>
            <w:r>
              <w:rPr>
                <w:rFonts w:ascii="Arial" w:cs="Arial" w:eastAsia="Arial" w:hAnsi="Arial"/>
                <w:sz w:val="14"/>
                <w:szCs w:val="14"/>
                <w:b w:val="1"/>
                <w:bCs w:val="1"/>
                <w:color w:val="32406B"/>
                <w:w w:val="89"/>
              </w:rPr>
              <w:t>Change</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32406B"/>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32406B"/>
                <w:w w:val="93"/>
              </w:rPr>
              <w:t>(in thousands)</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$60,817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$151,478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$330,517</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149%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32406B"/>
        </w:rPr>
        <w:t xml:space="preserve">2018 compared </w:t>
      </w:r>
      <w:r>
        <w:rPr>
          <w:rFonts w:ascii="Arial" w:cs="Arial" w:eastAsia="Arial" w:hAnsi="Arial"/>
          <w:sz w:val="18"/>
          <w:szCs w:val="18"/>
          <w:color w:val="32406B"/>
        </w:rPr>
        <w:t>to 2017. Revenue in the fiscal year ended January 31, 2018 increased by $90.7 million, or 149%, compared to the fiscal year</w:t>
      </w:r>
      <w:r>
        <w:rPr>
          <w:rFonts w:ascii="Arial" w:cs="Arial" w:eastAsia="Arial" w:hAnsi="Arial"/>
          <w:sz w:val="18"/>
          <w:szCs w:val="18"/>
          <w:i w:val="1"/>
          <w:iCs w:val="1"/>
          <w:color w:val="32406B"/>
        </w:rPr>
        <w:t xml:space="preserve"> </w:t>
      </w:r>
      <w:r>
        <w:rPr>
          <w:rFonts w:ascii="Arial" w:cs="Arial" w:eastAsia="Arial" w:hAnsi="Arial"/>
          <w:sz w:val="18"/>
          <w:szCs w:val="18"/>
          <w:color w:val="32406B"/>
        </w:rPr>
        <w:t>ended January 31, 2017. The increase was substantially due to existing customers, which accounted for approximately 55% of the increase, and to new customers, which accounted for approximately 45% of the increase.</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32406B"/>
        </w:rPr>
        <w:t xml:space="preserve">2019 compared </w:t>
      </w:r>
      <w:r>
        <w:rPr>
          <w:rFonts w:ascii="Arial" w:cs="Arial" w:eastAsia="Arial" w:hAnsi="Arial"/>
          <w:sz w:val="18"/>
          <w:szCs w:val="18"/>
          <w:color w:val="32406B"/>
        </w:rPr>
        <w:t>to 2018. Revenue in the fiscal year ended January 31, 2019 increased by $179.0 million, or 118%, compared to the fiscal year</w:t>
      </w:r>
      <w:r>
        <w:rPr>
          <w:rFonts w:ascii="Arial" w:cs="Arial" w:eastAsia="Arial" w:hAnsi="Arial"/>
          <w:sz w:val="18"/>
          <w:szCs w:val="18"/>
          <w:i w:val="1"/>
          <w:iCs w:val="1"/>
          <w:color w:val="32406B"/>
        </w:rPr>
        <w:t xml:space="preserve"> </w:t>
      </w:r>
      <w:r>
        <w:rPr>
          <w:rFonts w:ascii="Arial" w:cs="Arial" w:eastAsia="Arial" w:hAnsi="Arial"/>
          <w:sz w:val="18"/>
          <w:szCs w:val="18"/>
          <w:color w:val="32406B"/>
        </w:rPr>
        <w:t>ended January 31, 2018. The increase was substantially due to existing customers, which accounted for approximately 56% of the increase, and to new customers, which accounted for approximately 44% of the increase.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Cost of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32406B"/>
              </w:rPr>
              <w:t>Year Ended January 31,</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jc w:val="center"/>
              <w:ind w:left="42"/>
              <w:spacing w:after="0" w:line="119" w:lineRule="exact"/>
              <w:rPr>
                <w:sz w:val="20"/>
                <w:szCs w:val="20"/>
                <w:color w:val="auto"/>
              </w:rPr>
            </w:pPr>
            <w:r>
              <w:rPr>
                <w:rFonts w:ascii="Arial" w:cs="Arial" w:eastAsia="Arial" w:hAnsi="Arial"/>
                <w:sz w:val="13"/>
                <w:szCs w:val="13"/>
                <w:b w:val="1"/>
                <w:bCs w:val="1"/>
                <w:color w:val="32406B"/>
                <w:w w:val="96"/>
              </w:rPr>
              <w:t>2018</w:t>
            </w:r>
          </w:p>
        </w:tc>
        <w:tc>
          <w:tcPr>
            <w:tcW w:w="340" w:type="dxa"/>
            <w:vAlign w:val="bottom"/>
          </w:tcPr>
          <w:p>
            <w:pPr>
              <w:spacing w:after="0"/>
              <w:rPr>
                <w:sz w:val="10"/>
                <w:szCs w:val="10"/>
                <w:color w:val="auto"/>
              </w:rPr>
            </w:pPr>
          </w:p>
        </w:tc>
        <w:tc>
          <w:tcPr>
            <w:tcW w:w="680" w:type="dxa"/>
            <w:vAlign w:val="bottom"/>
            <w:gridSpan w:val="2"/>
          </w:tcPr>
          <w:p>
            <w:pPr>
              <w:jc w:val="center"/>
              <w:ind w:left="102"/>
              <w:spacing w:after="0" w:line="119" w:lineRule="exact"/>
              <w:rPr>
                <w:sz w:val="20"/>
                <w:szCs w:val="20"/>
                <w:color w:val="auto"/>
              </w:rPr>
            </w:pPr>
            <w:r>
              <w:rPr>
                <w:rFonts w:ascii="Arial" w:cs="Arial" w:eastAsia="Arial" w:hAnsi="Arial"/>
                <w:sz w:val="13"/>
                <w:szCs w:val="13"/>
                <w:b w:val="1"/>
                <w:bCs w:val="1"/>
                <w:color w:val="32406B"/>
              </w:rPr>
              <w:t>2019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32406B"/>
                <w:w w:val="76"/>
              </w:rPr>
              <w:t>vs</w:t>
            </w: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76"/>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32406B"/>
              </w:rPr>
              <w:t>2017</w:t>
            </w:r>
          </w:p>
        </w:tc>
        <w:tc>
          <w:tcPr>
            <w:tcW w:w="12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32406B"/>
              </w:rPr>
              <w:t>2018</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32406B"/>
              </w:rPr>
              <w:t>2019</w:t>
            </w:r>
          </w:p>
        </w:tc>
        <w:tc>
          <w:tcPr>
            <w:tcW w:w="380" w:type="dxa"/>
            <w:vAlign w:val="bottom"/>
          </w:tcPr>
          <w:p>
            <w:pPr>
              <w:spacing w:after="0"/>
              <w:rPr>
                <w:sz w:val="12"/>
                <w:szCs w:val="12"/>
                <w:color w:val="auto"/>
              </w:rPr>
            </w:pPr>
          </w:p>
        </w:tc>
        <w:tc>
          <w:tcPr>
            <w:tcW w:w="640" w:type="dxa"/>
            <w:vAlign w:val="bottom"/>
            <w:gridSpan w:val="2"/>
          </w:tcPr>
          <w:p>
            <w:pPr>
              <w:jc w:val="center"/>
              <w:ind w:left="82"/>
              <w:spacing w:after="0" w:line="149" w:lineRule="exact"/>
              <w:rPr>
                <w:sz w:val="20"/>
                <w:szCs w:val="20"/>
                <w:color w:val="auto"/>
              </w:rPr>
            </w:pPr>
            <w:r>
              <w:rPr>
                <w:rFonts w:ascii="Arial" w:cs="Arial" w:eastAsia="Arial" w:hAnsi="Arial"/>
                <w:sz w:val="14"/>
                <w:szCs w:val="14"/>
                <w:b w:val="1"/>
                <w:bCs w:val="1"/>
                <w:color w:val="32406B"/>
              </w:rPr>
              <w:t>2017%</w:t>
            </w:r>
          </w:p>
        </w:tc>
        <w:tc>
          <w:tcPr>
            <w:tcW w:w="340" w:type="dxa"/>
            <w:vAlign w:val="bottom"/>
          </w:tcPr>
          <w:p>
            <w:pPr>
              <w:spacing w:after="0"/>
              <w:rPr>
                <w:sz w:val="12"/>
                <w:szCs w:val="12"/>
                <w:color w:val="auto"/>
              </w:rPr>
            </w:pPr>
          </w:p>
        </w:tc>
        <w:tc>
          <w:tcPr>
            <w:tcW w:w="68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32406B"/>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3"/>
              </w:rPr>
              <w:t>Change</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32406B"/>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32406B"/>
              </w:rPr>
              <w:t>(in thousands)</w:t>
            </w:r>
          </w:p>
        </w:tc>
        <w:tc>
          <w:tcPr>
            <w:tcW w:w="9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w:t>
            </w:r>
          </w:p>
        </w:tc>
        <w:tc>
          <w:tcPr>
            <w:tcW w:w="3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$12,472</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32406B"/>
              </w:rPr>
              <w:t>$ 30,780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$ 61,001</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32406B"/>
              </w:rPr>
              <w:t>147%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32406B"/>
              </w:rPr>
              <w:t>Gross profit</w:t>
            </w:r>
          </w:p>
        </w:tc>
        <w:tc>
          <w:tcPr>
            <w:tcW w:w="3340" w:type="dxa"/>
            <w:vAlign w:val="bottom"/>
            <w:gridSpan w:val="2"/>
          </w:tcPr>
          <w:p>
            <w:pPr>
              <w:jc w:val="right"/>
              <w:ind w:right="340"/>
              <w:spacing w:after="0"/>
              <w:rPr>
                <w:sz w:val="20"/>
                <w:szCs w:val="20"/>
                <w:color w:val="auto"/>
              </w:rPr>
            </w:pPr>
            <w:r>
              <w:rPr>
                <w:rFonts w:ascii="Arial" w:cs="Arial" w:eastAsia="Arial" w:hAnsi="Arial"/>
                <w:sz w:val="18"/>
                <w:szCs w:val="18"/>
                <w:color w:val="32406B"/>
              </w:rPr>
              <w:t>48,345</w:t>
            </w:r>
          </w:p>
        </w:tc>
        <w:tc>
          <w:tcPr>
            <w:tcW w:w="1260" w:type="dxa"/>
            <w:vAlign w:val="bottom"/>
          </w:tcPr>
          <w:p>
            <w:pPr>
              <w:jc w:val="right"/>
              <w:ind w:right="279"/>
              <w:spacing w:after="0"/>
              <w:rPr>
                <w:sz w:val="20"/>
                <w:szCs w:val="20"/>
                <w:color w:val="auto"/>
              </w:rPr>
            </w:pPr>
            <w:r>
              <w:rPr>
                <w:rFonts w:ascii="Arial" w:cs="Arial" w:eastAsia="Arial" w:hAnsi="Arial"/>
                <w:sz w:val="18"/>
                <w:szCs w:val="18"/>
                <w:color w:val="32406B"/>
              </w:rPr>
              <w:t>120,698</w:t>
            </w:r>
          </w:p>
        </w:tc>
        <w:tc>
          <w:tcPr>
            <w:tcW w:w="900" w:type="dxa"/>
            <w:vAlign w:val="bottom"/>
          </w:tcPr>
          <w:p>
            <w:pPr>
              <w:jc w:val="right"/>
              <w:spacing w:after="0"/>
              <w:rPr>
                <w:sz w:val="20"/>
                <w:szCs w:val="20"/>
                <w:color w:val="auto"/>
              </w:rPr>
            </w:pPr>
            <w:r>
              <w:rPr>
                <w:rFonts w:ascii="Arial" w:cs="Arial" w:eastAsia="Arial" w:hAnsi="Arial"/>
                <w:sz w:val="18"/>
                <w:szCs w:val="18"/>
                <w:color w:val="32406B"/>
              </w:rPr>
              <w:t>269,516</w:t>
            </w:r>
          </w:p>
        </w:tc>
        <w:tc>
          <w:tcPr>
            <w:tcW w:w="3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32406B"/>
                <w:w w:val="86"/>
              </w:rPr>
              <w:t>150</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32406B"/>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32406B"/>
              </w:rPr>
              <w:t>Gross margin</w:t>
            </w:r>
          </w:p>
        </w:tc>
        <w:tc>
          <w:tcPr>
            <w:tcW w:w="3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32406B"/>
              </w:rPr>
              <w:t>80%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tcPr>
          <w:p>
            <w:pPr>
              <w:jc w:val="right"/>
              <w:ind w:right="14"/>
              <w:spacing w:after="0"/>
              <w:rPr>
                <w:sz w:val="20"/>
                <w:szCs w:val="20"/>
                <w:color w:val="auto"/>
              </w:rPr>
            </w:pPr>
            <w:r>
              <w:rPr>
                <w:rFonts w:ascii="Arial" w:cs="Arial" w:eastAsia="Arial" w:hAnsi="Arial"/>
                <w:sz w:val="18"/>
                <w:szCs w:val="18"/>
                <w:color w:val="32406B"/>
              </w:rPr>
              <w:t>61</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32406B"/>
        </w:rPr>
        <w:t xml:space="preserve">2018 compared </w:t>
      </w:r>
      <w:r>
        <w:rPr>
          <w:rFonts w:ascii="Arial" w:cs="Arial" w:eastAsia="Arial" w:hAnsi="Arial"/>
          <w:sz w:val="16"/>
          <w:szCs w:val="16"/>
          <w:color w:val="32406B"/>
        </w:rPr>
        <w:t>to 2017. Cost of revenue in the fiscal year ended January 31, 2018 increased by $18.3 million, or 147%, compared to the fiscal</w:t>
      </w:r>
      <w:r>
        <w:rPr>
          <w:rFonts w:ascii="Arial" w:cs="Arial" w:eastAsia="Arial" w:hAnsi="Arial"/>
          <w:sz w:val="16"/>
          <w:szCs w:val="16"/>
          <w:i w:val="1"/>
          <w:iCs w:val="1"/>
          <w:color w:val="32406B"/>
        </w:rPr>
        <w:t xml:space="preserve"> </w:t>
      </w:r>
      <w:r>
        <w:rPr>
          <w:rFonts w:ascii="Arial" w:cs="Arial" w:eastAsia="Arial" w:hAnsi="Arial"/>
          <w:sz w:val="16"/>
          <w:szCs w:val="16"/>
          <w:color w:val="32406B"/>
        </w:rPr>
        <w:t>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 communications platform by existing customers, and an increase of $5.9 million in personnel-related expenses as a result of increased headcount.</w:t>
      </w:r>
    </w:p>
    <w:p>
      <w:pPr>
        <w:spacing w:after="0" w:line="154"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32406B"/>
        </w:rPr>
        <w:t xml:space="preserve">2019 compared </w:t>
      </w:r>
      <w:r>
        <w:rPr>
          <w:rFonts w:ascii="Arial" w:cs="Arial" w:eastAsia="Arial" w:hAnsi="Arial"/>
          <w:sz w:val="16"/>
          <w:szCs w:val="16"/>
          <w:color w:val="32406B"/>
        </w:rPr>
        <w:t>to 2018. Cost of revenue in the fiscal year ended January 31, 2019 increased by $30.2 million, or 98%, compared to the fiscal year</w:t>
      </w:r>
      <w:r>
        <w:rPr>
          <w:rFonts w:ascii="Arial" w:cs="Arial" w:eastAsia="Arial" w:hAnsi="Arial"/>
          <w:sz w:val="16"/>
          <w:szCs w:val="16"/>
          <w:i w:val="1"/>
          <w:iCs w:val="1"/>
          <w:color w:val="32406B"/>
        </w:rPr>
        <w:t xml:space="preserve"> </w:t>
      </w:r>
      <w:r>
        <w:rPr>
          <w:rFonts w:ascii="Arial" w:cs="Arial" w:eastAsia="Arial" w:hAnsi="Arial"/>
          <w:sz w:val="16"/>
          <w:szCs w:val="16"/>
          <w:color w:val="32406B"/>
        </w:rPr>
        <w:t>ended January 31, 2018. The increase in cost of revenue was primarily attributable to an increase of $16.2 million in costs related to our co-located data centers, third-party cloud hosting and integrated third-party PSTN services to support the increase in customers and expanded use of our video-first communications platform by existing customers, and an increase of $9.9 million in personnel-related expenses as a result of increased headcount.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32406B"/>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32406B"/>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32406B"/>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32406B"/>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32406B"/>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32406B"/>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32406B"/>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32406B"/>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$9,218</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32406B"/>
              </w:rPr>
              <w:t>$15,733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$33,014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71%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32406B"/>
        </w:rPr>
        <w:t xml:space="preserve">2018 compared to 2017. </w:t>
      </w:r>
      <w:r>
        <w:rPr>
          <w:rFonts w:ascii="Arial" w:cs="Arial" w:eastAsia="Arial" w:hAnsi="Arial"/>
          <w:sz w:val="16"/>
          <w:szCs w:val="16"/>
          <w:color w:val="32406B"/>
        </w:rPr>
        <w:t>Research and development expense in the fiscal year ended January 31, 2018 increased by $6.5 million, or 71%,</w:t>
      </w:r>
      <w:r>
        <w:rPr>
          <w:rFonts w:ascii="Arial" w:cs="Arial" w:eastAsia="Arial" w:hAnsi="Arial"/>
          <w:sz w:val="16"/>
          <w:szCs w:val="16"/>
          <w:i w:val="1"/>
          <w:iCs w:val="1"/>
          <w:color w:val="32406B"/>
        </w:rPr>
        <w:t xml:space="preserve"> </w:t>
      </w:r>
      <w:r>
        <w:rPr>
          <w:rFonts w:ascii="Arial" w:cs="Arial" w:eastAsia="Arial" w:hAnsi="Arial"/>
          <w:sz w:val="16"/>
          <w:szCs w:val="16"/>
          <w:color w:val="32406B"/>
        </w:rPr>
        <w:t>compared to the fiscal year ended January 31, 2017, as we continued to add new features and functionality to our video-first communications platform. The increase was primarily attributable to an increase in personnel-related expenses of $5.3 million as a result of increased headcount. The remainder of the increase was primarily attributable to increased expenses of $0.4 million related to equipment and software and $0.3 million in allocated overhead.</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32406B"/>
        </w:rPr>
        <w:t xml:space="preserve">2019 compared to 2018. </w:t>
      </w:r>
      <w:r>
        <w:rPr>
          <w:rFonts w:ascii="Arial" w:cs="Arial" w:eastAsia="Arial" w:hAnsi="Arial"/>
          <w:sz w:val="18"/>
          <w:szCs w:val="18"/>
          <w:color w:val="32406B"/>
        </w:rPr>
        <w:t>Research and development expense in the fiscal year ended January 31, 2019 increased by $17.3 million, or 110%,</w:t>
      </w:r>
      <w:r>
        <w:rPr>
          <w:rFonts w:ascii="Arial" w:cs="Arial" w:eastAsia="Arial" w:hAnsi="Arial"/>
          <w:sz w:val="18"/>
          <w:szCs w:val="18"/>
          <w:i w:val="1"/>
          <w:iCs w:val="1"/>
          <w:color w:val="32406B"/>
        </w:rPr>
        <w:t xml:space="preserve"> </w:t>
      </w:r>
      <w:r>
        <w:rPr>
          <w:rFonts w:ascii="Arial" w:cs="Arial" w:eastAsia="Arial" w:hAnsi="Arial"/>
          <w:sz w:val="18"/>
          <w:szCs w:val="18"/>
          <w:color w:val="32406B"/>
        </w:rPr>
        <w:t>compared to the fiscal year ended January 31, 2018, as we continued to add new features and functionality to our video-first communications platform. The increase was primarily attributable to an increase in personnel-related expenses of $13.2 million as a result of increased headcount. The remainder of the increase was primarily attributable to increased expenses of $1.0 million related to allocated overhead, $1.0 million related to stock-based compensation and $0.9 million in equipment and software.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32406B"/>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32406B"/>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32406B"/>
              </w:rPr>
              <w:t>2018</w:t>
            </w:r>
          </w:p>
        </w:tc>
        <w:tc>
          <w:tcPr>
            <w:tcW w:w="9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32406B"/>
              </w:rPr>
              <w:t>2019</w:t>
            </w:r>
          </w:p>
        </w:tc>
        <w:tc>
          <w:tcPr>
            <w:tcW w:w="168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32406B"/>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32406B"/>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32406B"/>
                <w:w w:val="97"/>
              </w:rPr>
              <w:t>(in thousands)</w:t>
            </w:r>
          </w:p>
        </w:tc>
        <w:tc>
          <w:tcPr>
            <w:tcW w:w="9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w:t>
            </w:r>
          </w:p>
        </w:tc>
        <w:tc>
          <w:tcPr>
            <w:tcW w:w="2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$31,580</w:t>
            </w:r>
          </w:p>
        </w:tc>
        <w:tc>
          <w:tcPr>
            <w:tcW w:w="11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32406B"/>
              </w:rPr>
              <w:t>$82,707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$185,821</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162%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32406B"/>
        </w:rPr>
        <w:t xml:space="preserve">2018 compared to 2017. </w:t>
      </w:r>
      <w:r>
        <w:rPr>
          <w:rFonts w:ascii="Arial" w:cs="Arial" w:eastAsia="Arial" w:hAnsi="Arial"/>
          <w:sz w:val="18"/>
          <w:szCs w:val="18"/>
          <w:color w:val="32406B"/>
        </w:rPr>
        <w:t>Sales and marketing expense in the fiscal year ended January 31, 2018 increased by $51.1 million, or 162%, compared to</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expenses of $20.9 million as a result of increased headcount to support the growth in our sales force, which includes a $6.5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62</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i w:val="1"/>
          <w:iCs w:val="1"/>
          <w:color w:val="32406B"/>
        </w:rPr>
        <w:t>2019 compared to 2018</w:t>
      </w:r>
      <w:r>
        <w:rPr>
          <w:rFonts w:ascii="Arial" w:cs="Arial" w:eastAsia="Arial" w:hAnsi="Arial"/>
          <w:sz w:val="16"/>
          <w:szCs w:val="16"/>
          <w:color w:val="32406B"/>
        </w:rPr>
        <w:t>. Sales and marketing expense in the fiscal year ended January 31, 2019 increased by $103.1 million, or 125%, compared</w:t>
      </w:r>
      <w:r>
        <w:rPr>
          <w:rFonts w:ascii="Arial" w:cs="Arial" w:eastAsia="Arial" w:hAnsi="Arial"/>
          <w:sz w:val="16"/>
          <w:szCs w:val="16"/>
          <w:i w:val="1"/>
          <w:iCs w:val="1"/>
          <w:color w:val="32406B"/>
        </w:rPr>
        <w:t xml:space="preserve"> </w:t>
      </w:r>
      <w:r>
        <w:rPr>
          <w:rFonts w:ascii="Arial" w:cs="Arial" w:eastAsia="Arial" w:hAnsi="Arial"/>
          <w:sz w:val="16"/>
          <w:szCs w:val="16"/>
          <w:color w:val="32406B"/>
        </w:rPr>
        <w:t>to the fiscal year ended January 31, 2018. The increase in sales and marketing expense was primarily attributable to an increase in personnel-related expenses of $50.1 million as a result of increased headcount to support the growth in our sales force, which included a $13.3 million increase in sales commissions driven by our increase in revenue. The increase was also driven by an increase in marketing and sales event-related costs of $33.1 million as a result of increased costs related to digital, awareness and tradeshow programs, including Zoomtopia. The remainder of the increase was primarily attributable to increased expenses of $3.0 million in processing costs associated with sales, $2.8 million in travel expenses, $2.8 million in allocated overhead, $2.7 million related to stock-based compensation, $2.1 million in rent expense, and $1.7 million related to equipment and software.</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32406B"/>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32406B"/>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32406B"/>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32406B"/>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32406B"/>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32406B"/>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32406B"/>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32406B"/>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32406B"/>
              </w:rPr>
              <w:t>General and administrative</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$7,547</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32406B"/>
              </w:rPr>
              <w:t>$27,091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$44,514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259%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i w:val="1"/>
          <w:iCs w:val="1"/>
          <w:color w:val="32406B"/>
        </w:rPr>
        <w:t>2018 compared to 2017</w:t>
      </w:r>
      <w:r>
        <w:rPr>
          <w:rFonts w:ascii="Arial" w:cs="Arial" w:eastAsia="Arial" w:hAnsi="Arial"/>
          <w:sz w:val="16"/>
          <w:szCs w:val="16"/>
          <w:color w:val="32406B"/>
        </w:rPr>
        <w:t>. General and administrative expense in the fiscal year ended January 31, 2018 increased by $19.5 million, or 259%,</w:t>
      </w:r>
      <w:r>
        <w:rPr>
          <w:rFonts w:ascii="Arial" w:cs="Arial" w:eastAsia="Arial" w:hAnsi="Arial"/>
          <w:sz w:val="16"/>
          <w:szCs w:val="16"/>
          <w:i w:val="1"/>
          <w:iCs w:val="1"/>
          <w:color w:val="32406B"/>
        </w:rPr>
        <w:t xml:space="preserve"> </w:t>
      </w:r>
      <w:r>
        <w:rPr>
          <w:rFonts w:ascii="Arial" w:cs="Arial" w:eastAsia="Arial" w:hAnsi="Arial"/>
          <w:sz w:val="16"/>
          <w:szCs w:val="16"/>
          <w:color w:val="32406B"/>
        </w:rPr>
        <w:t>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7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expenses as a result of increased headcount,</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$1.2 million for external accounting and consulting services, $0.8 million related to equipment and software and $0.6 million in allocated overhead.</w:t>
      </w:r>
    </w:p>
    <w:p>
      <w:pPr>
        <w:spacing w:after="0" w:line="22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i w:val="1"/>
          <w:iCs w:val="1"/>
          <w:color w:val="32406B"/>
        </w:rPr>
        <w:t>2019 compared to 2018</w:t>
      </w:r>
      <w:r>
        <w:rPr>
          <w:rFonts w:ascii="Arial" w:cs="Arial" w:eastAsia="Arial" w:hAnsi="Arial"/>
          <w:sz w:val="18"/>
          <w:szCs w:val="18"/>
          <w:color w:val="32406B"/>
        </w:rPr>
        <w:t>. General and administrative expense in the fiscal year ended January 31, 2019 increased by $17.4 million, or 64%,</w:t>
      </w:r>
      <w:r>
        <w:rPr>
          <w:rFonts w:ascii="Arial" w:cs="Arial" w:eastAsia="Arial" w:hAnsi="Arial"/>
          <w:sz w:val="18"/>
          <w:szCs w:val="18"/>
          <w:i w:val="1"/>
          <w:iCs w:val="1"/>
          <w:color w:val="32406B"/>
        </w:rPr>
        <w:t xml:space="preserve"> </w:t>
      </w:r>
      <w:r>
        <w:rPr>
          <w:rFonts w:ascii="Arial" w:cs="Arial" w:eastAsia="Arial" w:hAnsi="Arial"/>
          <w:sz w:val="18"/>
          <w:szCs w:val="18"/>
          <w:color w:val="32406B"/>
        </w:rPr>
        <w:t>compared to the fiscal year ended January 31, 2018. The increase in general and administrative expense was primarily due to an increase of $7.8 million in personnel-related expenses as a result of increased headcount, increased expenses of $7.0 million related to a contingent liability for sales and other taxes, $3.3 million for external accounting and consulting services, $1.3 million in legal expenses, $1.2 million in bad debt expense, and $1.1 million related to equipment and software, partially offset by a decrease of $6.0 million in stock-based compensation expense due to the sale of common stock by our Chief Executive Officer to an existing stockholder in fiscal 2018, which resulted in the recognition of stock-based compensation expense of $8.6 million in fiscal 2018. Refer to Note 7 to our consolidated financial statements included elsewhere in this prospectus for more information regarding this transaction.</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Interest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32406B"/>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rPr>
              <w:t>2017</w:t>
            </w:r>
          </w:p>
        </w:tc>
        <w:tc>
          <w:tcPr>
            <w:tcW w:w="11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32406B"/>
              </w:rPr>
              <w:t>2018</w:t>
            </w:r>
          </w:p>
        </w:tc>
        <w:tc>
          <w:tcPr>
            <w:tcW w:w="6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32406B"/>
              </w:rPr>
              <w:t>2019</w:t>
            </w:r>
          </w:p>
        </w:tc>
        <w:tc>
          <w:tcPr>
            <w:tcW w:w="1680" w:type="dxa"/>
            <w:vAlign w:val="bottom"/>
            <w:gridSpan w:val="3"/>
          </w:tcPr>
          <w:p>
            <w:pPr>
              <w:jc w:val="center"/>
              <w:ind w:left="2"/>
              <w:spacing w:after="0" w:line="119" w:lineRule="exact"/>
              <w:rPr>
                <w:sz w:val="20"/>
                <w:szCs w:val="20"/>
                <w:color w:val="auto"/>
              </w:rPr>
            </w:pPr>
            <w:r>
              <w:rPr>
                <w:rFonts w:ascii="Arial" w:cs="Arial" w:eastAsia="Arial" w:hAnsi="Arial"/>
                <w:sz w:val="13"/>
                <w:szCs w:val="13"/>
                <w:b w:val="1"/>
                <w:bCs w:val="1"/>
                <w:color w:val="32406B"/>
                <w:w w:val="95"/>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32406B"/>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32406B"/>
                <w:w w:val="94"/>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32406B"/>
                <w:w w:val="97"/>
              </w:rPr>
              <w:t>(in thousands)</w:t>
            </w: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32406B"/>
              </w:rPr>
              <w:t>Interest income, net</w:t>
            </w:r>
          </w:p>
        </w:tc>
        <w:tc>
          <w:tcPr>
            <w:tcW w:w="2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$ 98</w:t>
            </w:r>
          </w:p>
        </w:tc>
        <w:tc>
          <w:tcPr>
            <w:tcW w:w="116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32406B"/>
              </w:rPr>
              <w:t>$1,241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$1,837</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1,166%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i w:val="1"/>
          <w:iCs w:val="1"/>
          <w:color w:val="32406B"/>
        </w:rPr>
        <w:t>2018 compared to 2017</w:t>
      </w:r>
      <w:r>
        <w:rPr>
          <w:rFonts w:ascii="Arial" w:cs="Arial" w:eastAsia="Arial" w:hAnsi="Arial"/>
          <w:sz w:val="16"/>
          <w:szCs w:val="16"/>
          <w:color w:val="32406B"/>
        </w:rPr>
        <w:t>. Interest income, net for the fiscal year ended January 31, 2018 increased by $1.1 million, or 1,166%, compared to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fiscal year ended January 31, 2017. The increase was primarily driven by interest income earned from our investments in marketable securities.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63</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32406B"/>
        </w:rPr>
        <w:t>2019 compared to 2018</w:t>
      </w:r>
      <w:r>
        <w:rPr>
          <w:rFonts w:ascii="Arial" w:cs="Arial" w:eastAsia="Arial" w:hAnsi="Arial"/>
          <w:sz w:val="18"/>
          <w:szCs w:val="18"/>
          <w:color w:val="32406B"/>
        </w:rPr>
        <w:t>. Interest income, net for the fiscal year ended January 31, 2019 increased by $0.6 million, or 48%, compared to the fiscal</w:t>
      </w:r>
      <w:r>
        <w:rPr>
          <w:rFonts w:ascii="Arial" w:cs="Arial" w:eastAsia="Arial" w:hAnsi="Arial"/>
          <w:sz w:val="18"/>
          <w:szCs w:val="18"/>
          <w:i w:val="1"/>
          <w:iCs w:val="1"/>
          <w:color w:val="32406B"/>
        </w:rPr>
        <w:t xml:space="preserve"> </w:t>
      </w:r>
      <w:r>
        <w:rPr>
          <w:rFonts w:ascii="Arial" w:cs="Arial" w:eastAsia="Arial" w:hAnsi="Arial"/>
          <w:sz w:val="18"/>
          <w:szCs w:val="18"/>
          <w:color w:val="32406B"/>
        </w:rPr>
        <w:t>year ended January 31, 2018. The increase was primarily driven by $0.8 million of interest income earned from our investments in marketable securities, partially offset by $0.2 million in interest expenses on convertible promissory notes.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Other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32406B"/>
              </w:rPr>
              <w:t>Year Ended January 31,</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32406B"/>
                <w:w w:val="97"/>
              </w:rPr>
              <w:t>2018 vs</w:t>
            </w: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32406B"/>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32406B"/>
              </w:rPr>
              <w:t>2017</w:t>
            </w:r>
          </w:p>
        </w:tc>
        <w:tc>
          <w:tcPr>
            <w:tcW w:w="98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32406B"/>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32406B"/>
              </w:rPr>
              <w:t>2019</w:t>
            </w:r>
          </w:p>
        </w:tc>
        <w:tc>
          <w:tcPr>
            <w:tcW w:w="280" w:type="dxa"/>
            <w:vAlign w:val="bottom"/>
          </w:tcPr>
          <w:p>
            <w:pPr>
              <w:spacing w:after="0"/>
              <w:rPr>
                <w:sz w:val="12"/>
                <w:szCs w:val="12"/>
                <w:color w:val="auto"/>
              </w:rPr>
            </w:pPr>
          </w:p>
        </w:tc>
        <w:tc>
          <w:tcPr>
            <w:tcW w:w="540" w:type="dxa"/>
            <w:vAlign w:val="bottom"/>
            <w:gridSpan w:val="3"/>
          </w:tcPr>
          <w:p>
            <w:pPr>
              <w:jc w:val="center"/>
              <w:ind w:left="1"/>
              <w:spacing w:after="0" w:line="149" w:lineRule="exact"/>
              <w:rPr>
                <w:sz w:val="20"/>
                <w:szCs w:val="20"/>
                <w:color w:val="auto"/>
              </w:rPr>
            </w:pPr>
            <w:r>
              <w:rPr>
                <w:rFonts w:ascii="Arial" w:cs="Arial" w:eastAsia="Arial" w:hAnsi="Arial"/>
                <w:sz w:val="14"/>
                <w:szCs w:val="14"/>
                <w:b w:val="1"/>
                <w:bCs w:val="1"/>
                <w:color w:val="32406B"/>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32406B"/>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32406B"/>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32406B"/>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7"/>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net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$ 60</w:t>
            </w:r>
          </w:p>
        </w:tc>
        <w:tc>
          <w:tcPr>
            <w:tcW w:w="98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32406B"/>
              </w:rPr>
              <w:t>$ 74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$345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32406B"/>
              </w:rPr>
              <w:t>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366%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32406B"/>
                <w:w w:val="94"/>
              </w:rPr>
              <w:t>There were no significant changes to other income, net during the respective periods.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i w:val="1"/>
                <w:iCs w:val="1"/>
                <w:color w:val="32406B"/>
              </w:rPr>
              <w:t>Provision for Income Taxes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32406B"/>
                <w:w w:val="94"/>
              </w:rPr>
              <w:t>Year Ended January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32406B"/>
                <w:w w:val="97"/>
              </w:rPr>
              <w:t>2018 vs</w:t>
            </w:r>
          </w:p>
        </w:tc>
        <w:tc>
          <w:tcPr>
            <w:tcW w:w="32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32406B"/>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32406B"/>
              </w:rPr>
              <w:t>2017</w:t>
            </w:r>
          </w:p>
        </w:tc>
        <w:tc>
          <w:tcPr>
            <w:tcW w:w="98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32406B"/>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32406B"/>
                <w:w w:val="96"/>
              </w:rPr>
              <w:t>2019</w:t>
            </w:r>
          </w:p>
        </w:tc>
        <w:tc>
          <w:tcPr>
            <w:tcW w:w="28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32406B"/>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32406B"/>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32406B"/>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32406B"/>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32406B"/>
                <w:w w:val="89"/>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32406B"/>
              </w:rPr>
              <w:t>Provision for income taxes</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$172</w:t>
            </w:r>
          </w:p>
        </w:tc>
        <w:tc>
          <w:tcPr>
            <w:tcW w:w="9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32406B"/>
              </w:rPr>
              <w:t>$304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$765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32406B"/>
              </w:rPr>
              <w:t>77%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60" w:firstLine="441"/>
        <w:spacing w:after="0" w:line="308" w:lineRule="auto"/>
        <w:rPr>
          <w:sz w:val="20"/>
          <w:szCs w:val="20"/>
          <w:color w:val="auto"/>
        </w:rPr>
      </w:pPr>
      <w:r>
        <w:rPr>
          <w:rFonts w:ascii="Arial" w:cs="Arial" w:eastAsia="Arial" w:hAnsi="Arial"/>
          <w:sz w:val="17"/>
          <w:szCs w:val="17"/>
          <w:i w:val="1"/>
          <w:iCs w:val="1"/>
          <w:color w:val="32406B"/>
        </w:rPr>
        <w:t xml:space="preserve">2018 compared to 2017. </w:t>
      </w:r>
      <w:r>
        <w:rPr>
          <w:rFonts w:ascii="Arial" w:cs="Arial" w:eastAsia="Arial" w:hAnsi="Arial"/>
          <w:sz w:val="17"/>
          <w:szCs w:val="17"/>
          <w:color w:val="32406B"/>
        </w:rPr>
        <w:t>Provision for income taxes for the fiscal year ended January 31, 2018 increased by $0.1 million, or 77%, compared to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fiscal year ended January 31, 2017. The change in provision for income taxes was due primarily to international operations.</w:t>
      </w:r>
    </w:p>
    <w:p>
      <w:pPr>
        <w:spacing w:after="0" w:line="147"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i w:val="1"/>
          <w:iCs w:val="1"/>
          <w:color w:val="32406B"/>
        </w:rPr>
        <w:t xml:space="preserve">2019 compared to 2018. </w:t>
      </w:r>
      <w:r>
        <w:rPr>
          <w:rFonts w:ascii="Arial" w:cs="Arial" w:eastAsia="Arial" w:hAnsi="Arial"/>
          <w:sz w:val="17"/>
          <w:szCs w:val="17"/>
          <w:color w:val="32406B"/>
        </w:rPr>
        <w:t>Provision for income taxes for the fiscal year ended January 31, 2019 increased by $0.5 million, or 152%, compared to</w:t>
      </w:r>
      <w:r>
        <w:rPr>
          <w:rFonts w:ascii="Arial" w:cs="Arial" w:eastAsia="Arial" w:hAnsi="Arial"/>
          <w:sz w:val="17"/>
          <w:szCs w:val="17"/>
          <w:i w:val="1"/>
          <w:iCs w:val="1"/>
          <w:color w:val="32406B"/>
        </w:rPr>
        <w:t xml:space="preserve"> </w:t>
      </w:r>
      <w:r>
        <w:rPr>
          <w:rFonts w:ascii="Arial" w:cs="Arial" w:eastAsia="Arial" w:hAnsi="Arial"/>
          <w:sz w:val="17"/>
          <w:szCs w:val="17"/>
          <w:color w:val="32406B"/>
        </w:rPr>
        <w:t>the fiscal year ended January 31, 2018. The change in provision for income taxes was due primarily to international operations.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64</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Quarterly Results of Operations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32406B"/>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32406B"/>
                <w:w w:val="98"/>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32406B"/>
              </w:rPr>
              <w:t>April 30,</w:t>
            </w: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32406B"/>
              </w:rPr>
              <w:t>July 31,</w:t>
            </w:r>
          </w:p>
        </w:tc>
        <w:tc>
          <w:tcPr>
            <w:tcW w:w="104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32406B"/>
              </w:rPr>
              <w:t>October 31,</w:t>
            </w:r>
          </w:p>
        </w:tc>
        <w:tc>
          <w:tcPr>
            <w:tcW w:w="1020" w:type="dxa"/>
            <w:vAlign w:val="bottom"/>
            <w:gridSpan w:val="4"/>
          </w:tcPr>
          <w:p>
            <w:pPr>
              <w:jc w:val="right"/>
              <w:ind w:right="180"/>
              <w:spacing w:after="0" w:line="119" w:lineRule="exact"/>
              <w:rPr>
                <w:sz w:val="20"/>
                <w:szCs w:val="20"/>
                <w:color w:val="auto"/>
              </w:rPr>
            </w:pPr>
            <w:r>
              <w:rPr>
                <w:rFonts w:ascii="Arial" w:cs="Arial" w:eastAsia="Arial" w:hAnsi="Arial"/>
                <w:sz w:val="13"/>
                <w:szCs w:val="13"/>
                <w:b w:val="1"/>
                <w:bCs w:val="1"/>
                <w:color w:val="32406B"/>
              </w:rPr>
              <w:t>January 31,</w:t>
            </w:r>
          </w:p>
        </w:tc>
        <w:tc>
          <w:tcPr>
            <w:tcW w:w="120" w:type="dxa"/>
            <w:vAlign w:val="bottom"/>
          </w:tcPr>
          <w:p>
            <w:pPr>
              <w:spacing w:after="0"/>
              <w:rPr>
                <w:sz w:val="10"/>
                <w:szCs w:val="10"/>
                <w:color w:val="auto"/>
              </w:rPr>
            </w:pP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32406B"/>
              </w:rPr>
              <w:t>April 30,</w:t>
            </w:r>
          </w:p>
        </w:tc>
        <w:tc>
          <w:tcPr>
            <w:tcW w:w="120" w:type="dxa"/>
            <w:vAlign w:val="bottom"/>
          </w:tcPr>
          <w:p>
            <w:pPr>
              <w:spacing w:after="0"/>
              <w:rPr>
                <w:sz w:val="10"/>
                <w:szCs w:val="10"/>
                <w:color w:val="auto"/>
              </w:rPr>
            </w:pPr>
          </w:p>
        </w:tc>
        <w:tc>
          <w:tcPr>
            <w:tcW w:w="7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32406B"/>
              </w:rPr>
              <w:t>July 31,</w:t>
            </w:r>
          </w:p>
        </w:tc>
        <w:tc>
          <w:tcPr>
            <w:tcW w:w="102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32406B"/>
              </w:rPr>
              <w:t>October 31,</w:t>
            </w:r>
          </w:p>
        </w:tc>
        <w:tc>
          <w:tcPr>
            <w:tcW w:w="8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32406B"/>
              </w:rPr>
              <w:t>January 31,</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32406B"/>
              </w:rPr>
              <w:t>2017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32406B"/>
              </w:rPr>
              <w:t>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32406B"/>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32406B"/>
              </w:rPr>
              <w:t>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32406B"/>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32406B"/>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32406B"/>
              </w:rPr>
              <w:t>2018</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26,753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$32,921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40,890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50,914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$60,070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74,526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90,121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105,800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32406B"/>
              </w:rPr>
              <w:t>Cost of revenue</w:t>
            </w:r>
            <w:r>
              <w:rPr>
                <w:rFonts w:ascii="Arial" w:cs="Arial" w:eastAsia="Arial" w:hAnsi="Arial"/>
                <w:sz w:val="15"/>
                <w:szCs w:val="15"/>
                <w:color w:val="32406B"/>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6,777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7,755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10,749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11,660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12,973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16,843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19,525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32406B"/>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21,254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40,165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48,410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61,553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73,278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86,275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32406B"/>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4,447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6,264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8,893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10,808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32406B"/>
              </w:rPr>
              <w:t>Sales and marketing</w:t>
            </w:r>
            <w:r>
              <w:rPr>
                <w:rFonts w:ascii="Arial" w:cs="Arial" w:eastAsia="Arial" w:hAnsi="Arial"/>
                <w:sz w:val="15"/>
                <w:szCs w:val="15"/>
                <w:color w:val="32406B"/>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w w:val="87"/>
              </w:rPr>
              <w:t>12,693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rPr>
              <w:t>16,636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23,803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29,575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32406B"/>
              </w:rPr>
              <w:t>36,261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w w:val="87"/>
              </w:rPr>
              <w:t>41,054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w w:val="98"/>
              </w:rPr>
              <w:t>53,454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55,052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General and administrative</w:t>
            </w:r>
            <w:r>
              <w:rPr>
                <w:rFonts w:ascii="Arial" w:cs="Arial" w:eastAsia="Arial" w:hAnsi="Arial"/>
                <w:sz w:val="15"/>
                <w:szCs w:val="15"/>
                <w:color w:val="32406B"/>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2,750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12,508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10,028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11,994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14,923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700"/>
              <w:spacing w:after="0"/>
              <w:rPr>
                <w:sz w:val="20"/>
                <w:szCs w:val="20"/>
                <w:color w:val="auto"/>
              </w:rPr>
            </w:pPr>
            <w:r>
              <w:rPr>
                <w:rFonts w:ascii="Arial" w:cs="Arial" w:eastAsia="Arial" w:hAnsi="Arial"/>
                <w:sz w:val="18"/>
                <w:szCs w:val="18"/>
                <w:color w:val="32406B"/>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18,988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32,686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33,416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40,441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50,094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58,131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74,341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80,783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2,266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(6,542)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(276)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(1,684)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5,492</w:t>
            </w:r>
          </w:p>
        </w:tc>
        <w:tc>
          <w:tcPr>
            <w:tcW w:w="120" w:type="dxa"/>
            <w:vAlign w:val="bottom"/>
            <w:shd w:val="clear" w:color="auto" w:fill="CCEEFF"/>
          </w:tcPr>
          <w:p>
            <w:pPr>
              <w:spacing w:after="0"/>
              <w:rPr>
                <w:sz w:val="18"/>
                <w:szCs w:val="18"/>
                <w:color w:val="auto"/>
              </w:rPr>
            </w:pP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32406B"/>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461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131</w:t>
            </w:r>
          </w:p>
        </w:tc>
        <w:tc>
          <w:tcPr>
            <w:tcW w:w="120" w:type="dxa"/>
            <w:vAlign w:val="bottom"/>
            <w:shd w:val="clear" w:color="auto" w:fill="CCEEFF"/>
          </w:tcPr>
          <w:p>
            <w:pPr>
              <w:spacing w:after="0"/>
              <w:rPr>
                <w:sz w:val="18"/>
                <w:szCs w:val="18"/>
                <w:color w:val="auto"/>
              </w:rPr>
            </w:pPr>
          </w:p>
        </w:tc>
      </w:tr>
      <w:tr>
        <w:trPr>
          <w:trHeight w:val="209"/>
        </w:trPr>
        <w:tc>
          <w:tcPr>
            <w:tcW w:w="3540" w:type="dxa"/>
            <w:vAlign w:val="bottom"/>
            <w:gridSpan w:val="3"/>
          </w:tcPr>
          <w:p>
            <w:pPr>
              <w:spacing w:after="0"/>
              <w:rPr>
                <w:sz w:val="20"/>
                <w:szCs w:val="20"/>
                <w:color w:val="auto"/>
              </w:rPr>
            </w:pPr>
            <w:r>
              <w:rPr>
                <w:rFonts w:ascii="Arial" w:cs="Arial" w:eastAsia="Arial" w:hAnsi="Arial"/>
                <w:sz w:val="18"/>
                <w:szCs w:val="18"/>
                <w:color w:val="32406B"/>
                <w:w w:val="97"/>
              </w:rPr>
              <w:t>Net income (loss) before provision for income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32406B"/>
              </w:rPr>
              <w:t>taxes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2,405</w:t>
            </w:r>
          </w:p>
        </w:tc>
        <w:tc>
          <w:tcPr>
            <w:tcW w:w="18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32406B"/>
              </w:rPr>
              <w:t>(6,202)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178</w:t>
            </w:r>
          </w:p>
        </w:tc>
        <w:tc>
          <w:tcPr>
            <w:tcW w:w="18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32406B"/>
              </w:rPr>
              <w:t>(1,243)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2406B"/>
              </w:rPr>
              <w:t>3,966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(458)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6,084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(387)</w:t>
            </w: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32406B"/>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 (6,259)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 (1,340)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5,697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32406B"/>
            </w:tcBorders>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32406B"/>
                <w:w w:val="95"/>
              </w:rPr>
              <w:t>Three Months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April 30,</w:t>
            </w:r>
          </w:p>
        </w:tc>
        <w:tc>
          <w:tcPr>
            <w:tcW w:w="260" w:type="dxa"/>
            <w:vAlign w:val="bottom"/>
          </w:tcPr>
          <w:p>
            <w:pPr>
              <w:spacing w:after="0"/>
              <w:rPr>
                <w:sz w:val="10"/>
                <w:szCs w:val="10"/>
                <w:color w:val="auto"/>
              </w:rPr>
            </w:pPr>
          </w:p>
        </w:tc>
        <w:tc>
          <w:tcPr>
            <w:tcW w:w="7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32406B"/>
              </w:rPr>
              <w:t>July 31,</w:t>
            </w:r>
          </w:p>
        </w:tc>
        <w:tc>
          <w:tcPr>
            <w:tcW w:w="8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32406B"/>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32406B"/>
              </w:rPr>
              <w:t>January 31,</w:t>
            </w:r>
          </w:p>
        </w:tc>
        <w:tc>
          <w:tcPr>
            <w:tcW w:w="8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32406B"/>
              </w:rPr>
              <w:t>April 30,</w:t>
            </w:r>
          </w:p>
        </w:tc>
        <w:tc>
          <w:tcPr>
            <w:tcW w:w="260" w:type="dxa"/>
            <w:vAlign w:val="bottom"/>
          </w:tcPr>
          <w:p>
            <w:pPr>
              <w:spacing w:after="0"/>
              <w:rPr>
                <w:sz w:val="10"/>
                <w:szCs w:val="10"/>
                <w:color w:val="auto"/>
              </w:rPr>
            </w:pPr>
          </w:p>
        </w:tc>
        <w:tc>
          <w:tcPr>
            <w:tcW w:w="50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July 31,</w:t>
            </w:r>
          </w:p>
        </w:tc>
        <w:tc>
          <w:tcPr>
            <w:tcW w:w="10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32406B"/>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32406B"/>
              </w:rPr>
              <w:t>January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32406B"/>
                <w:w w:val="96"/>
              </w:rPr>
              <w:t>2017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32406B"/>
                <w:w w:val="96"/>
              </w:rPr>
              <w:t>2017</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32406B"/>
              </w:rPr>
              <w:t>2017</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32406B"/>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32406B"/>
                <w:w w:val="89"/>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32406B"/>
                <w:w w:val="89"/>
              </w:rPr>
              <w:t>2018</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32406B"/>
              </w:rPr>
              <w:t>2018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right"/>
              <w:ind w:right="193"/>
              <w:spacing w:after="0" w:line="142" w:lineRule="exact"/>
              <w:rPr>
                <w:sz w:val="20"/>
                <w:szCs w:val="20"/>
                <w:color w:val="auto"/>
              </w:rPr>
            </w:pPr>
            <w:r>
              <w:rPr>
                <w:rFonts w:ascii="Arial" w:cs="Arial" w:eastAsia="Arial" w:hAnsi="Arial"/>
                <w:sz w:val="14"/>
                <w:szCs w:val="14"/>
                <w:b w:val="1"/>
                <w:bCs w:val="1"/>
                <w:color w:val="32406B"/>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32406B"/>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317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2406B"/>
              </w:rPr>
              <w:t>129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193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383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664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32406B"/>
              </w:rPr>
              <w:t>General and administrative</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8,684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229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311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798</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1,575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99"/>
              </w:rPr>
              <w:t>Total stock-based compensation expense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8,945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475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32406B"/>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1,126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2,652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4,314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32406B"/>
              </w:rPr>
              <w:t>Three Months Ended</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32406B"/>
              </w:rPr>
              <w:t>April 30,</w:t>
            </w: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32406B"/>
              </w:rPr>
              <w:t>July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32406B"/>
              </w:rPr>
              <w:t>October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32406B"/>
              </w:rPr>
              <w:t>January 31,</w:t>
            </w:r>
          </w:p>
        </w:tc>
        <w:tc>
          <w:tcPr>
            <w:tcW w:w="11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32406B"/>
              </w:rPr>
              <w:t>April 30,</w:t>
            </w: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32406B"/>
              </w:rPr>
              <w:t>July 31,</w:t>
            </w:r>
          </w:p>
        </w:tc>
        <w:tc>
          <w:tcPr>
            <w:tcW w:w="11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32406B"/>
              </w:rPr>
              <w:t>October 31,</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32406B"/>
              </w:rPr>
              <w:t>January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32406B"/>
              </w:rPr>
              <w:t>2017</w:t>
            </w: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32406B"/>
              </w:rPr>
              <w:t>2017</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32406B"/>
              </w:rPr>
              <w:t>2017</w:t>
            </w: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32406B"/>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32406B"/>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32406B"/>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32406B"/>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32406B"/>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32406B"/>
              </w:rPr>
              <w:t>Revenue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32406B"/>
              </w:rPr>
              <w:t>100%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32406B"/>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32406B"/>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32406B"/>
              </w:rPr>
              <w:t>100%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6"/>
                <w:szCs w:val="16"/>
                <w:color w:val="32406B"/>
              </w:rPr>
              <w:t>Cost of revenue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21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21</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19</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21</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17</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640"/>
              <w:spacing w:after="0"/>
              <w:rPr>
                <w:sz w:val="20"/>
                <w:szCs w:val="20"/>
                <w:color w:val="auto"/>
              </w:rPr>
            </w:pPr>
            <w:r>
              <w:rPr>
                <w:rFonts w:ascii="Arial" w:cs="Arial" w:eastAsia="Arial" w:hAnsi="Arial"/>
                <w:sz w:val="16"/>
                <w:szCs w:val="16"/>
                <w:color w:val="32406B"/>
              </w:rPr>
              <w:t>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79</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79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79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32406B"/>
              </w:rPr>
              <w:t>Operating expenses: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Research and development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13</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300"/>
              <w:spacing w:after="0"/>
              <w:rPr>
                <w:sz w:val="20"/>
                <w:szCs w:val="20"/>
                <w:color w:val="auto"/>
              </w:rPr>
            </w:pPr>
            <w:r>
              <w:rPr>
                <w:rFonts w:ascii="Arial" w:cs="Arial" w:eastAsia="Arial" w:hAnsi="Arial"/>
                <w:sz w:val="16"/>
                <w:szCs w:val="16"/>
                <w:color w:val="32406B"/>
              </w:rPr>
              <w:t>Sales and marketing</w:t>
            </w:r>
          </w:p>
        </w:tc>
        <w:tc>
          <w:tcPr>
            <w:tcW w:w="600" w:type="dxa"/>
            <w:vAlign w:val="bottom"/>
          </w:tcPr>
          <w:p>
            <w:pPr>
              <w:jc w:val="right"/>
              <w:spacing w:after="0"/>
              <w:rPr>
                <w:sz w:val="20"/>
                <w:szCs w:val="20"/>
                <w:color w:val="auto"/>
              </w:rPr>
            </w:pPr>
            <w:r>
              <w:rPr>
                <w:rFonts w:ascii="Arial" w:cs="Arial" w:eastAsia="Arial" w:hAnsi="Arial"/>
                <w:sz w:val="16"/>
                <w:szCs w:val="16"/>
                <w:color w:val="32406B"/>
              </w:rPr>
              <w:t>48</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32406B"/>
              </w:rPr>
              <w:t>50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58</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58</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32406B"/>
              </w:rPr>
              <w:t>60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55</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32406B"/>
              </w:rPr>
              <w:t>59</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32406B"/>
              </w:rPr>
              <w:t>General and administrative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10</w:t>
            </w:r>
          </w:p>
        </w:tc>
        <w:tc>
          <w:tcPr>
            <w:tcW w:w="4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38</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13</w:t>
            </w:r>
          </w:p>
        </w:tc>
        <w:tc>
          <w:tcPr>
            <w:tcW w:w="3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13</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14</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80" w:type="dxa"/>
            <w:vAlign w:val="bottom"/>
          </w:tcPr>
          <w:p>
            <w:pPr>
              <w:ind w:left="640"/>
              <w:spacing w:after="0"/>
              <w:rPr>
                <w:sz w:val="20"/>
                <w:szCs w:val="20"/>
                <w:color w:val="auto"/>
              </w:rPr>
            </w:pPr>
            <w:r>
              <w:rPr>
                <w:rFonts w:ascii="Arial" w:cs="Arial" w:eastAsia="Arial" w:hAnsi="Arial"/>
                <w:sz w:val="16"/>
                <w:szCs w:val="16"/>
                <w:color w:val="32406B"/>
              </w:rPr>
              <w:t>Total operating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71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99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82</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80</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84</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78</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82</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32406B"/>
              </w:rPr>
              <w:t>Income (loss) from operations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(20)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32406B"/>
              </w:rPr>
              <w:t>(1)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32406B"/>
              </w:rPr>
              <w:t>(1)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5</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32406B"/>
              </w:rPr>
              <w:t>Interest income, net</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2406B"/>
              </w:rPr>
              <w:t>1</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32406B"/>
              </w:rPr>
              <w:t>1</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1</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1</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32406B"/>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32406B"/>
              </w:rPr>
              <w:t>—</w:t>
            </w:r>
          </w:p>
        </w:tc>
        <w:tc>
          <w:tcPr>
            <w:tcW w:w="32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32406B"/>
              </w:rPr>
              <w:t>—</w:t>
            </w:r>
          </w:p>
        </w:tc>
        <w:tc>
          <w:tcPr>
            <w:tcW w:w="780" w:type="dxa"/>
            <w:vAlign w:val="bottom"/>
          </w:tcPr>
          <w:p>
            <w:pPr>
              <w:jc w:val="right"/>
              <w:spacing w:after="0"/>
              <w:rPr>
                <w:sz w:val="20"/>
                <w:szCs w:val="20"/>
                <w:color w:val="auto"/>
              </w:rPr>
            </w:pPr>
            <w:r>
              <w:rPr>
                <w:rFonts w:ascii="Arial" w:cs="Arial" w:eastAsia="Arial" w:hAnsi="Arial"/>
                <w:sz w:val="16"/>
                <w:szCs w:val="16"/>
                <w:color w:val="32406B"/>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32406B"/>
              </w:rPr>
              <w:t>Other income, net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32406B"/>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0"/>
        </w:trPr>
        <w:tc>
          <w:tcPr>
            <w:tcW w:w="2600" w:type="dxa"/>
            <w:vAlign w:val="bottom"/>
            <w:gridSpan w:val="2"/>
          </w:tcPr>
          <w:p>
            <w:pPr>
              <w:spacing w:after="0"/>
              <w:rPr>
                <w:sz w:val="20"/>
                <w:szCs w:val="20"/>
                <w:color w:val="auto"/>
              </w:rPr>
            </w:pPr>
            <w:r>
              <w:rPr>
                <w:rFonts w:ascii="Arial" w:cs="Arial" w:eastAsia="Arial" w:hAnsi="Arial"/>
                <w:sz w:val="16"/>
                <w:szCs w:val="16"/>
                <w:color w:val="32406B"/>
              </w:rPr>
              <w:t>Net income (loss) before provision</w:t>
            </w:r>
          </w:p>
        </w:tc>
        <w:tc>
          <w:tcPr>
            <w:tcW w:w="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tcPr>
          <w:p>
            <w:pPr>
              <w:ind w:left="140"/>
              <w:spacing w:after="0"/>
              <w:rPr>
                <w:sz w:val="20"/>
                <w:szCs w:val="20"/>
                <w:color w:val="auto"/>
              </w:rPr>
            </w:pPr>
            <w:r>
              <w:rPr>
                <w:rFonts w:ascii="Arial" w:cs="Arial" w:eastAsia="Arial" w:hAnsi="Arial"/>
                <w:sz w:val="16"/>
                <w:szCs w:val="16"/>
                <w:color w:val="32406B"/>
              </w:rPr>
              <w:t>for income taxes</w:t>
            </w:r>
          </w:p>
        </w:tc>
        <w:tc>
          <w:tcPr>
            <w:tcW w:w="600" w:type="dxa"/>
            <w:vAlign w:val="bottom"/>
          </w:tcPr>
          <w:p>
            <w:pPr>
              <w:jc w:val="right"/>
              <w:spacing w:after="0"/>
              <w:rPr>
                <w:sz w:val="20"/>
                <w:szCs w:val="20"/>
                <w:color w:val="auto"/>
              </w:rPr>
            </w:pPr>
            <w:r>
              <w:rPr>
                <w:rFonts w:ascii="Arial" w:cs="Arial" w:eastAsia="Arial" w:hAnsi="Arial"/>
                <w:sz w:val="16"/>
                <w:szCs w:val="16"/>
                <w:color w:val="32406B"/>
              </w:rPr>
              <w:t>9</w:t>
            </w:r>
          </w:p>
        </w:tc>
        <w:tc>
          <w:tcPr>
            <w:tcW w:w="4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32406B"/>
              </w:rPr>
              <w:t>(19)</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32406B"/>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32406B"/>
              </w:rPr>
              <w:t>(2)</w:t>
            </w:r>
          </w:p>
        </w:tc>
        <w:tc>
          <w:tcPr>
            <w:tcW w:w="780" w:type="dxa"/>
            <w:vAlign w:val="bottom"/>
          </w:tcPr>
          <w:p>
            <w:pPr>
              <w:jc w:val="right"/>
              <w:spacing w:after="0"/>
              <w:rPr>
                <w:sz w:val="20"/>
                <w:szCs w:val="20"/>
                <w:color w:val="auto"/>
              </w:rPr>
            </w:pPr>
            <w:r>
              <w:rPr>
                <w:rFonts w:ascii="Arial" w:cs="Arial" w:eastAsia="Arial" w:hAnsi="Arial"/>
                <w:sz w:val="16"/>
                <w:szCs w:val="16"/>
                <w:color w:val="32406B"/>
              </w:rPr>
              <w:t>5</w:t>
            </w:r>
          </w:p>
        </w:tc>
        <w:tc>
          <w:tcPr>
            <w:tcW w:w="3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32406B"/>
              </w:rPr>
              <w:t>(1)</w:t>
            </w:r>
          </w:p>
        </w:tc>
        <w:tc>
          <w:tcPr>
            <w:tcW w:w="780" w:type="dxa"/>
            <w:vAlign w:val="bottom"/>
          </w:tcPr>
          <w:p>
            <w:pPr>
              <w:jc w:val="right"/>
              <w:spacing w:after="0"/>
              <w:rPr>
                <w:sz w:val="20"/>
                <w:szCs w:val="20"/>
                <w:color w:val="auto"/>
              </w:rPr>
            </w:pPr>
            <w:r>
              <w:rPr>
                <w:rFonts w:ascii="Arial" w:cs="Arial" w:eastAsia="Arial" w:hAnsi="Arial"/>
                <w:sz w:val="16"/>
                <w:szCs w:val="16"/>
                <w:color w:val="32406B"/>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32406B"/>
              </w:rPr>
              <w:t>Provision for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32406B"/>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32406B"/>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(1)</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32406B"/>
              </w:rPr>
              <w:t>Net income (loss)</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0" w:type="dxa"/>
            <w:vAlign w:val="bottom"/>
            <w:gridSpan w:val="2"/>
            <w:vMerge w:val="continue"/>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32406B"/>
              </w:rPr>
              <w:t>9%</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32406B"/>
              </w:rPr>
              <w:t>(19)%</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32406B"/>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32406B"/>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32406B"/>
              </w:rPr>
              <w:t>(2)%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32406B"/>
              </w:rPr>
              <w:t>5%</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32406B"/>
              </w:rPr>
              <w:t>(1)%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32406B"/>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Quarterly Revenue Trends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32406B"/>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Quarterly Cost of Revenue Trends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32406B"/>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expenses.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Quarterly Gross Profit Trends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32406B"/>
        </w:rPr>
        <w:t>Gross profit increased sequentially in each of the quarters presented, primarily driven by an increase in revenue. Our gross profit margins were consistent for all periods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Quarterly Operating Expenses Trends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Our total quarterly operating expenses increased sequentially for all periods presented due primarily to increases in headcount and other related expenses to support our growth. We intend to continue to make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66</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32406B"/>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expenses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Company’s common stock at the time of sale. Refer to Note 7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Liquidity and Capital Resources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As of January 31, 2019, our principal sources of liquidity were cash, cash equivalents and marketable securities of $176.4 million, which were held for working capital purposes. Our marketable securities generally consist of high-grade commercial paper, corporate bonds, agency bonds and U.S. government agency securities.</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Since our inception, we have financed our operations primarily through sales of equity securities and cash generated from operations. We also issued convertible promissory notes in an aggregate principal amount of $15.0 million to two strategic partners. Refer to Note 5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7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32406B"/>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7 to our consolidated financial statements included elsewhere in this prospectus for more information regarding these transactions.</w:t>
      </w:r>
    </w:p>
    <w:p>
      <w:pPr>
        <w:spacing w:after="0" w:line="14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32406B"/>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32406B"/>
                <w:w w:val="96"/>
              </w:rPr>
              <w:t>Year Ended January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32406B"/>
              </w:rPr>
              <w:t>2017</w:t>
            </w:r>
          </w:p>
        </w:tc>
        <w:tc>
          <w:tcPr>
            <w:tcW w:w="164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32406B"/>
              </w:rPr>
              <w:t>2018</w:t>
            </w:r>
          </w:p>
        </w:tc>
        <w:tc>
          <w:tcPr>
            <w:tcW w:w="7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32406B"/>
              </w:rPr>
              <w:t>(in 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operating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32406B"/>
              </w:rPr>
              <w:t>$  9,361</w:t>
            </w: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32406B"/>
              </w:rPr>
              <w:t>$  19,426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$ 51,332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32406B"/>
              </w:rPr>
              <w:t>Net cash used in investing activities</w:t>
            </w:r>
          </w:p>
        </w:tc>
        <w:tc>
          <w:tcPr>
            <w:tcW w:w="3980" w:type="dxa"/>
            <w:vAlign w:val="bottom"/>
            <w:gridSpan w:val="2"/>
          </w:tcPr>
          <w:p>
            <w:pPr>
              <w:jc w:val="right"/>
              <w:spacing w:after="0"/>
              <w:rPr>
                <w:sz w:val="20"/>
                <w:szCs w:val="20"/>
                <w:color w:val="auto"/>
              </w:rPr>
            </w:pPr>
            <w:r>
              <w:rPr>
                <w:rFonts w:ascii="Arial" w:cs="Arial" w:eastAsia="Arial" w:hAnsi="Arial"/>
                <w:sz w:val="18"/>
                <w:szCs w:val="18"/>
                <w:color w:val="32406B"/>
              </w:rPr>
              <w:t>(2,824)</w:t>
            </w:r>
          </w:p>
        </w:tc>
        <w:tc>
          <w:tcPr>
            <w:tcW w:w="1640" w:type="dxa"/>
            <w:vAlign w:val="bottom"/>
          </w:tcPr>
          <w:p>
            <w:pPr>
              <w:jc w:val="right"/>
              <w:ind w:right="299"/>
              <w:spacing w:after="0"/>
              <w:rPr>
                <w:sz w:val="20"/>
                <w:szCs w:val="20"/>
                <w:color w:val="auto"/>
              </w:rPr>
            </w:pPr>
            <w:r>
              <w:rPr>
                <w:rFonts w:ascii="Arial" w:cs="Arial" w:eastAsia="Arial" w:hAnsi="Arial"/>
                <w:sz w:val="18"/>
                <w:szCs w:val="18"/>
                <w:color w:val="32406B"/>
              </w:rPr>
              <w:t>(113,357)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32406B"/>
              </w:rPr>
              <w:t>(39,719)</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(used in) financing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32406B"/>
              </w:rPr>
              <w:t>100,267</w:t>
            </w:r>
          </w:p>
        </w:tc>
        <w:tc>
          <w:tcPr>
            <w:tcW w:w="16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32406B"/>
              </w:rPr>
              <w:t>(3,997)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17,534</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0" w:type="dxa"/>
            <w:vAlign w:val="bottom"/>
          </w:tcPr>
          <w:p>
            <w:pPr>
              <w:jc w:val="right"/>
              <w:ind w:right="2050"/>
              <w:spacing w:after="0"/>
              <w:rPr>
                <w:sz w:val="20"/>
                <w:szCs w:val="20"/>
                <w:color w:val="auto"/>
              </w:rPr>
            </w:pPr>
            <w:r>
              <w:rPr>
                <w:rFonts w:ascii="Arial" w:cs="Arial" w:eastAsia="Arial" w:hAnsi="Arial"/>
                <w:sz w:val="18"/>
                <w:szCs w:val="18"/>
                <w:color w:val="32406B"/>
              </w:rPr>
              <w:t>67</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Operating Activities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an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favorable to cash flows from operations by $0.3 million primarily due to an increase in deferred revenue of $31.5 million from increases in sales, and an increase in accounts payable and accrued expenses and other liabilities of $16.3 million, partially offset by an addition to deferred contract acquisition costs of $27.5 million, an increase to accounts receivable of $16.6 million due to increases in sales and an increase in prepaid expenses and other assets of $3.4 million.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Net cash provided by operating activities of $51.3 million for the fiscal year ended January 31, 2019 was primarily due to net income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$7.6 million, non-cash charges for depreciation and amortization of $7.0 million, amortization of deferred contract acquisition costs, primarily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commissions, of $20.8 million, stock-based compensation of $8.9 million and provision for accounts receivable allowances of $2.0 million. Changes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32406B"/>
        </w:rPr>
        <w:t>operating assets and liabilities were favorable to cash flows from operations by $5.0 million primarily due to an increase in deferred revenue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$71.5 million due to increases in sales, and an increase in accounts payable and accrued expenses and other liabilities of $28.2 million, partially offset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by an addition to deferred contract acquisition costs of $45.8 million, an increase to accounts receivable of $41.0 million due to increases in sales and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increase in prepaid expenses and other assets of $8.0 million.</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Investing Activities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Net cash used in investing activities of $2.8 million for the fiscal year ended January 31, 2017 was related to capital expenditures of $4.8 million, partially offset by principal payment received on a note receivable of $2.0 million. Refer to Note 10 to our consolidated financial statements included elsewhere in this prospectus for more information regarding the note receivable.</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32406B"/>
        </w:rPr>
        <w:t>Net cash used in investing activities of $113.4 million for the fiscal year ended January 31, 2018 was related to net purchases of marketable securities of $103.6 million and capital expenditures of $9.7 million.</w:t>
      </w:r>
    </w:p>
    <w:p>
      <w:pPr>
        <w:spacing w:after="0" w:line="170" w:lineRule="exact"/>
        <w:rPr>
          <w:sz w:val="20"/>
          <w:szCs w:val="20"/>
          <w:color w:val="auto"/>
        </w:rPr>
      </w:pPr>
    </w:p>
    <w:p>
      <w:pPr>
        <w:ind w:left="200" w:right="960" w:firstLine="441"/>
        <w:spacing w:after="0" w:line="342" w:lineRule="auto"/>
        <w:rPr>
          <w:sz w:val="20"/>
          <w:szCs w:val="20"/>
          <w:color w:val="auto"/>
        </w:rPr>
      </w:pPr>
      <w:r>
        <w:rPr>
          <w:rFonts w:ascii="Arial" w:cs="Arial" w:eastAsia="Arial" w:hAnsi="Arial"/>
          <w:sz w:val="16"/>
          <w:szCs w:val="16"/>
          <w:color w:val="32406B"/>
        </w:rPr>
        <w:t>Net cash used in investing activities of $39.7 million for the fiscal year ended January 31, 2019 was related to capital expenditures of $28.4 million, net purchases of marketable securities of $9.3 million and purchases of intangible assets of $2.0 million.</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Financing Activities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32406B"/>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68</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32406B"/>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14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Net cash provided by financing activities of $17.5 million for the fiscal year ended January 31, 2019 was primarily related to the issuance of convertible promissory notes of $15.0 million and the exercise of stock options of $3.6 million, partially offset by payments of deferred offering costs of $0.9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Remaining Performance Obligation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Commitments and 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our non-cancelable contractual obligations as of January 31,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32406B"/>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32406B"/>
              </w:rPr>
              <w:t>Total</w:t>
            </w:r>
          </w:p>
        </w:tc>
        <w:tc>
          <w:tcPr>
            <w:tcW w:w="36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w w:val="96"/>
              </w:rPr>
              <w:t>Less Than</w:t>
            </w:r>
          </w:p>
        </w:tc>
        <w:tc>
          <w:tcPr>
            <w:tcW w:w="3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32406B"/>
              </w:rPr>
              <w:t>1 – 3</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32406B"/>
              </w:rPr>
              <w:t>3 – 5</w:t>
            </w:r>
          </w:p>
        </w:tc>
        <w:tc>
          <w:tcPr>
            <w:tcW w:w="88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32406B"/>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32406B"/>
                <w:w w:val="90"/>
              </w:rPr>
              <w:t>1 Year</w:t>
            </w:r>
          </w:p>
        </w:tc>
        <w:tc>
          <w:tcPr>
            <w:tcW w:w="3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2406B"/>
                <w:w w:val="89"/>
              </w:rPr>
              <w:t>Years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9"/>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32406B"/>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32406B"/>
                <w:w w:val="99"/>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Operating lease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$56,657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7,609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$15,725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$14,688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Non-cancellable purchase obligations</w:t>
            </w:r>
          </w:p>
        </w:tc>
        <w:tc>
          <w:tcPr>
            <w:tcW w:w="1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25,115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0"/>
              </w:rPr>
              <w:t>15,958</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9,137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contractual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$81,772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0"/>
              </w:rPr>
              <w:t>23,567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$24,862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$14,708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Through January 31,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Foreign Currency and Exchange Risk</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32406B"/>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2018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69</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Interest Rate Risk</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32406B"/>
        </w:rPr>
        <w:t>We had cash and cash equivalents of $63.6 million and marketable securities of $112.8 million as of January 31, 2019.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2018 and 2019.</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Critical Accounting Policies and Estimates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32406B"/>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32406B"/>
        </w:rPr>
        <w:t>The critical accounting estimates, assumptions and judgments that we believe have the most significant impact on our consolidated financial statements are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Revenue Recognition</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32406B"/>
        </w:rPr>
        <w:t>Revenue from Contracts with Customers</w:t>
      </w:r>
      <w:r>
        <w:rPr>
          <w:rFonts w:ascii="Arial" w:cs="Arial" w:eastAsia="Arial" w:hAnsi="Arial"/>
          <w:sz w:val="18"/>
          <w:szCs w:val="18"/>
          <w:color w:val="32406B"/>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1. Identification of the contract, or contracts, with the customer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2. Identification of the performance obligations in the contract</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32406B"/>
        </w:rPr>
        <w:t>Performance obligations committed in a contract are identified based on the services that will be transferred to the customer that are both capable of being distinct, whereby the customer can benefit from the service either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70</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32406B"/>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3. Determination of the transaction price</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7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4. Allocation of the transaction price to the performance obligations in the contract</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32406B"/>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5. Recognition of the revenue when, or as, a performance obligation is satisfied</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Services are time-based arrangements and revenue is recognized as these services are performed.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Contract Balances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We receive payments from customers based on a billing schedule as established in our customer contracts.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32406B"/>
        </w:rPr>
        <w:t>Contract liabilities consist of deferred revenue. Revenue is deferred when we have the right to invoice in advance of performance under a customer contract. The current portion of deferred revenue balances are recognized during the following 12-month period.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Cost to Obtain a Contract</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32406B"/>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32406B"/>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67"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32406B"/>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These assumptions and estimates are as follows:</w:t>
      </w:r>
    </w:p>
    <w:p>
      <w:pPr>
        <w:spacing w:after="0" w:line="131" w:lineRule="exact"/>
        <w:rPr>
          <w:sz w:val="20"/>
          <w:szCs w:val="20"/>
          <w:color w:val="auto"/>
        </w:rPr>
      </w:pPr>
    </w:p>
    <w:p>
      <w:pPr>
        <w:ind w:left="1060" w:right="300" w:hanging="424"/>
        <w:spacing w:after="0" w:line="279" w:lineRule="auto"/>
        <w:tabs>
          <w:tab w:leader="none" w:pos="1060" w:val="left"/>
        </w:tabs>
        <w:numPr>
          <w:ilvl w:val="0"/>
          <w:numId w:val="41"/>
        </w:numPr>
        <w:rPr>
          <w:rFonts w:ascii="Arial" w:cs="Arial" w:eastAsia="Arial" w:hAnsi="Arial"/>
          <w:sz w:val="17"/>
          <w:szCs w:val="17"/>
          <w:color w:val="32406B"/>
        </w:rPr>
      </w:pPr>
      <w:r>
        <w:rPr>
          <w:rFonts w:ascii="Arial" w:cs="Arial" w:eastAsia="Arial" w:hAnsi="Arial"/>
          <w:sz w:val="17"/>
          <w:szCs w:val="17"/>
          <w:i w:val="1"/>
          <w:iCs w:val="1"/>
          <w:color w:val="32406B"/>
        </w:rPr>
        <w:t xml:space="preserve">Fair Value of Common Stock. </w:t>
      </w:r>
      <w:r>
        <w:rPr>
          <w:rFonts w:ascii="Arial" w:cs="Arial" w:eastAsia="Arial" w:hAnsi="Arial"/>
          <w:sz w:val="17"/>
          <w:szCs w:val="17"/>
          <w:color w:val="32406B"/>
        </w:rPr>
        <w:t>As our common stock is not publicly traded, the fair value was determined by our board of directors, with</w:t>
      </w:r>
      <w:r>
        <w:rPr>
          <w:rFonts w:ascii="Arial" w:cs="Arial" w:eastAsia="Arial" w:hAnsi="Arial"/>
          <w:sz w:val="17"/>
          <w:szCs w:val="17"/>
          <w:i w:val="1"/>
          <w:iCs w:val="1"/>
          <w:color w:val="32406B"/>
        </w:rPr>
        <w:t xml:space="preserve"> </w:t>
      </w:r>
      <w:r>
        <w:rPr>
          <w:rFonts w:ascii="Arial" w:cs="Arial" w:eastAsia="Arial" w:hAnsi="Arial"/>
          <w:sz w:val="17"/>
          <w:szCs w:val="17"/>
          <w:color w:val="32406B"/>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32406B"/>
        </w:rPr>
      </w:pPr>
    </w:p>
    <w:p>
      <w:pPr>
        <w:ind w:left="1060" w:right="120" w:hanging="424"/>
        <w:spacing w:after="0" w:line="277" w:lineRule="auto"/>
        <w:tabs>
          <w:tab w:leader="none" w:pos="1060" w:val="left"/>
        </w:tabs>
        <w:numPr>
          <w:ilvl w:val="0"/>
          <w:numId w:val="41"/>
        </w:numPr>
        <w:rPr>
          <w:rFonts w:ascii="Arial" w:cs="Arial" w:eastAsia="Arial" w:hAnsi="Arial"/>
          <w:sz w:val="18"/>
          <w:szCs w:val="18"/>
          <w:color w:val="32406B"/>
        </w:rPr>
      </w:pPr>
      <w:r>
        <w:rPr>
          <w:rFonts w:ascii="Arial" w:cs="Arial" w:eastAsia="Arial" w:hAnsi="Arial"/>
          <w:sz w:val="18"/>
          <w:szCs w:val="18"/>
          <w:i w:val="1"/>
          <w:iCs w:val="1"/>
          <w:color w:val="32406B"/>
        </w:rPr>
        <w:t xml:space="preserve">Risk-Free Interest Rate. </w:t>
      </w:r>
      <w:r>
        <w:rPr>
          <w:rFonts w:ascii="Arial" w:cs="Arial" w:eastAsia="Arial" w:hAnsi="Arial"/>
          <w:sz w:val="18"/>
          <w:szCs w:val="18"/>
          <w:color w:val="32406B"/>
        </w:rPr>
        <w:t>The risk-free interest rate for the expected term of the options was based on the U.S. Treasury yield curve in effect</w:t>
      </w:r>
      <w:r>
        <w:rPr>
          <w:rFonts w:ascii="Arial" w:cs="Arial" w:eastAsia="Arial" w:hAnsi="Arial"/>
          <w:sz w:val="18"/>
          <w:szCs w:val="18"/>
          <w:i w:val="1"/>
          <w:iCs w:val="1"/>
          <w:color w:val="32406B"/>
        </w:rPr>
        <w:t xml:space="preserve"> </w:t>
      </w:r>
      <w:r>
        <w:rPr>
          <w:rFonts w:ascii="Arial" w:cs="Arial" w:eastAsia="Arial" w:hAnsi="Arial"/>
          <w:sz w:val="18"/>
          <w:szCs w:val="18"/>
          <w:color w:val="32406B"/>
        </w:rPr>
        <w:t>at the time of the grant.</w:t>
      </w:r>
    </w:p>
    <w:p>
      <w:pPr>
        <w:spacing w:after="0" w:line="75" w:lineRule="exact"/>
        <w:rPr>
          <w:rFonts w:ascii="Arial" w:cs="Arial" w:eastAsia="Arial" w:hAnsi="Arial"/>
          <w:sz w:val="18"/>
          <w:szCs w:val="18"/>
          <w:color w:val="32406B"/>
        </w:rPr>
      </w:pPr>
    </w:p>
    <w:p>
      <w:pPr>
        <w:jc w:val="both"/>
        <w:ind w:left="1060" w:right="40" w:hanging="424"/>
        <w:spacing w:after="0" w:line="264" w:lineRule="auto"/>
        <w:tabs>
          <w:tab w:leader="none" w:pos="1060" w:val="left"/>
        </w:tabs>
        <w:numPr>
          <w:ilvl w:val="0"/>
          <w:numId w:val="41"/>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Term. </w:t>
      </w:r>
      <w:r>
        <w:rPr>
          <w:rFonts w:ascii="Arial" w:cs="Arial" w:eastAsia="Arial" w:hAnsi="Arial"/>
          <w:sz w:val="18"/>
          <w:szCs w:val="18"/>
          <w:color w:val="32406B"/>
        </w:rPr>
        <w:t>The expected term of options represents the period of time that options are expected to be outstanding. Our historical stock</w:t>
      </w:r>
      <w:r>
        <w:rPr>
          <w:rFonts w:ascii="Arial" w:cs="Arial" w:eastAsia="Arial" w:hAnsi="Arial"/>
          <w:sz w:val="18"/>
          <w:szCs w:val="18"/>
          <w:i w:val="1"/>
          <w:iCs w:val="1"/>
          <w:color w:val="32406B"/>
        </w:rPr>
        <w:t xml:space="preserve"> </w:t>
      </w:r>
      <w:r>
        <w:rPr>
          <w:rFonts w:ascii="Arial" w:cs="Arial" w:eastAsia="Arial" w:hAnsi="Arial"/>
          <w:sz w:val="18"/>
          <w:szCs w:val="18"/>
          <w:color w:val="32406B"/>
        </w:rPr>
        <w:t>option exercise experience does not provide a reasonable basis upon which to estimate an expected term due to a lack of sufficient data. For stock options granted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72</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64" w:lineRule="auto"/>
        <w:rPr>
          <w:sz w:val="20"/>
          <w:szCs w:val="20"/>
          <w:color w:val="auto"/>
        </w:rPr>
      </w:pPr>
      <w:r>
        <w:rPr>
          <w:rFonts w:ascii="Arial" w:cs="Arial" w:eastAsia="Arial" w:hAnsi="Arial"/>
          <w:sz w:val="18"/>
          <w:szCs w:val="18"/>
          <w:color w:val="32406B"/>
        </w:rPr>
        <w:t>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87" w:lineRule="exact"/>
        <w:rPr>
          <w:sz w:val="20"/>
          <w:szCs w:val="20"/>
          <w:color w:val="auto"/>
        </w:rPr>
      </w:pPr>
    </w:p>
    <w:p>
      <w:pPr>
        <w:ind w:left="1060" w:right="40" w:hanging="424"/>
        <w:spacing w:after="0" w:line="264" w:lineRule="auto"/>
        <w:tabs>
          <w:tab w:leader="none" w:pos="1060" w:val="left"/>
        </w:tabs>
        <w:numPr>
          <w:ilvl w:val="0"/>
          <w:numId w:val="42"/>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Volatility. </w:t>
      </w:r>
      <w:r>
        <w:rPr>
          <w:rFonts w:ascii="Arial" w:cs="Arial" w:eastAsia="Arial" w:hAnsi="Arial"/>
          <w:sz w:val="18"/>
          <w:szCs w:val="18"/>
          <w:color w:val="32406B"/>
        </w:rPr>
        <w:t>As we do not have a trading history for our common stock, the expected volatility was estimated by taking the average</w:t>
      </w:r>
      <w:r>
        <w:rPr>
          <w:rFonts w:ascii="Arial" w:cs="Arial" w:eastAsia="Arial" w:hAnsi="Arial"/>
          <w:sz w:val="18"/>
          <w:szCs w:val="18"/>
          <w:i w:val="1"/>
          <w:iCs w:val="1"/>
          <w:color w:val="32406B"/>
        </w:rPr>
        <w:t xml:space="preserve"> </w:t>
      </w:r>
      <w:r>
        <w:rPr>
          <w:rFonts w:ascii="Arial" w:cs="Arial" w:eastAsia="Arial" w:hAnsi="Arial"/>
          <w:sz w:val="18"/>
          <w:szCs w:val="18"/>
          <w:color w:val="32406B"/>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32406B"/>
        </w:rPr>
      </w:pPr>
    </w:p>
    <w:p>
      <w:pPr>
        <w:ind w:left="1060" w:right="720" w:hanging="424"/>
        <w:spacing w:after="0" w:line="277" w:lineRule="auto"/>
        <w:tabs>
          <w:tab w:leader="none" w:pos="1060" w:val="left"/>
        </w:tabs>
        <w:numPr>
          <w:ilvl w:val="0"/>
          <w:numId w:val="42"/>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Dividend Yield. </w:t>
      </w:r>
      <w:r>
        <w:rPr>
          <w:rFonts w:ascii="Arial" w:cs="Arial" w:eastAsia="Arial" w:hAnsi="Arial"/>
          <w:sz w:val="18"/>
          <w:szCs w:val="18"/>
          <w:color w:val="32406B"/>
        </w:rPr>
        <w:t>We have never declared or paid any cash dividends and do not presently plan to pay cash dividends in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foreseeable future. As a result, an expected dividend yield of zero percent was used.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Black-Scholes assumptions used in evaluating our awards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32406B"/>
                <w:w w:val="99"/>
              </w:rPr>
              <w:t>Year Ended January 31,</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32406B"/>
              </w:rPr>
              <w:t>2017</w:t>
            </w:r>
          </w:p>
        </w:tc>
        <w:tc>
          <w:tcPr>
            <w:tcW w:w="1580" w:type="dxa"/>
            <w:vAlign w:val="bottom"/>
            <w:gridSpan w:val="3"/>
          </w:tcPr>
          <w:p>
            <w:pPr>
              <w:jc w:val="right"/>
              <w:ind w:right="510"/>
              <w:spacing w:after="0" w:line="142" w:lineRule="exact"/>
              <w:rPr>
                <w:sz w:val="20"/>
                <w:szCs w:val="20"/>
                <w:color w:val="auto"/>
              </w:rPr>
            </w:pPr>
            <w:r>
              <w:rPr>
                <w:rFonts w:ascii="Arial" w:cs="Arial" w:eastAsia="Arial" w:hAnsi="Arial"/>
                <w:sz w:val="14"/>
                <w:szCs w:val="14"/>
                <w:b w:val="1"/>
                <w:bCs w:val="1"/>
                <w:color w:val="32406B"/>
              </w:rPr>
              <w:t>2018</w:t>
            </w:r>
          </w:p>
        </w:tc>
        <w:tc>
          <w:tcPr>
            <w:tcW w:w="10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32406B"/>
              </w:rPr>
              <w:t>2019</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Expected term (years)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5.4</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32406B"/>
              </w:rPr>
              <w:t>– 6.1</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5.6</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32406B"/>
              </w:rPr>
              <w:t>– 6.7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5.0</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32406B"/>
              </w:rPr>
              <w:t>– 6.2</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32406B"/>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32406B"/>
              </w:rPr>
              <w:t>48.2%</w:t>
            </w:r>
          </w:p>
        </w:tc>
        <w:tc>
          <w:tcPr>
            <w:tcW w:w="820" w:type="dxa"/>
            <w:vAlign w:val="bottom"/>
          </w:tcPr>
          <w:p>
            <w:pPr>
              <w:ind w:left="20"/>
              <w:spacing w:after="0"/>
              <w:rPr>
                <w:sz w:val="20"/>
                <w:szCs w:val="20"/>
                <w:color w:val="auto"/>
              </w:rPr>
            </w:pPr>
            <w:r>
              <w:rPr>
                <w:rFonts w:ascii="Arial" w:cs="Arial" w:eastAsia="Arial" w:hAnsi="Arial"/>
                <w:sz w:val="18"/>
                <w:szCs w:val="18"/>
                <w:color w:val="32406B"/>
              </w:rPr>
              <w:t>– 56.3%</w:t>
            </w: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47.7%</w:t>
            </w:r>
          </w:p>
        </w:tc>
        <w:tc>
          <w:tcPr>
            <w:tcW w:w="920" w:type="dxa"/>
            <w:vAlign w:val="bottom"/>
            <w:gridSpan w:val="2"/>
          </w:tcPr>
          <w:p>
            <w:pPr>
              <w:ind w:left="20"/>
              <w:spacing w:after="0"/>
              <w:rPr>
                <w:sz w:val="20"/>
                <w:szCs w:val="20"/>
                <w:color w:val="auto"/>
              </w:rPr>
            </w:pPr>
            <w:r>
              <w:rPr>
                <w:rFonts w:ascii="Arial" w:cs="Arial" w:eastAsia="Arial" w:hAnsi="Arial"/>
                <w:sz w:val="18"/>
                <w:szCs w:val="18"/>
                <w:color w:val="32406B"/>
              </w:rPr>
              <w:t>– 52.0%</w:t>
            </w:r>
          </w:p>
        </w:tc>
        <w:tc>
          <w:tcPr>
            <w:tcW w:w="660" w:type="dxa"/>
            <w:vAlign w:val="bottom"/>
          </w:tcPr>
          <w:p>
            <w:pPr>
              <w:jc w:val="right"/>
              <w:spacing w:after="0"/>
              <w:rPr>
                <w:sz w:val="20"/>
                <w:szCs w:val="20"/>
                <w:color w:val="auto"/>
              </w:rPr>
            </w:pPr>
            <w:r>
              <w:rPr>
                <w:rFonts w:ascii="Arial" w:cs="Arial" w:eastAsia="Arial" w:hAnsi="Arial"/>
                <w:sz w:val="18"/>
                <w:szCs w:val="18"/>
                <w:color w:val="32406B"/>
              </w:rPr>
              <w:t>44.6%</w:t>
            </w:r>
          </w:p>
        </w:tc>
        <w:tc>
          <w:tcPr>
            <w:tcW w:w="820" w:type="dxa"/>
            <w:vAlign w:val="bottom"/>
          </w:tcPr>
          <w:p>
            <w:pPr>
              <w:ind w:left="20"/>
              <w:spacing w:after="0"/>
              <w:rPr>
                <w:sz w:val="20"/>
                <w:szCs w:val="20"/>
                <w:color w:val="auto"/>
              </w:rPr>
            </w:pPr>
            <w:r>
              <w:rPr>
                <w:rFonts w:ascii="Arial" w:cs="Arial" w:eastAsia="Arial" w:hAnsi="Arial"/>
                <w:sz w:val="18"/>
                <w:szCs w:val="18"/>
                <w:color w:val="32406B"/>
              </w:rPr>
              <w:t>– 48.2%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32406B"/>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 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 3.1%</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32406B"/>
              </w:rPr>
              <w:t>Expected dividend yield</w:t>
            </w: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32406B"/>
              </w:rPr>
              <w:t>0.0%</w:t>
            </w:r>
          </w:p>
        </w:tc>
        <w:tc>
          <w:tcPr>
            <w:tcW w:w="1580" w:type="dxa"/>
            <w:vAlign w:val="bottom"/>
            <w:gridSpan w:val="3"/>
          </w:tcPr>
          <w:p>
            <w:pPr>
              <w:jc w:val="right"/>
              <w:ind w:right="470"/>
              <w:spacing w:after="0"/>
              <w:rPr>
                <w:sz w:val="20"/>
                <w:szCs w:val="20"/>
                <w:color w:val="auto"/>
              </w:rPr>
            </w:pPr>
            <w:r>
              <w:rPr>
                <w:rFonts w:ascii="Arial" w:cs="Arial" w:eastAsia="Arial" w:hAnsi="Arial"/>
                <w:sz w:val="18"/>
                <w:szCs w:val="18"/>
                <w:color w:val="32406B"/>
              </w:rPr>
              <w:t>0.0%</w:t>
            </w:r>
          </w:p>
        </w:tc>
        <w:tc>
          <w:tcPr>
            <w:tcW w:w="10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32406B"/>
              </w:rPr>
              <w:t>0.0%</w:t>
            </w:r>
          </w:p>
        </w:tc>
      </w:tr>
    </w:tbl>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Common Stock Valuations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32406B"/>
        </w:rPr>
        <w:t>In valuing our common stock, the fair value of our business, or enterprise value, was determined using either the market approach or a combination of the market and income approaches.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 The income approach estimates the fair value of a company based on the present value of the company’s future estimated cash flows and the residual value of the company beyond the forecast period.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16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32406B"/>
        </w:rPr>
        <w:t>The resulting equity value is then allocated to each class of stock using an Option Pricing Model (OPM). The OPM treats common stock and convertible preferred stock as call options on an equity value, with exercise prices based on the liquidation preference of our convertible preferred stock. The common stock is modeled as a call option with a claim on the equity value at an exercise price equal to the remaining value immediately after our convertible preferred stock is liquidated. The exclusive reliance on the OPM through July 31, 2018 was appropriate when the range of possible future outcomes was difficult to predict and resulted in a highly speculative forecast. Beginning in October 2018, we performed the equity allocation using a probability weighted expected return method, or PWERM. The PWERM involves the estimation of the value of our company under multiple future potential outcomes, and estimates the probability of each potential outcome. The per share value of our common stock when determined using the PWERM was ultimately based upon probability-weighted per share values resulting from the various future scenarios, which include an initial public offering, merger or sale, or continued operation as a private company. After the equity value was determined and allocated to the various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73</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32406B"/>
        </w:rPr>
        <w:t>classes of shares, a discount for lack of marketability (DLOM) was applied to arrive at the fair value of common stock on a non-marketable basis.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Our assessments of the fair value of common stock for grant dates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Preliminary Offering Price and Options Granted in January 2019 and Subsequent to January 31, 2019</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Subsequent to January 31, 2019, we granted stock options to purchase up to 1,324,650 shares of common stock with a weighted-average exercise price of $27.42 per share which generally vest over a period of 48 months. Based on the initial public offering price, we estimate we will recognize approximately $29.0 million of stock-based compensation expense related to these stock options generally over the requisite service period of 48 months.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In addition, in light of the difference between the fair value used for stock options granted on January 24, 2019 and the initial public offering price, in order to determine the appropriate share-based compensation expense for those stock options for financial reporting purposes, we reassessed the share-based compensation expense using the initial public offering price. We are recognizing $19.3 million of stock-based compensation expense related to these option grants generally over the requisite service period of 48 months. Since these options were granted near the end of fiscal 2019, the amount of stock-based compensation expense recognized in that fiscal period for these stock option grants is immaterial, and the incremental amount of additional expense in fiscal 2019 as a result of this reassessment using the initial public offering price is also immaterial. Therefore, we will record an out-of-period adjustment in the first quarter of fiscal 2020 to “catch-up” the incremental amount of additional expense for these stock option grants that would have otherwise been recorded in fiscal 2019.</w:t>
      </w:r>
    </w:p>
    <w:p>
      <w:pPr>
        <w:spacing w:after="0" w:line="17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32406B"/>
        </w:rPr>
        <w:t>The amount of stock-based compensation expense related to these option grants is preliminary and unaudited, based upon our estimates, and subject to further internal review by our management and compilation of actual results. We have provided an estimate for this expense primarily because we have not completed the first quarter of fiscal 2020, and therefore, we have not started, much less completed, our closing procedures for the quarter. Our management’s estimates are based upon information currently available and could change as a result of the final offering price or other factors. While we expect that our estimate of stock-based compensation expense related to these option grants is reasonable based on all information currently available, our actual expense may differ materially from these preliminary estimates.</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32406B"/>
        </w:rPr>
        <w:t>Upon the completion of this offering, our common stock will be publicly traded and we will rely on the closing price of our common stock as reported on the date of grant to determine the fair value of our common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Derivative Liabilities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32406B"/>
        </w:rPr>
        <w:t>The fair value of the derivative liabilities were measured using a with-and-without approach. Inputs used to determine the estimated fair value of the derivative instruments include the probability estimates of potential settlement scenarios for the convertible promissory notes, a present value discount rate and an estimate of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spacing w:after="0" w:line="308" w:lineRule="auto"/>
        <w:rPr>
          <w:sz w:val="20"/>
          <w:szCs w:val="20"/>
          <w:color w:val="auto"/>
        </w:rPr>
      </w:pPr>
      <w:r>
        <w:rPr>
          <w:rFonts w:ascii="Arial" w:cs="Arial" w:eastAsia="Arial" w:hAnsi="Arial"/>
          <w:sz w:val="17"/>
          <w:szCs w:val="17"/>
          <w:color w:val="32406B"/>
        </w:rPr>
        <w:t>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JOBS Act Accounting Election</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Recent Accounting Pronouncements</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32406B"/>
        </w:rPr>
        <w:t>See “Summary of Business and Significant Accounting Policies” in Note 1 of the notes to our consolidated financial statements included elsewhere in this prospectus for more information.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32406B"/>
        </w:rPr>
        <w:t>75</w:t>
      </w:r>
    </w:p>
    <w:p>
      <w:pPr>
        <w:sectPr>
          <w:pgSz w:w="11900" w:h="16838" w:orient="portrait"/>
          <w:cols w:equalWidth="0" w:num="1">
            <w:col w:w="11080"/>
          </w:cols>
          <w:pgMar w:left="240" w:top="459" w:right="5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A LETTER FROM ERIC S. YUAN</w:t>
      </w:r>
    </w:p>
    <w:p>
      <w:pPr>
        <w:spacing w:after="0" w:line="22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32406B"/>
        </w:rPr>
        <w:t>Thank you for reading our prospectus and considering an investment in Zoom. As the founder and CEO of Zoom, it is my privilege to share with you what we’re all about.</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32406B"/>
        </w:rPr>
        <w:t>Life is about the pursuit of happiness. The greatest, most sustainable happiness comes from making others happy. Delivering happiness is what we do at Zoom.</w:t>
      </w:r>
    </w:p>
    <w:p>
      <w:pPr>
        <w:spacing w:after="0" w:line="17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32406B"/>
        </w:rPr>
        <w:t>Ten years ago, I was an engineering leader at a major technology company. I would visit customers, and they would tell me how unhappy they were with the technology in the videoconferencing market. This made me unhappy. There had to be something better – something designed for modern video communications, something that would deliver happiness. I knew that we would have to start from scratch to do it right.</w:t>
      </w:r>
    </w:p>
    <w:p>
      <w:pPr>
        <w:spacing w:after="0" w:line="166" w:lineRule="exact"/>
        <w:rPr>
          <w:sz w:val="20"/>
          <w:szCs w:val="20"/>
          <w:color w:val="auto"/>
        </w:rPr>
      </w:pPr>
    </w:p>
    <w:p>
      <w:pPr>
        <w:jc w:val="both"/>
        <w:ind w:left="200" w:right="200"/>
        <w:spacing w:after="0" w:line="302" w:lineRule="auto"/>
        <w:rPr>
          <w:sz w:val="20"/>
          <w:szCs w:val="20"/>
          <w:color w:val="auto"/>
        </w:rPr>
      </w:pPr>
      <w:r>
        <w:rPr>
          <w:rFonts w:ascii="Arial" w:cs="Arial" w:eastAsia="Arial" w:hAnsi="Arial"/>
          <w:sz w:val="16"/>
          <w:szCs w:val="16"/>
          <w:color w:val="32406B"/>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 emails (quickly), talk with them face-to-face on Zoom, really listen to them and build the features and products they ask for (also quickly).</w:t>
      </w:r>
    </w:p>
    <w:p>
      <w:pPr>
        <w:spacing w:after="0" w:line="154"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32406B"/>
        </w:rPr>
        <w:t>Happiness delivers results. In 2018, our average customer Net Promoter Score was over 70, demonstrating that our high-quality, easy-to-use platform is making customers happy. We have consistently earned high scores across customer review sites, including Gartner Peer Insights, TrustRadius and G2 Crowd. And let’s not forget our employees. Zoom has received multiple awards from Glassdoor based on high ratings and reviews from our employees.</w:t>
      </w:r>
    </w:p>
    <w:p>
      <w:pPr>
        <w:spacing w:after="0" w:line="14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32406B"/>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world’s largest brewery explores opportunities for using blockchain to pay its farmers, a state park brings students on an underwater exploration in Lake Tahoe – all face-to-face on Zoom. We are proud that our platform helps users around the world build trust, strengthen relationships, move faster and get meaningful things done.</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32406B"/>
        </w:rPr>
        <w:t>It’s been over seven years since I founded Zoom, but this is just the beginning. There are a lot of people and companies that benefit from Zoom, but there are still plenty that haven’t yet explored the possibilities that Zoom can bring to their organizations. I want to give them video communications that make them happy. Video is the future of communications. If our customers are happy, the sky’s the limit. We must stay humble and paranoid about our customers’ and employees’ happiness.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We have a lot left to do. If you join us in this journey, you will become an integral part of this work and our family. Caring is our company’s core value.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We care deeply for our community, our customers, our team and our company. And today, we want to add you to that list.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020445" cy="248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044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76</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mission is to make video communications frictionless.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32406B"/>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32406B"/>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32406B"/>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 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32406B"/>
        </w:rPr>
        <w:t>The happiness we bring is recognized by customers. In 2018, our average customer Net Promoter Score (NPS) was over 70. Industry analysts also recognize our market leadership: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77</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32406B"/>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89"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32406B"/>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 $60.8 million,</w:t>
      </w:r>
    </w:p>
    <w:p>
      <w:pPr>
        <w:ind w:left="200" w:right="180"/>
        <w:spacing w:after="0" w:line="273" w:lineRule="auto"/>
        <w:rPr>
          <w:sz w:val="20"/>
          <w:szCs w:val="20"/>
          <w:color w:val="auto"/>
        </w:rPr>
      </w:pPr>
      <w:r>
        <w:rPr>
          <w:rFonts w:ascii="Arial" w:cs="Arial" w:eastAsia="Arial" w:hAnsi="Arial"/>
          <w:sz w:val="17"/>
          <w:szCs w:val="17"/>
          <w:color w:val="32406B"/>
        </w:rPr>
        <w:t>$151.5 million and $330.5 million for the fiscal years ended January 31, 2017, 2018 and 2019, respectively, representing annual revenue growth of 149% and 118% for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Industry Trends in Our Favor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Communication is at the Center of Organizational Performance</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Communication and Collaboration Must Evolve as the Nature of Work is Changing</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060" w:right="320" w:hanging="424"/>
        <w:spacing w:after="0" w:line="279" w:lineRule="auto"/>
        <w:tabs>
          <w:tab w:leader="none" w:pos="1060" w:val="left"/>
        </w:tabs>
        <w:numPr>
          <w:ilvl w:val="0"/>
          <w:numId w:val="43"/>
        </w:numPr>
        <w:rPr>
          <w:rFonts w:ascii="Arial" w:cs="Arial" w:eastAsia="Arial" w:hAnsi="Arial"/>
          <w:sz w:val="17"/>
          <w:szCs w:val="17"/>
          <w:color w:val="32406B"/>
        </w:rPr>
      </w:pPr>
      <w:r>
        <w:rPr>
          <w:rFonts w:ascii="Arial" w:cs="Arial" w:eastAsia="Arial" w:hAnsi="Arial"/>
          <w:sz w:val="17"/>
          <w:szCs w:val="17"/>
          <w:b w:val="1"/>
          <w:bCs w:val="1"/>
          <w:i w:val="1"/>
          <w:iCs w:val="1"/>
          <w:color w:val="32406B"/>
        </w:rPr>
        <w:t>Employees are increasingly distributed</w:t>
      </w:r>
      <w:r>
        <w:rPr>
          <w:rFonts w:ascii="Arial" w:cs="Arial" w:eastAsia="Arial" w:hAnsi="Arial"/>
          <w:sz w:val="17"/>
          <w:szCs w:val="17"/>
          <w:color w:val="32406B"/>
        </w:rPr>
        <w:t>. Historically, teams were physically located together, even in the largest organizations, to drive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76" w:lineRule="exact"/>
        <w:rPr>
          <w:rFonts w:ascii="Arial" w:cs="Arial" w:eastAsia="Arial" w:hAnsi="Arial"/>
          <w:sz w:val="17"/>
          <w:szCs w:val="17"/>
          <w:color w:val="32406B"/>
        </w:rPr>
      </w:pPr>
    </w:p>
    <w:p>
      <w:pPr>
        <w:ind w:left="1060" w:right="20" w:hanging="424"/>
        <w:spacing w:after="0" w:line="293" w:lineRule="auto"/>
        <w:tabs>
          <w:tab w:leader="none" w:pos="1060" w:val="left"/>
        </w:tabs>
        <w:numPr>
          <w:ilvl w:val="0"/>
          <w:numId w:val="43"/>
        </w:numPr>
        <w:rPr>
          <w:rFonts w:ascii="Arial" w:cs="Arial" w:eastAsia="Arial" w:hAnsi="Arial"/>
          <w:sz w:val="16"/>
          <w:szCs w:val="16"/>
          <w:color w:val="32406B"/>
        </w:rPr>
      </w:pPr>
      <w:r>
        <w:rPr>
          <w:rFonts w:ascii="Arial" w:cs="Arial" w:eastAsia="Arial" w:hAnsi="Arial"/>
          <w:sz w:val="16"/>
          <w:szCs w:val="16"/>
          <w:b w:val="1"/>
          <w:bCs w:val="1"/>
          <w:i w:val="1"/>
          <w:iCs w:val="1"/>
          <w:color w:val="32406B"/>
        </w:rPr>
        <w:t>Organizations seek to drive deeper engagement with employees, customers and partners</w:t>
      </w:r>
      <w:r>
        <w:rPr>
          <w:rFonts w:ascii="Arial" w:cs="Arial" w:eastAsia="Arial" w:hAnsi="Arial"/>
          <w:sz w:val="16"/>
          <w:szCs w:val="16"/>
          <w:i w:val="1"/>
          <w:i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People derive more personal satisfaction and are</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70" w:lineRule="exact"/>
        <w:rPr>
          <w:rFonts w:ascii="Arial" w:cs="Arial" w:eastAsia="Arial" w:hAnsi="Arial"/>
          <w:sz w:val="16"/>
          <w:szCs w:val="16"/>
          <w:color w:val="32406B"/>
        </w:rPr>
      </w:pPr>
    </w:p>
    <w:p>
      <w:pPr>
        <w:ind w:left="1060" w:hanging="424"/>
        <w:spacing w:after="0" w:line="277" w:lineRule="auto"/>
        <w:tabs>
          <w:tab w:leader="none" w:pos="1060" w:val="left"/>
        </w:tabs>
        <w:numPr>
          <w:ilvl w:val="0"/>
          <w:numId w:val="43"/>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Workforce demographics are changing. </w:t>
      </w:r>
      <w:r>
        <w:rPr>
          <w:rFonts w:ascii="Arial" w:cs="Arial" w:eastAsia="Arial" w:hAnsi="Arial"/>
          <w:sz w:val="18"/>
          <w:szCs w:val="18"/>
          <w:color w:val="32406B"/>
        </w:rPr>
        <w:t>Shifting demographics alongside increasingly distributed workforces increase the need for effective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ways to communicate beyond in-person meetings.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78</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32406B"/>
        </w:rPr>
        <w:t>example, millennials currently make up 35% of the U.S. workforce. This population values agility and flexibility in their work environment, and millennials expect technology to meet their needs and work seamlessly.</w:t>
      </w:r>
    </w:p>
    <w:p>
      <w:pPr>
        <w:spacing w:after="0" w:line="76" w:lineRule="exact"/>
        <w:rPr>
          <w:sz w:val="20"/>
          <w:szCs w:val="20"/>
          <w:color w:val="auto"/>
        </w:rPr>
      </w:pPr>
    </w:p>
    <w:p>
      <w:pPr>
        <w:ind w:left="1060" w:right="20" w:hanging="424"/>
        <w:spacing w:after="0" w:line="279" w:lineRule="auto"/>
        <w:tabs>
          <w:tab w:leader="none" w:pos="1060" w:val="left"/>
        </w:tabs>
        <w:numPr>
          <w:ilvl w:val="0"/>
          <w:numId w:val="44"/>
        </w:numPr>
        <w:rPr>
          <w:rFonts w:ascii="Arial" w:cs="Arial" w:eastAsia="Arial" w:hAnsi="Arial"/>
          <w:sz w:val="17"/>
          <w:szCs w:val="17"/>
          <w:color w:val="32406B"/>
        </w:rPr>
      </w:pPr>
      <w:r>
        <w:rPr>
          <w:rFonts w:ascii="Arial" w:cs="Arial" w:eastAsia="Arial" w:hAnsi="Arial"/>
          <w:sz w:val="17"/>
          <w:szCs w:val="17"/>
          <w:b w:val="1"/>
          <w:bCs w:val="1"/>
          <w:i w:val="1"/>
          <w:iCs w:val="1"/>
          <w:color w:val="32406B"/>
        </w:rPr>
        <w:t>Employees are influencing IT decisions</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Employees are increasingly the primary force for IT modernization at work as they bring the latest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technologies from their personal lives to their jobs. According to a 2017 report from Salesforce Research, 71% of employees want their companies to provide the same level of technology as they use in their personal lives. Employees often expect to seamlessly communicate on any device and across mediums and, as a result, are increasingly influencing IT decisions.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Organizations Need a Comprehensive Platform that Enables Modern Communication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32406B"/>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7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32406B"/>
        </w:rPr>
        <w:t>This dynamic has resulted in organizations deploying disparate and siloed technologies to address each of the various ways in which people communicate, including video, voice, email, chat and content sharing. According to a 2017 study by Forbes Media LLC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To effectively enable modern communication, a comprehensive platform must have the following qualities:</w:t>
      </w:r>
    </w:p>
    <w:p>
      <w:pPr>
        <w:spacing w:after="0" w:line="131" w:lineRule="exact"/>
        <w:rPr>
          <w:sz w:val="20"/>
          <w:szCs w:val="20"/>
          <w:color w:val="auto"/>
        </w:rPr>
      </w:pPr>
    </w:p>
    <w:p>
      <w:pPr>
        <w:jc w:val="both"/>
        <w:ind w:left="1060" w:right="220" w:hanging="424"/>
        <w:spacing w:after="0" w:line="312" w:lineRule="auto"/>
        <w:tabs>
          <w:tab w:leader="none" w:pos="1060" w:val="left"/>
        </w:tabs>
        <w:numPr>
          <w:ilvl w:val="0"/>
          <w:numId w:val="45"/>
        </w:numPr>
        <w:rPr>
          <w:rFonts w:ascii="Arial" w:cs="Arial" w:eastAsia="Arial" w:hAnsi="Arial"/>
          <w:sz w:val="16"/>
          <w:szCs w:val="16"/>
          <w:color w:val="32406B"/>
        </w:rPr>
      </w:pPr>
      <w:r>
        <w:rPr>
          <w:rFonts w:ascii="Arial" w:cs="Arial" w:eastAsia="Arial" w:hAnsi="Arial"/>
          <w:sz w:val="16"/>
          <w:szCs w:val="16"/>
          <w:b w:val="1"/>
          <w:bCs w:val="1"/>
          <w:i w:val="1"/>
          <w:iCs w:val="1"/>
          <w:color w:val="32406B"/>
        </w:rPr>
        <w:t>Reliable, high-quality communications</w:t>
      </w:r>
      <w:r>
        <w:rPr>
          <w:rFonts w:ascii="Arial" w:cs="Arial" w:eastAsia="Arial" w:hAnsi="Arial"/>
          <w:sz w:val="16"/>
          <w:szCs w:val="16"/>
          <w:i w:val="1"/>
          <w:i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Organizations have a significant need for a platform that reliably delivers high-quality video and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52" w:lineRule="exact"/>
        <w:rPr>
          <w:rFonts w:ascii="Arial" w:cs="Arial" w:eastAsia="Arial" w:hAnsi="Arial"/>
          <w:sz w:val="16"/>
          <w:szCs w:val="16"/>
          <w:color w:val="32406B"/>
        </w:rPr>
      </w:pPr>
    </w:p>
    <w:p>
      <w:pPr>
        <w:ind w:left="1060" w:hanging="424"/>
        <w:spacing w:after="0" w:line="259" w:lineRule="auto"/>
        <w:tabs>
          <w:tab w:leader="none" w:pos="1060" w:val="left"/>
        </w:tabs>
        <w:numPr>
          <w:ilvl w:val="0"/>
          <w:numId w:val="45"/>
        </w:numPr>
        <w:rPr>
          <w:rFonts w:ascii="Arial" w:cs="Arial" w:eastAsia="Arial" w:hAnsi="Arial"/>
          <w:sz w:val="18"/>
          <w:szCs w:val="18"/>
          <w:color w:val="32406B"/>
        </w:rPr>
      </w:pPr>
      <w:r>
        <w:rPr>
          <w:rFonts w:ascii="Arial" w:cs="Arial" w:eastAsia="Arial" w:hAnsi="Arial"/>
          <w:sz w:val="18"/>
          <w:szCs w:val="18"/>
          <w:b w:val="1"/>
          <w:bCs w:val="1"/>
          <w:i w:val="1"/>
          <w:iCs w:val="1"/>
          <w:color w:val="32406B"/>
        </w:rPr>
        <w:t>Easy to use</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To drive broad adoption, a platform’s user interface must be intuitive and easily navigable. In addition, users want solutions that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92" w:lineRule="exact"/>
        <w:rPr>
          <w:rFonts w:ascii="Arial" w:cs="Arial" w:eastAsia="Arial" w:hAnsi="Arial"/>
          <w:sz w:val="18"/>
          <w:szCs w:val="18"/>
          <w:color w:val="32406B"/>
        </w:rPr>
      </w:pPr>
    </w:p>
    <w:p>
      <w:pPr>
        <w:ind w:left="1060" w:right="20" w:hanging="424"/>
        <w:spacing w:after="0" w:line="257" w:lineRule="auto"/>
        <w:tabs>
          <w:tab w:leader="none" w:pos="1060" w:val="left"/>
        </w:tabs>
        <w:numPr>
          <w:ilvl w:val="0"/>
          <w:numId w:val="45"/>
        </w:numPr>
        <w:rPr>
          <w:rFonts w:ascii="Arial" w:cs="Arial" w:eastAsia="Arial" w:hAnsi="Arial"/>
          <w:sz w:val="18"/>
          <w:szCs w:val="18"/>
          <w:color w:val="32406B"/>
        </w:rPr>
      </w:pPr>
      <w:r>
        <w:rPr>
          <w:rFonts w:ascii="Arial" w:cs="Arial" w:eastAsia="Arial" w:hAnsi="Arial"/>
          <w:sz w:val="18"/>
          <w:szCs w:val="18"/>
          <w:b w:val="1"/>
          <w:bCs w:val="1"/>
          <w:i w:val="1"/>
          <w:iCs w:val="1"/>
          <w:color w:val="32406B"/>
        </w:rPr>
        <w:t>Easy to deploy and manage</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Organizations want a single platform that is easy to deploy, leverages existing network infrastructure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requirements for extensive user support make these tools difficult to manage.</w:t>
      </w:r>
    </w:p>
    <w:p>
      <w:pPr>
        <w:spacing w:after="0" w:line="93" w:lineRule="exact"/>
        <w:rPr>
          <w:rFonts w:ascii="Arial" w:cs="Arial" w:eastAsia="Arial" w:hAnsi="Arial"/>
          <w:sz w:val="18"/>
          <w:szCs w:val="18"/>
          <w:color w:val="32406B"/>
        </w:rPr>
      </w:pPr>
    </w:p>
    <w:p>
      <w:pPr>
        <w:ind w:left="1060" w:right="60" w:hanging="424"/>
        <w:spacing w:after="0" w:line="279" w:lineRule="auto"/>
        <w:tabs>
          <w:tab w:leader="none" w:pos="1060" w:val="left"/>
        </w:tabs>
        <w:numPr>
          <w:ilvl w:val="0"/>
          <w:numId w:val="45"/>
        </w:numPr>
        <w:rPr>
          <w:rFonts w:ascii="Arial" w:cs="Arial" w:eastAsia="Arial" w:hAnsi="Arial"/>
          <w:sz w:val="17"/>
          <w:szCs w:val="17"/>
          <w:color w:val="32406B"/>
        </w:rPr>
      </w:pPr>
      <w:r>
        <w:rPr>
          <w:rFonts w:ascii="Arial" w:cs="Arial" w:eastAsia="Arial" w:hAnsi="Arial"/>
          <w:sz w:val="17"/>
          <w:szCs w:val="17"/>
          <w:b w:val="1"/>
          <w:bCs w:val="1"/>
          <w:i w:val="1"/>
          <w:iCs w:val="1"/>
          <w:color w:val="32406B"/>
        </w:rPr>
        <w:t>Attractive return on investment</w:t>
      </w:r>
      <w:r>
        <w:rPr>
          <w:rFonts w:ascii="Arial" w:cs="Arial" w:eastAsia="Arial" w:hAnsi="Arial"/>
          <w:sz w:val="17"/>
          <w:szCs w:val="17"/>
          <w:i w:val="1"/>
          <w:i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Legacy systems often require significant proprietary infrastructure and conference room investments.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76" w:lineRule="exact"/>
        <w:rPr>
          <w:rFonts w:ascii="Arial" w:cs="Arial" w:eastAsia="Arial" w:hAnsi="Arial"/>
          <w:sz w:val="17"/>
          <w:szCs w:val="17"/>
          <w:color w:val="32406B"/>
        </w:rPr>
      </w:pPr>
    </w:p>
    <w:p>
      <w:pPr>
        <w:ind w:left="1060" w:right="200" w:hanging="424"/>
        <w:spacing w:after="0" w:line="264" w:lineRule="auto"/>
        <w:tabs>
          <w:tab w:leader="none" w:pos="1060" w:val="left"/>
        </w:tabs>
        <w:numPr>
          <w:ilvl w:val="0"/>
          <w:numId w:val="45"/>
        </w:numPr>
        <w:rPr>
          <w:rFonts w:ascii="Arial" w:cs="Arial" w:eastAsia="Arial" w:hAnsi="Arial"/>
          <w:sz w:val="18"/>
          <w:szCs w:val="18"/>
          <w:color w:val="32406B"/>
        </w:rPr>
      </w:pPr>
      <w:r>
        <w:rPr>
          <w:rFonts w:ascii="Arial" w:cs="Arial" w:eastAsia="Arial" w:hAnsi="Arial"/>
          <w:sz w:val="18"/>
          <w:szCs w:val="18"/>
          <w:b w:val="1"/>
          <w:bCs w:val="1"/>
          <w:i w:val="1"/>
          <w:iCs w:val="1"/>
          <w:color w:val="32406B"/>
        </w:rPr>
        <w:t>Scalability</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Organizations need a communications platform that can be optimized for their footprint and scales as they grow. Legacy</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approaches often require cumbersome infrastructure and stitching together of disparate systems to support a growing user base. Moreover, many legacy systems simply cannot meet the demands of large enterprises.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4" w:lineRule="auto"/>
        <w:tabs>
          <w:tab w:leader="none" w:pos="1060" w:val="left"/>
        </w:tabs>
        <w:numPr>
          <w:ilvl w:val="0"/>
          <w:numId w:val="46"/>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Integrated. </w:t>
      </w:r>
      <w:r>
        <w:rPr>
          <w:rFonts w:ascii="Arial" w:cs="Arial" w:eastAsia="Arial" w:hAnsi="Arial"/>
          <w:sz w:val="18"/>
          <w:szCs w:val="18"/>
          <w:color w:val="32406B"/>
        </w:rPr>
        <w:t>Organizations need a platform that integrates with their physical workspaces and existing business applications. Most legacy</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approaches were not designed to integrate easily with modern software applications or third-party devices, which can result in a frustrating experience.</w:t>
      </w:r>
    </w:p>
    <w:p>
      <w:pPr>
        <w:spacing w:after="0" w:line="86" w:lineRule="exact"/>
        <w:rPr>
          <w:rFonts w:ascii="Arial" w:cs="Arial" w:eastAsia="Arial" w:hAnsi="Arial"/>
          <w:sz w:val="18"/>
          <w:szCs w:val="18"/>
          <w:color w:val="32406B"/>
        </w:rPr>
      </w:pPr>
    </w:p>
    <w:p>
      <w:pPr>
        <w:ind w:left="1060" w:right="200" w:hanging="424"/>
        <w:spacing w:after="0" w:line="277" w:lineRule="auto"/>
        <w:tabs>
          <w:tab w:leader="none" w:pos="1060" w:val="left"/>
        </w:tabs>
        <w:numPr>
          <w:ilvl w:val="0"/>
          <w:numId w:val="46"/>
        </w:numPr>
        <w:rPr>
          <w:rFonts w:ascii="Arial" w:cs="Arial" w:eastAsia="Arial" w:hAnsi="Arial"/>
          <w:sz w:val="18"/>
          <w:szCs w:val="18"/>
          <w:color w:val="32406B"/>
        </w:rPr>
      </w:pPr>
      <w:r>
        <w:rPr>
          <w:rFonts w:ascii="Arial" w:cs="Arial" w:eastAsia="Arial" w:hAnsi="Arial"/>
          <w:sz w:val="18"/>
          <w:szCs w:val="18"/>
          <w:b w:val="1"/>
          <w:bCs w:val="1"/>
          <w:i w:val="1"/>
          <w:iCs w:val="1"/>
          <w:color w:val="32406B"/>
        </w:rPr>
        <w:t>Flexible terms</w:t>
      </w:r>
      <w:r>
        <w:rPr>
          <w:rFonts w:ascii="Arial" w:cs="Arial" w:eastAsia="Arial" w:hAnsi="Arial"/>
          <w:sz w:val="18"/>
          <w:szCs w:val="18"/>
          <w:i w:val="1"/>
          <w:i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Organizations also want to purchase technology under flexible terms that are right-sized for their business needs. Legacy</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offerings generally have rigid purchase contracts and support terms.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32406B"/>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Platform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prior to 2014, BAYADA Home Health Care was averaging just under 100 meetings a week using several applications for video conferencing prior to Zoom. Now with Zoom, it averaged 2,000 Zoom meetings a week in 2018.</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80</w:t>
      </w:r>
    </w:p>
    <w:p>
      <w:pPr>
        <w:sectPr>
          <w:pgSz w:w="11900" w:h="16838" w:orient="portrait"/>
          <w:cols w:equalWidth="0" w:num="1">
            <w:col w:w="11120"/>
          </w:cols>
          <w:pgMar w:left="24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32406B"/>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119380</wp:posOffset>
            </wp:positionV>
            <wp:extent cx="5137150" cy="3970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37150"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Key Benefits of the Zoom Platform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Key benefits of our platform include:</w:t>
      </w:r>
    </w:p>
    <w:p>
      <w:pPr>
        <w:spacing w:after="0" w:line="131" w:lineRule="exact"/>
        <w:rPr>
          <w:sz w:val="20"/>
          <w:szCs w:val="20"/>
          <w:color w:val="auto"/>
        </w:rPr>
      </w:pPr>
    </w:p>
    <w:p>
      <w:pPr>
        <w:ind w:left="1060" w:right="180" w:hanging="424"/>
        <w:spacing w:after="0" w:line="302" w:lineRule="auto"/>
        <w:tabs>
          <w:tab w:leader="none" w:pos="1060" w:val="left"/>
        </w:tabs>
        <w:numPr>
          <w:ilvl w:val="0"/>
          <w:numId w:val="47"/>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Reliable, high-quality communications that enable productivity, connectedness and trust. </w:t>
      </w:r>
      <w:r>
        <w:rPr>
          <w:rFonts w:ascii="Arial" w:cs="Arial" w:eastAsia="Arial" w:hAnsi="Arial"/>
          <w:sz w:val="16"/>
          <w:szCs w:val="16"/>
          <w:color w:val="32406B"/>
        </w:rPr>
        <w:t>Our platform delivers a high-quality, reliable</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communications experience across devices even with varying bandwidths and network performance. In fact, our platform can continue to deliver a productive meeting experience even with up to 40% packet loss. We believe our platform’s consistent performance creates significant value to organizations by providing a trusted communications solution that enables more productive interactions.</w:t>
      </w:r>
    </w:p>
    <w:p>
      <w:pPr>
        <w:spacing w:after="0" w:line="59" w:lineRule="exact"/>
        <w:rPr>
          <w:rFonts w:ascii="Arial" w:cs="Arial" w:eastAsia="Arial" w:hAnsi="Arial"/>
          <w:sz w:val="16"/>
          <w:szCs w:val="16"/>
          <w:color w:val="32406B"/>
        </w:rPr>
      </w:pPr>
    </w:p>
    <w:p>
      <w:pPr>
        <w:ind w:left="1060" w:hanging="424"/>
        <w:spacing w:after="0" w:line="259" w:lineRule="auto"/>
        <w:tabs>
          <w:tab w:leader="none" w:pos="1060" w:val="left"/>
        </w:tabs>
        <w:numPr>
          <w:ilvl w:val="0"/>
          <w:numId w:val="47"/>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Easy to use. </w:t>
      </w:r>
      <w:r>
        <w:rPr>
          <w:rFonts w:ascii="Arial" w:cs="Arial" w:eastAsia="Arial" w:hAnsi="Arial"/>
          <w:sz w:val="18"/>
          <w:szCs w:val="18"/>
          <w:color w:val="32406B"/>
        </w:rPr>
        <w:t>We provide a consolidated, intuitive interface for video, voice, chat and content sharing that can be easily navigated even by</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92" w:lineRule="exact"/>
        <w:rPr>
          <w:rFonts w:ascii="Arial" w:cs="Arial" w:eastAsia="Arial" w:hAnsi="Arial"/>
          <w:sz w:val="18"/>
          <w:szCs w:val="18"/>
          <w:color w:val="32406B"/>
        </w:rPr>
      </w:pPr>
    </w:p>
    <w:p>
      <w:pPr>
        <w:ind w:left="1060" w:right="220" w:hanging="424"/>
        <w:spacing w:after="0" w:line="277" w:lineRule="auto"/>
        <w:tabs>
          <w:tab w:leader="none" w:pos="1060" w:val="left"/>
        </w:tabs>
        <w:numPr>
          <w:ilvl w:val="0"/>
          <w:numId w:val="47"/>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Easy to deploy and manage. </w:t>
      </w:r>
      <w:r>
        <w:rPr>
          <w:rFonts w:ascii="Arial" w:cs="Arial" w:eastAsia="Arial" w:hAnsi="Arial"/>
          <w:sz w:val="18"/>
          <w:szCs w:val="18"/>
          <w:color w:val="32406B"/>
        </w:rPr>
        <w:t>Our cloud-native platform is easy to deploy and manage by both IT administrators and business users, even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when integrating with existing infrastructure. Our platform</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81</w:t>
      </w:r>
    </w:p>
    <w:p>
      <w:pPr>
        <w:sectPr>
          <w:pgSz w:w="11900" w:h="16838" w:orient="portrait"/>
          <w:cols w:equalWidth="0" w:num="1">
            <w:col w:w="11140"/>
          </w:cols>
          <w:pgMar w:left="24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60"/>
        <w:spacing w:after="0" w:line="277" w:lineRule="auto"/>
        <w:rPr>
          <w:sz w:val="20"/>
          <w:szCs w:val="20"/>
          <w:color w:val="auto"/>
        </w:rPr>
      </w:pPr>
      <w:r>
        <w:rPr>
          <w:rFonts w:ascii="Arial" w:cs="Arial" w:eastAsia="Arial" w:hAnsi="Arial"/>
          <w:sz w:val="18"/>
          <w:szCs w:val="18"/>
          <w:color w:val="32406B"/>
        </w:rPr>
        <w:t>removes the need for the integration of disparate communications tools, product-specific knowledge and high-touch user support and troubleshooting. We provide a simple and robust management layer with reporting capability.</w:t>
      </w:r>
    </w:p>
    <w:p>
      <w:pPr>
        <w:spacing w:after="0" w:line="72" w:lineRule="exact"/>
        <w:rPr>
          <w:sz w:val="20"/>
          <w:szCs w:val="20"/>
          <w:color w:val="auto"/>
        </w:rPr>
      </w:pPr>
    </w:p>
    <w:p>
      <w:pPr>
        <w:ind w:left="1060" w:right="380" w:hanging="424"/>
        <w:spacing w:after="0" w:line="277" w:lineRule="auto"/>
        <w:tabs>
          <w:tab w:leader="none" w:pos="1060" w:val="left"/>
        </w:tabs>
        <w:numPr>
          <w:ilvl w:val="0"/>
          <w:numId w:val="48"/>
        </w:numPr>
        <w:rPr>
          <w:rFonts w:ascii="Arial" w:cs="Arial" w:eastAsia="Arial" w:hAnsi="Arial"/>
          <w:sz w:val="17"/>
          <w:szCs w:val="17"/>
          <w:color w:val="32406B"/>
        </w:rPr>
      </w:pPr>
      <w:r>
        <w:rPr>
          <w:rFonts w:ascii="Arial" w:cs="Arial" w:eastAsia="Arial" w:hAnsi="Arial"/>
          <w:sz w:val="17"/>
          <w:szCs w:val="17"/>
          <w:b w:val="1"/>
          <w:bCs w:val="1"/>
          <w:i w:val="1"/>
          <w:iCs w:val="1"/>
          <w:color w:val="32406B"/>
        </w:rPr>
        <w:t>Attractive return on investment</w:t>
      </w:r>
      <w:r>
        <w:rPr>
          <w:rFonts w:ascii="Arial" w:cs="Arial" w:eastAsia="Arial" w:hAnsi="Arial"/>
          <w:sz w:val="17"/>
          <w:szCs w:val="17"/>
          <w:b w:val="1"/>
          <w:b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Our platform drives higher employee engagement and improved collaboration, resulting in increased</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organizational productivity. Switching to our platform also reduces the costs associated with expensive on-premises infrastructure and continual maintenance. Moreover, the reliability of our platform’s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77" w:lineRule="exact"/>
        <w:rPr>
          <w:rFonts w:ascii="Arial" w:cs="Arial" w:eastAsia="Arial" w:hAnsi="Arial"/>
          <w:sz w:val="17"/>
          <w:szCs w:val="17"/>
          <w:color w:val="32406B"/>
        </w:rPr>
      </w:pPr>
    </w:p>
    <w:p>
      <w:pPr>
        <w:ind w:left="1060" w:right="40" w:hanging="424"/>
        <w:spacing w:after="0" w:line="312" w:lineRule="auto"/>
        <w:tabs>
          <w:tab w:leader="none" w:pos="1060" w:val="left"/>
        </w:tabs>
        <w:numPr>
          <w:ilvl w:val="0"/>
          <w:numId w:val="48"/>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Scalability. </w:t>
      </w:r>
      <w:r>
        <w:rPr>
          <w:rFonts w:ascii="Arial" w:cs="Arial" w:eastAsia="Arial" w:hAnsi="Arial"/>
          <w:sz w:val="16"/>
          <w:szCs w:val="16"/>
          <w:color w:val="32406B"/>
        </w:rPr>
        <w:t>Our cloud-native platform was purpose-built to scale with organizations as they grow in size and complexity. Our platform</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52" w:lineRule="exact"/>
        <w:rPr>
          <w:rFonts w:ascii="Arial" w:cs="Arial" w:eastAsia="Arial" w:hAnsi="Arial"/>
          <w:sz w:val="16"/>
          <w:szCs w:val="16"/>
          <w:color w:val="32406B"/>
        </w:rPr>
      </w:pPr>
    </w:p>
    <w:p>
      <w:pPr>
        <w:ind w:left="1060" w:right="180" w:hanging="424"/>
        <w:spacing w:after="0" w:line="276" w:lineRule="auto"/>
        <w:tabs>
          <w:tab w:leader="none" w:pos="1060" w:val="left"/>
        </w:tabs>
        <w:numPr>
          <w:ilvl w:val="0"/>
          <w:numId w:val="48"/>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Integrated. </w:t>
      </w:r>
      <w:r>
        <w:rPr>
          <w:rFonts w:ascii="Arial" w:cs="Arial" w:eastAsia="Arial" w:hAnsi="Arial"/>
          <w:sz w:val="17"/>
          <w:szCs w:val="17"/>
          <w:color w:val="32406B"/>
        </w:rPr>
        <w:t>Our robust integrations and partner ecosystem enable organizations to connect our platform seamlessly with both existing</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77" w:lineRule="exact"/>
        <w:rPr>
          <w:rFonts w:ascii="Arial" w:cs="Arial" w:eastAsia="Arial" w:hAnsi="Arial"/>
          <w:sz w:val="17"/>
          <w:szCs w:val="17"/>
          <w:color w:val="32406B"/>
        </w:rPr>
      </w:pPr>
    </w:p>
    <w:p>
      <w:pPr>
        <w:ind w:left="1060" w:right="140" w:hanging="424"/>
        <w:spacing w:after="0" w:line="255" w:lineRule="auto"/>
        <w:tabs>
          <w:tab w:leader="none" w:pos="1060" w:val="left"/>
        </w:tabs>
        <w:numPr>
          <w:ilvl w:val="0"/>
          <w:numId w:val="4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Flexible terms. </w:t>
      </w:r>
      <w:r>
        <w:rPr>
          <w:rFonts w:ascii="Arial" w:cs="Arial" w:eastAsia="Arial" w:hAnsi="Arial"/>
          <w:sz w:val="18"/>
          <w:szCs w:val="18"/>
          <w:color w:val="32406B"/>
        </w:rPr>
        <w:t>We allow organizations to purchase subscriptions to our communications platform that are right-sized for their business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needs. Customers can subscribe to our communications platform based on the number of hosts that they require on a month-to-month basis or purchase one- to multi-year subscriptions. In general, customers are not obligated to extend the term of their subscriptions beyond the contract term and can cancel their subscriptions at any time, although any amounts owed under the contract term remain due and payable. We are not obligated to provide refunds for services for which payment has already been made. The average term for our multi-year contracts is 2.4 years.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Competitive Strengths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We believe that we have a number of competitive advantages that will enable us to maintain and extend our leadership in communications. Our competitive strengths include:</w:t>
      </w:r>
    </w:p>
    <w:p>
      <w:pPr>
        <w:spacing w:after="0" w:line="76" w:lineRule="exact"/>
        <w:rPr>
          <w:sz w:val="20"/>
          <w:szCs w:val="20"/>
          <w:color w:val="auto"/>
        </w:rPr>
      </w:pPr>
    </w:p>
    <w:p>
      <w:pPr>
        <w:ind w:left="1060" w:hanging="424"/>
        <w:spacing w:after="0" w:line="279" w:lineRule="auto"/>
        <w:tabs>
          <w:tab w:leader="none" w:pos="1060" w:val="left"/>
        </w:tabs>
        <w:numPr>
          <w:ilvl w:val="0"/>
          <w:numId w:val="49"/>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Video-first cloud architecture. </w:t>
      </w:r>
      <w:r>
        <w:rPr>
          <w:rFonts w:ascii="Arial" w:cs="Arial" w:eastAsia="Arial" w:hAnsi="Arial"/>
          <w:sz w:val="17"/>
          <w:szCs w:val="17"/>
          <w:color w:val="32406B"/>
        </w:rPr>
        <w:t>We built our platform from the ground up to be cloud-native and video-first, unlike other approaches that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have attempted to add video to an aging, pre-existing conference call 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76" w:lineRule="exact"/>
        <w:rPr>
          <w:rFonts w:ascii="Arial" w:cs="Arial" w:eastAsia="Arial" w:hAnsi="Arial"/>
          <w:sz w:val="17"/>
          <w:szCs w:val="17"/>
          <w:color w:val="32406B"/>
        </w:rPr>
      </w:pPr>
    </w:p>
    <w:p>
      <w:pPr>
        <w:ind w:left="1060" w:right="20" w:hanging="424"/>
        <w:spacing w:after="0" w:line="276" w:lineRule="auto"/>
        <w:tabs>
          <w:tab w:leader="none" w:pos="1060" w:val="left"/>
        </w:tabs>
        <w:numPr>
          <w:ilvl w:val="0"/>
          <w:numId w:val="49"/>
        </w:numPr>
        <w:rPr>
          <w:rFonts w:ascii="Arial" w:cs="Arial" w:eastAsia="Arial" w:hAnsi="Arial"/>
          <w:sz w:val="17"/>
          <w:szCs w:val="17"/>
          <w:color w:val="32406B"/>
        </w:rPr>
      </w:pPr>
      <w:r>
        <w:rPr>
          <w:rFonts w:ascii="Arial" w:cs="Arial" w:eastAsia="Arial" w:hAnsi="Arial"/>
          <w:sz w:val="17"/>
          <w:szCs w:val="17"/>
          <w:b w:val="1"/>
          <w:bCs w:val="1"/>
          <w:i w:val="1"/>
          <w:iCs w:val="1"/>
          <w:color w:val="32406B"/>
        </w:rPr>
        <w:t>A recognized market leader</w:t>
      </w:r>
      <w:r>
        <w:rPr>
          <w:rFonts w:ascii="Arial" w:cs="Arial" w:eastAsia="Arial" w:hAnsi="Arial"/>
          <w:sz w:val="17"/>
          <w:szCs w:val="17"/>
          <w:color w:val="32406B"/>
        </w:rPr>
        <w:t>. We have been recognized by industry analysts as a market leader. For the third consecutive year, Gartner has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named Zoom a Leader in its Magic Quadrant for Meeting Solutions (previously named Magic Quadrant for Web Conferencing). Gartner recognized Zoom in the Leaders quadrant based on our “ability to execute” and “completeness of vision.” G2 Crowd recognized Zoom as the leading pacesetter in the industry in its 2018 Momentum Grid of Video Conferencing. Zoom is also Frost &amp; Sullivan’s 2019 Company of the Year Award recipient for the Global Video Conferencing Industry.</w:t>
      </w:r>
    </w:p>
    <w:p>
      <w:pPr>
        <w:spacing w:after="0" w:line="77" w:lineRule="exact"/>
        <w:rPr>
          <w:rFonts w:ascii="Arial" w:cs="Arial" w:eastAsia="Arial" w:hAnsi="Arial"/>
          <w:sz w:val="17"/>
          <w:szCs w:val="17"/>
          <w:color w:val="32406B"/>
        </w:rPr>
      </w:pPr>
    </w:p>
    <w:p>
      <w:pPr>
        <w:jc w:val="both"/>
        <w:ind w:left="1060" w:right="20" w:hanging="424"/>
        <w:spacing w:after="0" w:line="286" w:lineRule="auto"/>
        <w:tabs>
          <w:tab w:leader="none" w:pos="1060" w:val="left"/>
        </w:tabs>
        <w:numPr>
          <w:ilvl w:val="0"/>
          <w:numId w:val="49"/>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Viral demand driven by individual users. </w:t>
      </w:r>
      <w:r>
        <w:rPr>
          <w:rFonts w:ascii="Arial" w:cs="Arial" w:eastAsia="Arial" w:hAnsi="Arial"/>
          <w:sz w:val="17"/>
          <w:szCs w:val="17"/>
          <w:color w:val="32406B"/>
        </w:rPr>
        <w:t>Our rapid adoption is driven by a virtuous cycle of positive user experiences. Individuals typically</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begin using our platform when a colleague or associate invites them to a Zoom meeting. We allow anyone to join or host a meeting for free. When attendees experience our platform and realize the benefits, they often become paying customers to unlock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82</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342" w:lineRule="auto"/>
        <w:rPr>
          <w:sz w:val="20"/>
          <w:szCs w:val="20"/>
          <w:color w:val="auto"/>
        </w:rPr>
      </w:pPr>
      <w:r>
        <w:rPr>
          <w:rFonts w:ascii="Arial" w:cs="Arial" w:eastAsia="Arial" w:hAnsi="Arial"/>
          <w:sz w:val="16"/>
          <w:szCs w:val="16"/>
          <w:color w:val="32406B"/>
        </w:rPr>
        <w:t>additional functionality. This user adoption model facilitates user growth and helps drive penetration within large organizations. The success of our user adoption model is reflected in our net dollar expansion rate of over 130% for the trailing 12 months ended January 31, 2019.</w:t>
      </w:r>
    </w:p>
    <w:p>
      <w:pPr>
        <w:spacing w:after="0" w:line="29" w:lineRule="exact"/>
        <w:rPr>
          <w:sz w:val="20"/>
          <w:szCs w:val="20"/>
          <w:color w:val="auto"/>
        </w:rPr>
      </w:pPr>
    </w:p>
    <w:p>
      <w:pPr>
        <w:ind w:left="1060" w:hanging="424"/>
        <w:spacing w:after="0" w:line="259" w:lineRule="auto"/>
        <w:tabs>
          <w:tab w:leader="none" w:pos="1060" w:val="left"/>
        </w:tabs>
        <w:numPr>
          <w:ilvl w:val="0"/>
          <w:numId w:val="50"/>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Growing base of happy customers. </w:t>
      </w:r>
      <w:r>
        <w:rPr>
          <w:rFonts w:ascii="Arial" w:cs="Arial" w:eastAsia="Arial" w:hAnsi="Arial"/>
          <w:sz w:val="18"/>
          <w:szCs w:val="18"/>
          <w:color w:val="32406B"/>
        </w:rPr>
        <w:t>We believe that making and keeping users happy is critical to growing our business. We use NPS data as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 numerical expression of customer happiness. We believe that our customer NPS, which averaged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92" w:lineRule="exact"/>
        <w:rPr>
          <w:rFonts w:ascii="Arial" w:cs="Arial" w:eastAsia="Arial" w:hAnsi="Arial"/>
          <w:sz w:val="18"/>
          <w:szCs w:val="18"/>
          <w:color w:val="32406B"/>
        </w:rPr>
      </w:pPr>
    </w:p>
    <w:p>
      <w:pPr>
        <w:ind w:left="1060" w:right="80" w:hanging="424"/>
        <w:spacing w:after="0" w:line="255" w:lineRule="auto"/>
        <w:tabs>
          <w:tab w:leader="none" w:pos="1060" w:val="left"/>
        </w:tabs>
        <w:numPr>
          <w:ilvl w:val="0"/>
          <w:numId w:val="50"/>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Multipronged go-to-market strategy. </w:t>
      </w:r>
      <w:r>
        <w:rPr>
          <w:rFonts w:ascii="Arial" w:cs="Arial" w:eastAsia="Arial" w:hAnsi="Arial"/>
          <w:sz w:val="18"/>
          <w:szCs w:val="18"/>
          <w:color w:val="32406B"/>
        </w:rPr>
        <w:t>We have a multipronged, go-to-market strategy that integrates the viral enthusiasm for our platform</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with optimal routes-to-market that match the size of the customer opportunity. Our direct sales force and strategic partners sell to customers of all sizes, and we leverage our online sales channel for smaller customers. Our platform and sales model allow us to turn a single non-paying user into a full enterprise deployment. Many of our customers started with only a single user on the free version. For the fiscal year ended January 31, 2019, 55% of our 344 customers that contributed more than $100,000 of revenue started with at least one free host prior to subscribing. These 344 customers contributed 30% of revenue in the fiscal year ended January 31, 2019, underscoring the power of our model.</w:t>
      </w:r>
    </w:p>
    <w:p>
      <w:pPr>
        <w:spacing w:after="0" w:line="94" w:lineRule="exact"/>
        <w:rPr>
          <w:rFonts w:ascii="Arial" w:cs="Arial" w:eastAsia="Arial" w:hAnsi="Arial"/>
          <w:sz w:val="18"/>
          <w:szCs w:val="18"/>
          <w:color w:val="32406B"/>
        </w:rPr>
      </w:pPr>
    </w:p>
    <w:p>
      <w:pPr>
        <w:ind w:left="1060" w:right="120" w:hanging="424"/>
        <w:spacing w:after="0" w:line="255" w:lineRule="auto"/>
        <w:tabs>
          <w:tab w:leader="none" w:pos="1060" w:val="left"/>
        </w:tabs>
        <w:numPr>
          <w:ilvl w:val="0"/>
          <w:numId w:val="50"/>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Robust customer support and success function. </w:t>
      </w:r>
      <w:r>
        <w:rPr>
          <w:rFonts w:ascii="Arial" w:cs="Arial" w:eastAsia="Arial" w:hAnsi="Arial"/>
          <w:sz w:val="18"/>
          <w:szCs w:val="18"/>
          <w:color w:val="32406B"/>
        </w:rPr>
        <w:t>We offer 24/7/365 support through live chat, phone and video for paying customers. Free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January 31, 2019, our customer support team had a customer satisfaction score (CSAT) of over 90%.</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Culture of Happiness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32406B"/>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culture of delivering happiness drives our mission, vision and values and is fundamental to everything we do at Zoom:</w:t>
      </w:r>
    </w:p>
    <w:p>
      <w:pPr>
        <w:spacing w:after="0" w:line="131" w:lineRule="exact"/>
        <w:rPr>
          <w:sz w:val="20"/>
          <w:szCs w:val="20"/>
          <w:color w:val="auto"/>
        </w:rPr>
      </w:pPr>
    </w:p>
    <w:p>
      <w:pPr>
        <w:ind w:left="1060" w:hanging="424"/>
        <w:spacing w:after="0"/>
        <w:tabs>
          <w:tab w:leader="none" w:pos="1060" w:val="left"/>
        </w:tabs>
        <w:numPr>
          <w:ilvl w:val="0"/>
          <w:numId w:val="51"/>
        </w:numPr>
        <w:rPr>
          <w:rFonts w:ascii="Arial" w:cs="Arial" w:eastAsia="Arial" w:hAnsi="Arial"/>
          <w:sz w:val="18"/>
          <w:szCs w:val="18"/>
          <w:color w:val="32406B"/>
        </w:rPr>
      </w:pPr>
      <w:r>
        <w:rPr>
          <w:rFonts w:ascii="Arial" w:cs="Arial" w:eastAsia="Arial" w:hAnsi="Arial"/>
          <w:sz w:val="18"/>
          <w:szCs w:val="18"/>
          <w:b w:val="1"/>
          <w:bCs w:val="1"/>
          <w:i w:val="1"/>
          <w:iCs w:val="1"/>
          <w:color w:val="32406B"/>
        </w:rPr>
        <w:t>Mission</w:t>
      </w:r>
      <w:r>
        <w:rPr>
          <w:rFonts w:ascii="Arial" w:cs="Arial" w:eastAsia="Arial" w:hAnsi="Arial"/>
          <w:sz w:val="18"/>
          <w:szCs w:val="18"/>
          <w:color w:val="32406B"/>
        </w:rPr>
        <w:t>. Our mission is to make video communications frictionless.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1"/>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Vision. </w:t>
      </w:r>
      <w:r>
        <w:rPr>
          <w:rFonts w:ascii="Arial" w:cs="Arial" w:eastAsia="Arial" w:hAnsi="Arial"/>
          <w:sz w:val="18"/>
          <w:szCs w:val="18"/>
          <w:color w:val="32406B"/>
        </w:rPr>
        <w:t>Our vision is to empower people to accomplish more through video communications.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1"/>
        </w:numPr>
        <w:rPr>
          <w:rFonts w:ascii="Arial" w:cs="Arial" w:eastAsia="Arial" w:hAnsi="Arial"/>
          <w:sz w:val="18"/>
          <w:szCs w:val="18"/>
          <w:color w:val="32406B"/>
        </w:rPr>
      </w:pPr>
      <w:r>
        <w:rPr>
          <w:rFonts w:ascii="Arial" w:cs="Arial" w:eastAsia="Arial" w:hAnsi="Arial"/>
          <w:sz w:val="18"/>
          <w:szCs w:val="18"/>
          <w:b w:val="1"/>
          <w:bCs w:val="1"/>
          <w:i w:val="1"/>
          <w:iCs w:val="1"/>
          <w:color w:val="32406B"/>
        </w:rPr>
        <w:t>Values</w:t>
      </w:r>
      <w:r>
        <w:rPr>
          <w:rFonts w:ascii="Arial" w:cs="Arial" w:eastAsia="Arial" w:hAnsi="Arial"/>
          <w:sz w:val="18"/>
          <w:szCs w:val="18"/>
          <w:color w:val="32406B"/>
        </w:rPr>
        <w:t>. We care for our community, our customers, our company, our teammates and ourselves.</w:t>
      </w:r>
    </w:p>
    <w:p>
      <w:pPr>
        <w:spacing w:after="0" w:line="22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32406B"/>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Market Opportunity</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32406B"/>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information workers could benefit from our platform’s ability to connect people through frictionless video, voice, chat and content sharing. According to a Forrester Consulting report commissioned by Morgan Stanley, there were 1.25 billion information workers globally in 2018.</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Growth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focus on the following elements of our strategy to drive our growth:</w:t>
      </w:r>
    </w:p>
    <w:p>
      <w:pPr>
        <w:spacing w:after="0" w:line="131" w:lineRule="exact"/>
        <w:rPr>
          <w:sz w:val="20"/>
          <w:szCs w:val="20"/>
          <w:color w:val="auto"/>
        </w:rPr>
      </w:pPr>
    </w:p>
    <w:p>
      <w:pPr>
        <w:ind w:left="1060" w:right="20" w:hanging="424"/>
        <w:spacing w:after="0" w:line="286" w:lineRule="auto"/>
        <w:tabs>
          <w:tab w:leader="none" w:pos="1060" w:val="left"/>
        </w:tabs>
        <w:numPr>
          <w:ilvl w:val="0"/>
          <w:numId w:val="52"/>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Keep our existing customers happy. </w:t>
      </w:r>
      <w:r>
        <w:rPr>
          <w:rFonts w:ascii="Arial" w:cs="Arial" w:eastAsia="Arial" w:hAnsi="Arial"/>
          <w:sz w:val="17"/>
          <w:szCs w:val="17"/>
          <w:color w:val="32406B"/>
        </w:rPr>
        <w:t>We provide happiness to our customers by giving them an experience that delights them. We respond to</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70" w:lineRule="exact"/>
        <w:rPr>
          <w:rFonts w:ascii="Arial" w:cs="Arial" w:eastAsia="Arial" w:hAnsi="Arial"/>
          <w:sz w:val="17"/>
          <w:szCs w:val="17"/>
          <w:color w:val="32406B"/>
        </w:rPr>
      </w:pPr>
    </w:p>
    <w:p>
      <w:pPr>
        <w:ind w:left="1060" w:right="80" w:hanging="424"/>
        <w:spacing w:after="0" w:line="276" w:lineRule="auto"/>
        <w:tabs>
          <w:tab w:leader="none" w:pos="1060" w:val="left"/>
        </w:tabs>
        <w:numPr>
          <w:ilvl w:val="0"/>
          <w:numId w:val="52"/>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Drive new customer acquisition. </w:t>
      </w:r>
      <w:r>
        <w:rPr>
          <w:rFonts w:ascii="Arial" w:cs="Arial" w:eastAsia="Arial" w:hAnsi="Arial"/>
          <w:sz w:val="17"/>
          <w:szCs w:val="17"/>
          <w:color w:val="32406B"/>
        </w:rPr>
        <w:t>Our platform is designed to make it easy to host meetings. By attracting free hosts to use our platform, we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77" w:lineRule="exact"/>
        <w:rPr>
          <w:rFonts w:ascii="Arial" w:cs="Arial" w:eastAsia="Arial" w:hAnsi="Arial"/>
          <w:sz w:val="17"/>
          <w:szCs w:val="17"/>
          <w:color w:val="32406B"/>
        </w:rPr>
      </w:pPr>
    </w:p>
    <w:p>
      <w:pPr>
        <w:ind w:left="1060" w:right="160" w:hanging="424"/>
        <w:spacing w:after="0" w:line="264" w:lineRule="auto"/>
        <w:tabs>
          <w:tab w:leader="none" w:pos="1060" w:val="left"/>
        </w:tabs>
        <w:numPr>
          <w:ilvl w:val="0"/>
          <w:numId w:val="52"/>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Expand within existing customers. </w:t>
      </w:r>
      <w:r>
        <w:rPr>
          <w:rFonts w:ascii="Arial" w:cs="Arial" w:eastAsia="Arial" w:hAnsi="Arial"/>
          <w:sz w:val="18"/>
          <w:szCs w:val="18"/>
          <w:color w:val="32406B"/>
        </w:rPr>
        <w:t>As organizations experience our video platform and become familiar with its benefits, more teams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departments within these organizations adopt Zoom. Our platform may begin in a line of business and then organically expand across departments. This “land and expand” model has led to some of our largest deployments.</w:t>
      </w:r>
    </w:p>
    <w:p>
      <w:pPr>
        <w:spacing w:after="0" w:line="86" w:lineRule="exact"/>
        <w:rPr>
          <w:rFonts w:ascii="Arial" w:cs="Arial" w:eastAsia="Arial" w:hAnsi="Arial"/>
          <w:sz w:val="18"/>
          <w:szCs w:val="18"/>
          <w:color w:val="32406B"/>
        </w:rPr>
      </w:pPr>
    </w:p>
    <w:p>
      <w:pPr>
        <w:ind w:left="1060" w:right="80" w:hanging="424"/>
        <w:spacing w:after="0" w:line="259" w:lineRule="auto"/>
        <w:tabs>
          <w:tab w:leader="none" w:pos="1060" w:val="left"/>
        </w:tabs>
        <w:numPr>
          <w:ilvl w:val="0"/>
          <w:numId w:val="52"/>
        </w:numPr>
        <w:rPr>
          <w:rFonts w:ascii="Arial" w:cs="Arial" w:eastAsia="Arial" w:hAnsi="Arial"/>
          <w:sz w:val="18"/>
          <w:szCs w:val="18"/>
          <w:color w:val="32406B"/>
        </w:rPr>
      </w:pPr>
      <w:r>
        <w:rPr>
          <w:rFonts w:ascii="Arial" w:cs="Arial" w:eastAsia="Arial" w:hAnsi="Arial"/>
          <w:sz w:val="18"/>
          <w:szCs w:val="18"/>
          <w:b w:val="1"/>
          <w:bCs w:val="1"/>
          <w:i w:val="1"/>
          <w:iCs w:val="1"/>
          <w:color w:val="32406B"/>
        </w:rPr>
        <w:t>Innovate our platform continuously</w:t>
      </w:r>
      <w:r>
        <w:rPr>
          <w:rFonts w:ascii="Arial" w:cs="Arial" w:eastAsia="Arial" w:hAnsi="Arial"/>
          <w:sz w:val="18"/>
          <w:szCs w:val="18"/>
          <w:color w:val="32406B"/>
        </w:rPr>
        <w:t>. Our engineers aim to stay on the cutting edge of video communication and collaboration technologies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92" w:lineRule="exact"/>
        <w:rPr>
          <w:rFonts w:ascii="Arial" w:cs="Arial" w:eastAsia="Arial" w:hAnsi="Arial"/>
          <w:sz w:val="18"/>
          <w:szCs w:val="18"/>
          <w:color w:val="32406B"/>
        </w:rPr>
      </w:pPr>
    </w:p>
    <w:p>
      <w:pPr>
        <w:ind w:left="1060" w:right="100" w:hanging="424"/>
        <w:spacing w:after="0" w:line="312" w:lineRule="auto"/>
        <w:tabs>
          <w:tab w:leader="none" w:pos="1060" w:val="left"/>
        </w:tabs>
        <w:numPr>
          <w:ilvl w:val="0"/>
          <w:numId w:val="52"/>
        </w:numPr>
        <w:rPr>
          <w:rFonts w:ascii="Arial" w:cs="Arial" w:eastAsia="Arial" w:hAnsi="Arial"/>
          <w:sz w:val="16"/>
          <w:szCs w:val="16"/>
          <w:color w:val="32406B"/>
        </w:rPr>
      </w:pPr>
      <w:r>
        <w:rPr>
          <w:rFonts w:ascii="Arial" w:cs="Arial" w:eastAsia="Arial" w:hAnsi="Arial"/>
          <w:sz w:val="16"/>
          <w:szCs w:val="16"/>
          <w:b w:val="1"/>
          <w:bCs w:val="1"/>
          <w:i w:val="1"/>
          <w:iCs w:val="1"/>
          <w:color w:val="32406B"/>
        </w:rPr>
        <w:t xml:space="preserve">Accelerate international expansion. </w:t>
      </w:r>
      <w:r>
        <w:rPr>
          <w:rFonts w:ascii="Arial" w:cs="Arial" w:eastAsia="Arial" w:hAnsi="Arial"/>
          <w:sz w:val="16"/>
          <w:szCs w:val="16"/>
          <w:color w:val="32406B"/>
        </w:rPr>
        <w:t>With users, offices and data centers strategically located around the world, we are poised to reach new</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52" w:lineRule="exact"/>
        <w:rPr>
          <w:rFonts w:ascii="Arial" w:cs="Arial" w:eastAsia="Arial" w:hAnsi="Arial"/>
          <w:sz w:val="16"/>
          <w:szCs w:val="16"/>
          <w:color w:val="32406B"/>
        </w:rPr>
      </w:pPr>
    </w:p>
    <w:p>
      <w:pPr>
        <w:ind w:left="1060" w:hanging="424"/>
        <w:spacing w:after="0" w:line="255" w:lineRule="auto"/>
        <w:tabs>
          <w:tab w:leader="none" w:pos="1060" w:val="left"/>
        </w:tabs>
        <w:numPr>
          <w:ilvl w:val="0"/>
          <w:numId w:val="52"/>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Grow our partnership ecosystem and continue to expand our platform. </w:t>
      </w:r>
      <w:r>
        <w:rPr>
          <w:rFonts w:ascii="Arial" w:cs="Arial" w:eastAsia="Arial" w:hAnsi="Arial"/>
          <w:sz w:val="18"/>
          <w:szCs w:val="18"/>
          <w:color w:val="32406B"/>
        </w:rPr>
        <w:t>Our platform integrates easily with other systems and tools. We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Products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We provide a video-first communications platform that delivers happiness and fundamentally changes how people interact, connecting them through frictionless video, voice, chat and content sharing. Our products include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84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32406B"/>
        </w:rPr>
        <w:t>Zoom Meetings (including Zoom Chat), Zoom Rooms, Zoom Conference Room Connector, Zoom Phone,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245745</wp:posOffset>
            </wp:positionV>
            <wp:extent cx="2615565" cy="26155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1556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Zoom Meetings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32406B"/>
        </w:rPr>
        <w:t>Zoom Chat</w:t>
      </w:r>
      <w:r>
        <w:rPr>
          <w:rFonts w:ascii="Arial" w:cs="Arial" w:eastAsia="Arial" w:hAnsi="Arial"/>
          <w:sz w:val="17"/>
          <w:szCs w:val="17"/>
          <w:color w:val="32406B"/>
        </w:rPr>
        <w:t>, a feature of our Zoom Meetings platform, allows users to send texts, images, audio files and content instantly across desktop, laptop,</w:t>
      </w:r>
      <w:r>
        <w:rPr>
          <w:rFonts w:ascii="Arial" w:cs="Arial" w:eastAsia="Arial" w:hAnsi="Arial"/>
          <w:sz w:val="17"/>
          <w:szCs w:val="17"/>
          <w:i w:val="1"/>
          <w:iCs w:val="1"/>
          <w:color w:val="32406B"/>
        </w:rPr>
        <w:t xml:space="preserve"> </w:t>
      </w:r>
      <w:r>
        <w:rPr>
          <w:rFonts w:ascii="Arial" w:cs="Arial" w:eastAsia="Arial" w:hAnsi="Arial"/>
          <w:sz w:val="17"/>
          <w:szCs w:val="17"/>
          <w:color w:val="32406B"/>
        </w:rPr>
        <w:t>tablet and mobile devices. Organizations use messaging to collaborate in groups or 1-1 channels, share files and information and stay connected. Chat allows easy invitation to people outside a user’s organization, and users can easily switch from a chat to a video meeting during a conversation. Zoom Chat can also store content, offering discoverability to users who want to review their conversations or shared files.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Zoom Rooms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Zoom Rooms is our software-based conference room system, which enables users to have frictionless Zoom Meetings in their physical meeting spaces. Running on third-party off-the-shelf hardware, Zoom Rooms is a cost-effective way to outfit meeting spaces at scale with video and voice conferencing, wireless content sharing and calendar integrations. This adaptable platform brings video to conference, huddle and training rooms, as well as executive offices, clinics and classrooms. The use of affordable, off-the-shelf hardware means that companies can outfit many more rooms with video instead of a few key executive conference rooms.</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32406B"/>
        </w:rPr>
        <w:t>Zoom Rooms Scheduling Display</w:t>
      </w:r>
      <w:r>
        <w:rPr>
          <w:rFonts w:ascii="Arial" w:cs="Arial" w:eastAsia="Arial" w:hAnsi="Arial"/>
          <w:sz w:val="18"/>
          <w:szCs w:val="18"/>
          <w:color w:val="32406B"/>
        </w:rPr>
        <w:t>, running on an iOS or Android tablet outside the conferencing space, allows users to see upcoming meetings,</w:t>
      </w:r>
      <w:r>
        <w:rPr>
          <w:rFonts w:ascii="Arial" w:cs="Arial" w:eastAsia="Arial" w:hAnsi="Arial"/>
          <w:sz w:val="18"/>
          <w:szCs w:val="18"/>
          <w:i w:val="1"/>
          <w:iCs w:val="1"/>
          <w:color w:val="32406B"/>
        </w:rPr>
        <w:t xml:space="preserve"> </w:t>
      </w:r>
      <w:r>
        <w:rPr>
          <w:rFonts w:ascii="Arial" w:cs="Arial" w:eastAsia="Arial" w:hAnsi="Arial"/>
          <w:sz w:val="18"/>
          <w:szCs w:val="18"/>
          <w:color w:val="32406B"/>
        </w:rPr>
        <w:t>check in and schedule spontaneous meetings.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i w:val="1"/>
          <w:iCs w:val="1"/>
          <w:color w:val="32406B"/>
        </w:rPr>
        <w:t>Zoom Rooms Digital Signage</w:t>
      </w:r>
      <w:r>
        <w:rPr>
          <w:rFonts w:ascii="Arial" w:cs="Arial" w:eastAsia="Arial" w:hAnsi="Arial"/>
          <w:sz w:val="18"/>
          <w:szCs w:val="18"/>
          <w:color w:val="32406B"/>
        </w:rPr>
        <w:t>, running on commodity monitors, enables organizations to display content in common spaces and meeting spaces</w:t>
      </w:r>
      <w:r>
        <w:rPr>
          <w:rFonts w:ascii="Arial" w:cs="Arial" w:eastAsia="Arial" w:hAnsi="Arial"/>
          <w:sz w:val="18"/>
          <w:szCs w:val="18"/>
          <w:i w:val="1"/>
          <w:iCs w:val="1"/>
          <w:color w:val="32406B"/>
        </w:rPr>
        <w:t xml:space="preserve"> </w:t>
      </w:r>
      <w:r>
        <w:rPr>
          <w:rFonts w:ascii="Arial" w:cs="Arial" w:eastAsia="Arial" w:hAnsi="Arial"/>
          <w:sz w:val="18"/>
          <w:szCs w:val="18"/>
          <w:color w:val="32406B"/>
        </w:rPr>
        <w:t>for corporate communications, internal marketing and branding.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Zoom Conference Room Connector</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The Zoom Conference Room Connector is a gateway for H.323 and SIP devices to join Zoom meetings. For organizations that use H.323 or SIP conference room systems from providers such as Polycom and Cisco, Zoom’s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Zoom Phone</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32406B"/>
        </w:rPr>
        <w:t>Zoom Phone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Zoom Video Webinars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Zoom Video Webinars allows users to conduct large-scale online events such as town hall meetings, workshops and marketing presentations. Up to 100 panelists with full video, voice, chat and content sharing are able to communicate to over 10,000 view-only attendees. Zoom Video Webinars includes features such as Q&amp;A, reporting, invitations and CRM and marketing automation software integrations. It also easily integrates with Facebook Live and YouTube, providing access to large bases of viewers.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Zoom for Developers and Zoom App Marketplace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32406B"/>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140 million API engagements per month for the 12 months ended January 31, 2019.</w:t>
      </w:r>
    </w:p>
    <w:p>
      <w:pPr>
        <w:spacing w:after="0" w:line="17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32406B"/>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Microsoft Teams and YouTube.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Technology and Infrastructure</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32406B"/>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32406B"/>
        </w:rPr>
        <w:t>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technology and infrastructure have the following key strengths:</w:t>
      </w:r>
    </w:p>
    <w:p>
      <w:pPr>
        <w:spacing w:after="0" w:line="127" w:lineRule="exact"/>
        <w:rPr>
          <w:sz w:val="20"/>
          <w:szCs w:val="20"/>
          <w:color w:val="auto"/>
        </w:rPr>
      </w:pPr>
    </w:p>
    <w:p>
      <w:pPr>
        <w:ind w:left="1060" w:hanging="424"/>
        <w:spacing w:after="0" w:line="314" w:lineRule="auto"/>
        <w:tabs>
          <w:tab w:leader="none" w:pos="1060" w:val="left"/>
        </w:tabs>
        <w:numPr>
          <w:ilvl w:val="0"/>
          <w:numId w:val="53"/>
        </w:numPr>
        <w:rPr>
          <w:rFonts w:ascii="Arial" w:cs="Arial" w:eastAsia="Arial" w:hAnsi="Arial"/>
          <w:sz w:val="16"/>
          <w:szCs w:val="16"/>
          <w:color w:val="32406B"/>
        </w:rPr>
      </w:pPr>
      <w:r>
        <w:rPr>
          <w:rFonts w:ascii="Arial" w:cs="Arial" w:eastAsia="Arial" w:hAnsi="Arial"/>
          <w:sz w:val="16"/>
          <w:szCs w:val="16"/>
          <w:b w:val="1"/>
          <w:bCs w:val="1"/>
          <w:i w:val="1"/>
          <w:iCs w:val="1"/>
          <w:color w:val="32406B"/>
        </w:rPr>
        <w:t>Architectural separation of content processing from stream routing</w:t>
      </w:r>
      <w:r>
        <w:rPr>
          <w:rFonts w:ascii="Arial" w:cs="Arial" w:eastAsia="Arial" w:hAnsi="Arial"/>
          <w:sz w:val="16"/>
          <w:szCs w:val="16"/>
          <w:b w:val="1"/>
          <w:b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Client-side processing for encoding and decoding, our MMR for</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47" w:lineRule="exact"/>
        <w:rPr>
          <w:rFonts w:ascii="Arial" w:cs="Arial" w:eastAsia="Arial" w:hAnsi="Arial"/>
          <w:sz w:val="16"/>
          <w:szCs w:val="16"/>
          <w:color w:val="32406B"/>
        </w:rPr>
      </w:pPr>
    </w:p>
    <w:p>
      <w:pPr>
        <w:ind w:left="1060" w:right="180" w:hanging="424"/>
        <w:spacing w:after="0" w:line="298" w:lineRule="auto"/>
        <w:tabs>
          <w:tab w:leader="none" w:pos="1060" w:val="left"/>
        </w:tabs>
        <w:numPr>
          <w:ilvl w:val="0"/>
          <w:numId w:val="53"/>
        </w:numPr>
        <w:rPr>
          <w:rFonts w:ascii="Arial" w:cs="Arial" w:eastAsia="Arial" w:hAnsi="Arial"/>
          <w:sz w:val="16"/>
          <w:szCs w:val="16"/>
          <w:color w:val="32406B"/>
        </w:rPr>
      </w:pPr>
      <w:r>
        <w:rPr>
          <w:rFonts w:ascii="Arial" w:cs="Arial" w:eastAsia="Arial" w:hAnsi="Arial"/>
          <w:sz w:val="16"/>
          <w:szCs w:val="16"/>
          <w:b w:val="1"/>
          <w:bCs w:val="1"/>
          <w:i w:val="1"/>
          <w:iCs w:val="1"/>
          <w:color w:val="32406B"/>
        </w:rPr>
        <w:t>Distributed cloud-native infrastructure from the start</w:t>
      </w:r>
      <w:r>
        <w:rPr>
          <w:rFonts w:ascii="Arial" w:cs="Arial" w:eastAsia="Arial" w:hAnsi="Arial"/>
          <w:sz w:val="16"/>
          <w:szCs w:val="16"/>
          <w:b w:val="1"/>
          <w:b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From day one, we have invested in a distributed architecture and load balancing to</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59" w:lineRule="exact"/>
        <w:rPr>
          <w:rFonts w:ascii="Arial" w:cs="Arial" w:eastAsia="Arial" w:hAnsi="Arial"/>
          <w:sz w:val="16"/>
          <w:szCs w:val="16"/>
          <w:color w:val="32406B"/>
        </w:rPr>
      </w:pPr>
    </w:p>
    <w:p>
      <w:pPr>
        <w:ind w:left="1060" w:right="220" w:hanging="424"/>
        <w:spacing w:after="0" w:line="314" w:lineRule="auto"/>
        <w:tabs>
          <w:tab w:leader="none" w:pos="1060" w:val="left"/>
        </w:tabs>
        <w:numPr>
          <w:ilvl w:val="0"/>
          <w:numId w:val="53"/>
        </w:numPr>
        <w:rPr>
          <w:rFonts w:ascii="Arial" w:cs="Arial" w:eastAsia="Arial" w:hAnsi="Arial"/>
          <w:sz w:val="16"/>
          <w:szCs w:val="16"/>
          <w:color w:val="32406B"/>
        </w:rPr>
      </w:pPr>
      <w:r>
        <w:rPr>
          <w:rFonts w:ascii="Arial" w:cs="Arial" w:eastAsia="Arial" w:hAnsi="Arial"/>
          <w:sz w:val="16"/>
          <w:szCs w:val="16"/>
          <w:b w:val="1"/>
          <w:bCs w:val="1"/>
          <w:i w:val="1"/>
          <w:iCs w:val="1"/>
          <w:color w:val="32406B"/>
        </w:rPr>
        <w:t>Proactive quality of service application layer at client</w:t>
      </w:r>
      <w:r>
        <w:rPr>
          <w:rFonts w:ascii="Arial" w:cs="Arial" w:eastAsia="Arial" w:hAnsi="Arial"/>
          <w:sz w:val="16"/>
          <w:szCs w:val="16"/>
          <w:b w:val="1"/>
          <w:bCs w:val="1"/>
          <w:color w:val="32406B"/>
        </w:rPr>
        <w: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Our optimization technology is based on proprietary algorithms that detect packet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47" w:lineRule="exact"/>
        <w:rPr>
          <w:rFonts w:ascii="Arial" w:cs="Arial" w:eastAsia="Arial" w:hAnsi="Arial"/>
          <w:sz w:val="16"/>
          <w:szCs w:val="16"/>
          <w:color w:val="32406B"/>
        </w:rPr>
      </w:pPr>
    </w:p>
    <w:p>
      <w:pPr>
        <w:ind w:left="1060" w:right="20" w:hanging="424"/>
        <w:spacing w:after="0" w:line="261" w:lineRule="auto"/>
        <w:tabs>
          <w:tab w:leader="none" w:pos="1060" w:val="left"/>
        </w:tabs>
        <w:numPr>
          <w:ilvl w:val="0"/>
          <w:numId w:val="53"/>
        </w:numPr>
        <w:rPr>
          <w:rFonts w:ascii="Arial" w:cs="Arial" w:eastAsia="Arial" w:hAnsi="Arial"/>
          <w:sz w:val="18"/>
          <w:szCs w:val="18"/>
          <w:color w:val="32406B"/>
        </w:rPr>
      </w:pPr>
      <w:r>
        <w:rPr>
          <w:rFonts w:ascii="Arial" w:cs="Arial" w:eastAsia="Arial" w:hAnsi="Arial"/>
          <w:sz w:val="18"/>
          <w:szCs w:val="18"/>
          <w:b w:val="1"/>
          <w:bCs w:val="1"/>
          <w:i w:val="1"/>
          <w:iCs w:val="1"/>
          <w:color w:val="32406B"/>
        </w:rPr>
        <w:t>Security and disaster recovery</w:t>
      </w:r>
      <w:r>
        <w:rPr>
          <w:rFonts w:ascii="Arial" w:cs="Arial" w:eastAsia="Arial" w:hAnsi="Arial"/>
          <w:sz w:val="18"/>
          <w:szCs w:val="18"/>
          <w:b w:val="1"/>
          <w:bCs w:val="1"/>
          <w:color w:val="32406B"/>
        </w:rPr>
        <w: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We offer robust security capabilities, including end-to-end encryption, secure login, administrative controls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cloud-native infrastructure offers the following key strengths:</w:t>
      </w:r>
    </w:p>
    <w:p>
      <w:pPr>
        <w:spacing w:after="0" w:line="131" w:lineRule="exact"/>
        <w:rPr>
          <w:sz w:val="20"/>
          <w:szCs w:val="20"/>
          <w:color w:val="auto"/>
        </w:rPr>
      </w:pPr>
    </w:p>
    <w:p>
      <w:pPr>
        <w:ind w:left="1060" w:right="100" w:hanging="424"/>
        <w:spacing w:after="0" w:line="264" w:lineRule="auto"/>
        <w:tabs>
          <w:tab w:leader="none" w:pos="1060" w:val="left"/>
        </w:tabs>
        <w:numPr>
          <w:ilvl w:val="0"/>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Private cloud for real-time activities. </w:t>
      </w:r>
      <w:r>
        <w:rPr>
          <w:rFonts w:ascii="Arial" w:cs="Arial" w:eastAsia="Arial" w:hAnsi="Arial"/>
          <w:sz w:val="18"/>
          <w:szCs w:val="18"/>
          <w:color w:val="32406B"/>
        </w:rPr>
        <w:t>We host real-time video and voice using 13 co-located data centers on our own servers around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world. We have built a network of private links so that each data center connects to multiple others. This structure creates redundancies and ensures reliability and performance.</w:t>
      </w:r>
    </w:p>
    <w:p>
      <w:pPr>
        <w:spacing w:after="0" w:line="86" w:lineRule="exact"/>
        <w:rPr>
          <w:rFonts w:ascii="Arial" w:cs="Arial" w:eastAsia="Arial" w:hAnsi="Arial"/>
          <w:sz w:val="18"/>
          <w:szCs w:val="18"/>
          <w:color w:val="32406B"/>
        </w:rPr>
      </w:pPr>
    </w:p>
    <w:p>
      <w:pPr>
        <w:ind w:left="1060" w:right="80" w:hanging="424"/>
        <w:spacing w:after="0" w:line="277" w:lineRule="auto"/>
        <w:tabs>
          <w:tab w:leader="none" w:pos="1060" w:val="left"/>
        </w:tabs>
        <w:numPr>
          <w:ilvl w:val="0"/>
          <w:numId w:val="5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Optimized public cloud usage. </w:t>
      </w:r>
      <w:r>
        <w:rPr>
          <w:rFonts w:ascii="Arial" w:cs="Arial" w:eastAsia="Arial" w:hAnsi="Arial"/>
          <w:sz w:val="18"/>
          <w:szCs w:val="18"/>
          <w:color w:val="32406B"/>
        </w:rPr>
        <w:t>For maximum efficiency, we deploy public cloud providers (Amazon Web Services and Microsoft Azure) to</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host our web applications and messaging service that do not require real time usage.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Customers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32406B"/>
        </w:rPr>
        <w:t>We have customers of all sizes, from individuals to global Fortune 50 organizations. Our current customer base spans numerous industry categories, including education, entertainment/media, enterprise infrastructure, finance, healthcare, manufacturing, non-profit/not for profit and social impact, retail/consumer products and software/internet. No individual customer represented more than 5% of our revenue in the fiscal year ended January 31, 2019. A representative list of our largest customers is set forth below by industry:</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32406B"/>
              </w:rPr>
              <w:t>Education:</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32406B"/>
              </w:rPr>
              <w:t>Entertainment/Media:</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32406B"/>
              </w:rPr>
              <w:t>Enterprise Infrastructure:</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Indiana University</w:t>
            </w:r>
          </w:p>
        </w:tc>
        <w:tc>
          <w:tcPr>
            <w:tcW w:w="3500" w:type="dxa"/>
            <w:vAlign w:val="bottom"/>
          </w:tcPr>
          <w:p>
            <w:pPr>
              <w:ind w:left="320"/>
              <w:spacing w:after="0"/>
              <w:rPr>
                <w:sz w:val="20"/>
                <w:szCs w:val="20"/>
                <w:color w:val="auto"/>
              </w:rPr>
            </w:pPr>
            <w:r>
              <w:rPr>
                <w:rFonts w:ascii="Arial" w:cs="Arial" w:eastAsia="Arial" w:hAnsi="Arial"/>
                <w:sz w:val="18"/>
                <w:szCs w:val="18"/>
                <w:color w:val="32406B"/>
              </w:rPr>
              <w:t>Caesars Enterprise Services, LLC</w:t>
            </w:r>
          </w:p>
        </w:tc>
        <w:tc>
          <w:tcPr>
            <w:tcW w:w="3460" w:type="dxa"/>
            <w:vAlign w:val="bottom"/>
          </w:tcPr>
          <w:p>
            <w:pPr>
              <w:ind w:left="440"/>
              <w:spacing w:after="0"/>
              <w:rPr>
                <w:sz w:val="20"/>
                <w:szCs w:val="20"/>
                <w:color w:val="auto"/>
              </w:rPr>
            </w:pPr>
            <w:r>
              <w:rPr>
                <w:rFonts w:ascii="Arial" w:cs="Arial" w:eastAsia="Arial" w:hAnsi="Arial"/>
                <w:sz w:val="18"/>
                <w:szCs w:val="18"/>
                <w:color w:val="32406B"/>
              </w:rPr>
              <w:t>Dell USA L.P.</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Oklahoma State Regents for Higher Education</w:t>
            </w:r>
          </w:p>
        </w:tc>
        <w:tc>
          <w:tcPr>
            <w:tcW w:w="3500" w:type="dxa"/>
            <w:vAlign w:val="bottom"/>
          </w:tcPr>
          <w:p>
            <w:pPr>
              <w:ind w:left="320"/>
              <w:spacing w:after="0"/>
              <w:rPr>
                <w:sz w:val="20"/>
                <w:szCs w:val="20"/>
                <w:color w:val="auto"/>
              </w:rPr>
            </w:pPr>
            <w:r>
              <w:rPr>
                <w:rFonts w:ascii="Arial" w:cs="Arial" w:eastAsia="Arial" w:hAnsi="Arial"/>
                <w:sz w:val="18"/>
                <w:szCs w:val="18"/>
                <w:color w:val="32406B"/>
              </w:rPr>
              <w:t>Condé Nast</w:t>
            </w:r>
          </w:p>
        </w:tc>
        <w:tc>
          <w:tcPr>
            <w:tcW w:w="3460" w:type="dxa"/>
            <w:vAlign w:val="bottom"/>
          </w:tcPr>
          <w:p>
            <w:pPr>
              <w:ind w:left="440"/>
              <w:spacing w:after="0"/>
              <w:rPr>
                <w:sz w:val="20"/>
                <w:szCs w:val="20"/>
                <w:color w:val="auto"/>
              </w:rPr>
            </w:pPr>
            <w:r>
              <w:rPr>
                <w:rFonts w:ascii="Arial" w:cs="Arial" w:eastAsia="Arial" w:hAnsi="Arial"/>
                <w:sz w:val="18"/>
                <w:szCs w:val="18"/>
                <w:color w:val="32406B"/>
              </w:rPr>
              <w:t>F5 Networks,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The Pennsylvania State University</w:t>
            </w:r>
          </w:p>
        </w:tc>
        <w:tc>
          <w:tcPr>
            <w:tcW w:w="3500" w:type="dxa"/>
            <w:vAlign w:val="bottom"/>
          </w:tcPr>
          <w:p>
            <w:pPr>
              <w:ind w:left="320"/>
              <w:spacing w:after="0"/>
              <w:rPr>
                <w:sz w:val="20"/>
                <w:szCs w:val="20"/>
                <w:color w:val="auto"/>
              </w:rPr>
            </w:pPr>
            <w:r>
              <w:rPr>
                <w:rFonts w:ascii="Arial" w:cs="Arial" w:eastAsia="Arial" w:hAnsi="Arial"/>
                <w:sz w:val="18"/>
                <w:szCs w:val="18"/>
                <w:color w:val="32406B"/>
              </w:rPr>
              <w:t>Discovery Communications, LLC</w:t>
            </w:r>
          </w:p>
        </w:tc>
        <w:tc>
          <w:tcPr>
            <w:tcW w:w="3460" w:type="dxa"/>
            <w:vAlign w:val="bottom"/>
          </w:tcPr>
          <w:p>
            <w:pPr>
              <w:ind w:left="440"/>
              <w:spacing w:after="0"/>
              <w:rPr>
                <w:sz w:val="20"/>
                <w:szCs w:val="20"/>
                <w:color w:val="auto"/>
              </w:rPr>
            </w:pPr>
            <w:r>
              <w:rPr>
                <w:rFonts w:ascii="Arial" w:cs="Arial" w:eastAsia="Arial" w:hAnsi="Arial"/>
                <w:sz w:val="18"/>
                <w:szCs w:val="18"/>
                <w:color w:val="32406B"/>
              </w:rPr>
              <w:t>Hitachi Vantara</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The University of North Carolina at Chapel Hill</w:t>
            </w:r>
          </w:p>
        </w:tc>
        <w:tc>
          <w:tcPr>
            <w:tcW w:w="3500" w:type="dxa"/>
            <w:vAlign w:val="bottom"/>
          </w:tcPr>
          <w:p>
            <w:pPr>
              <w:ind w:left="320"/>
              <w:spacing w:after="0"/>
              <w:rPr>
                <w:sz w:val="20"/>
                <w:szCs w:val="20"/>
                <w:color w:val="auto"/>
              </w:rPr>
            </w:pPr>
            <w:r>
              <w:rPr>
                <w:rFonts w:ascii="Arial" w:cs="Arial" w:eastAsia="Arial" w:hAnsi="Arial"/>
                <w:sz w:val="18"/>
                <w:szCs w:val="18"/>
                <w:color w:val="32406B"/>
              </w:rPr>
              <w:t>Pandora Media, Inc.</w:t>
            </w:r>
          </w:p>
        </w:tc>
        <w:tc>
          <w:tcPr>
            <w:tcW w:w="3460" w:type="dxa"/>
            <w:vAlign w:val="bottom"/>
          </w:tcPr>
          <w:p>
            <w:pPr>
              <w:ind w:left="440"/>
              <w:spacing w:after="0"/>
              <w:rPr>
                <w:sz w:val="20"/>
                <w:szCs w:val="20"/>
                <w:color w:val="auto"/>
              </w:rPr>
            </w:pPr>
            <w:r>
              <w:rPr>
                <w:rFonts w:ascii="Arial" w:cs="Arial" w:eastAsia="Arial" w:hAnsi="Arial"/>
                <w:sz w:val="18"/>
                <w:szCs w:val="18"/>
                <w:color w:val="32406B"/>
              </w:rPr>
              <w:t>Oracle America,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Yale University</w:t>
            </w:r>
          </w:p>
        </w:tc>
        <w:tc>
          <w:tcPr>
            <w:tcW w:w="3500" w:type="dxa"/>
            <w:vAlign w:val="bottom"/>
          </w:tcPr>
          <w:p>
            <w:pPr>
              <w:ind w:left="320"/>
              <w:spacing w:after="0"/>
              <w:rPr>
                <w:sz w:val="20"/>
                <w:szCs w:val="20"/>
                <w:color w:val="auto"/>
              </w:rPr>
            </w:pPr>
            <w:r>
              <w:rPr>
                <w:rFonts w:ascii="Arial" w:cs="Arial" w:eastAsia="Arial" w:hAnsi="Arial"/>
                <w:sz w:val="18"/>
                <w:szCs w:val="18"/>
                <w:color w:val="32406B"/>
              </w:rPr>
              <w:t>United Talent Agency</w:t>
            </w:r>
          </w:p>
        </w:tc>
        <w:tc>
          <w:tcPr>
            <w:tcW w:w="3460" w:type="dxa"/>
            <w:vAlign w:val="bottom"/>
          </w:tcPr>
          <w:p>
            <w:pPr>
              <w:ind w:left="440"/>
              <w:spacing w:after="0"/>
              <w:rPr>
                <w:sz w:val="20"/>
                <w:szCs w:val="20"/>
                <w:color w:val="auto"/>
              </w:rPr>
            </w:pPr>
            <w:r>
              <w:rPr>
                <w:rFonts w:ascii="Arial" w:cs="Arial" w:eastAsia="Arial" w:hAnsi="Arial"/>
                <w:sz w:val="18"/>
                <w:szCs w:val="18"/>
                <w:color w:val="32406B"/>
              </w:rPr>
              <w:t>VMware, Inc.</w:t>
            </w:r>
          </w:p>
        </w:tc>
      </w:tr>
      <w:tr>
        <w:trPr>
          <w:trHeight w:val="333"/>
        </w:trPr>
        <w:tc>
          <w:tcPr>
            <w:tcW w:w="3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32406B"/>
              </w:rPr>
              <w:t>Workday, Inc.</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32406B"/>
              </w:rPr>
              <w:t>Finance:</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32406B"/>
              </w:rPr>
              <w:t>Healthcare:</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32406B"/>
              </w:rPr>
              <w:t>Manufacturing:</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Capital One Services, LLC</w:t>
            </w:r>
          </w:p>
        </w:tc>
        <w:tc>
          <w:tcPr>
            <w:tcW w:w="3500" w:type="dxa"/>
            <w:vAlign w:val="bottom"/>
          </w:tcPr>
          <w:p>
            <w:pPr>
              <w:ind w:left="320"/>
              <w:spacing w:after="0"/>
              <w:rPr>
                <w:sz w:val="20"/>
                <w:szCs w:val="20"/>
                <w:color w:val="auto"/>
              </w:rPr>
            </w:pPr>
            <w:r>
              <w:rPr>
                <w:rFonts w:ascii="Arial" w:cs="Arial" w:eastAsia="Arial" w:hAnsi="Arial"/>
                <w:sz w:val="18"/>
                <w:szCs w:val="18"/>
                <w:color w:val="32406B"/>
              </w:rPr>
              <w:t>Boston Children’s Hospital</w:t>
            </w:r>
          </w:p>
        </w:tc>
        <w:tc>
          <w:tcPr>
            <w:tcW w:w="3460" w:type="dxa"/>
            <w:vAlign w:val="bottom"/>
          </w:tcPr>
          <w:p>
            <w:pPr>
              <w:ind w:left="440"/>
              <w:spacing w:after="0"/>
              <w:rPr>
                <w:sz w:val="20"/>
                <w:szCs w:val="20"/>
                <w:color w:val="auto"/>
              </w:rPr>
            </w:pPr>
            <w:r>
              <w:rPr>
                <w:rFonts w:ascii="Arial" w:cs="Arial" w:eastAsia="Arial" w:hAnsi="Arial"/>
                <w:sz w:val="18"/>
                <w:szCs w:val="18"/>
                <w:color w:val="32406B"/>
                <w:w w:val="92"/>
              </w:rPr>
              <w:t>Aristocrat Technologies Australia Pty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LPL Financial</w:t>
            </w:r>
          </w:p>
        </w:tc>
        <w:tc>
          <w:tcPr>
            <w:tcW w:w="3500" w:type="dxa"/>
            <w:vAlign w:val="bottom"/>
          </w:tcPr>
          <w:p>
            <w:pPr>
              <w:ind w:left="320"/>
              <w:spacing w:after="0"/>
              <w:rPr>
                <w:sz w:val="20"/>
                <w:szCs w:val="20"/>
                <w:color w:val="auto"/>
              </w:rPr>
            </w:pPr>
            <w:r>
              <w:rPr>
                <w:rFonts w:ascii="Arial" w:cs="Arial" w:eastAsia="Arial" w:hAnsi="Arial"/>
                <w:sz w:val="18"/>
                <w:szCs w:val="18"/>
                <w:color w:val="32406B"/>
              </w:rPr>
              <w:t>Medical Information Technology, Inc.</w:t>
            </w:r>
          </w:p>
        </w:tc>
        <w:tc>
          <w:tcPr>
            <w:tcW w:w="3460" w:type="dxa"/>
            <w:vAlign w:val="bottom"/>
          </w:tcPr>
          <w:p>
            <w:pPr>
              <w:ind w:left="440"/>
              <w:spacing w:after="0"/>
              <w:rPr>
                <w:sz w:val="20"/>
                <w:szCs w:val="20"/>
                <w:color w:val="auto"/>
              </w:rPr>
            </w:pPr>
            <w:r>
              <w:rPr>
                <w:rFonts w:ascii="Arial" w:cs="Arial" w:eastAsia="Arial" w:hAnsi="Arial"/>
                <w:sz w:val="18"/>
                <w:szCs w:val="18"/>
                <w:color w:val="32406B"/>
              </w:rPr>
              <w:t>Cooper-Standard Automotive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National Australia Bank Limited</w:t>
            </w:r>
          </w:p>
        </w:tc>
        <w:tc>
          <w:tcPr>
            <w:tcW w:w="3500" w:type="dxa"/>
            <w:vAlign w:val="bottom"/>
          </w:tcPr>
          <w:p>
            <w:pPr>
              <w:ind w:left="320"/>
              <w:spacing w:after="0"/>
              <w:rPr>
                <w:sz w:val="20"/>
                <w:szCs w:val="20"/>
                <w:color w:val="auto"/>
              </w:rPr>
            </w:pPr>
            <w:r>
              <w:rPr>
                <w:rFonts w:ascii="Arial" w:cs="Arial" w:eastAsia="Arial" w:hAnsi="Arial"/>
                <w:sz w:val="18"/>
                <w:szCs w:val="18"/>
                <w:color w:val="32406B"/>
              </w:rPr>
              <w:t>nib health fund limited</w:t>
            </w:r>
          </w:p>
        </w:tc>
        <w:tc>
          <w:tcPr>
            <w:tcW w:w="3460" w:type="dxa"/>
            <w:vAlign w:val="bottom"/>
          </w:tcPr>
          <w:p>
            <w:pPr>
              <w:ind w:left="440"/>
              <w:spacing w:after="0"/>
              <w:rPr>
                <w:sz w:val="20"/>
                <w:szCs w:val="20"/>
                <w:color w:val="auto"/>
              </w:rPr>
            </w:pPr>
            <w:r>
              <w:rPr>
                <w:rFonts w:ascii="Arial" w:cs="Arial" w:eastAsia="Arial" w:hAnsi="Arial"/>
                <w:sz w:val="18"/>
                <w:szCs w:val="18"/>
                <w:color w:val="32406B"/>
              </w:rPr>
              <w:t>Flextronics International</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Wells Fargo Bank, N.A.</w:t>
            </w:r>
          </w:p>
        </w:tc>
        <w:tc>
          <w:tcPr>
            <w:tcW w:w="3500" w:type="dxa"/>
            <w:vAlign w:val="bottom"/>
          </w:tcPr>
          <w:p>
            <w:pPr>
              <w:ind w:left="320"/>
              <w:spacing w:after="0"/>
              <w:rPr>
                <w:sz w:val="20"/>
                <w:szCs w:val="20"/>
                <w:color w:val="auto"/>
              </w:rPr>
            </w:pPr>
            <w:r>
              <w:rPr>
                <w:rFonts w:ascii="Arial" w:cs="Arial" w:eastAsia="Arial" w:hAnsi="Arial"/>
                <w:sz w:val="18"/>
                <w:szCs w:val="18"/>
                <w:color w:val="32406B"/>
              </w:rPr>
              <w:t>Novant Health, Inc.</w:t>
            </w:r>
          </w:p>
        </w:tc>
        <w:tc>
          <w:tcPr>
            <w:tcW w:w="3460" w:type="dxa"/>
            <w:vAlign w:val="bottom"/>
          </w:tcPr>
          <w:p>
            <w:pPr>
              <w:ind w:left="440"/>
              <w:spacing w:after="0"/>
              <w:rPr>
                <w:sz w:val="20"/>
                <w:szCs w:val="20"/>
                <w:color w:val="auto"/>
              </w:rPr>
            </w:pPr>
            <w:r>
              <w:rPr>
                <w:rFonts w:ascii="Arial" w:cs="Arial" w:eastAsia="Arial" w:hAnsi="Arial"/>
                <w:sz w:val="18"/>
                <w:szCs w:val="18"/>
                <w:color w:val="32406B"/>
              </w:rPr>
              <w:t>Management Services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32406B"/>
              </w:rPr>
              <w:t>Western Union Financial Services, Inc.</w:t>
            </w: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32406B"/>
              </w:rPr>
              <w:t>LIXIL Group Corporation</w:t>
            </w:r>
          </w:p>
        </w:tc>
      </w:tr>
    </w:tbl>
    <w:p>
      <w:pPr>
        <w:spacing w:after="0" w:line="200" w:lineRule="exact"/>
        <w:rPr>
          <w:sz w:val="20"/>
          <w:szCs w:val="20"/>
          <w:color w:val="auto"/>
        </w:rPr>
      </w:pPr>
    </w:p>
    <w:p>
      <w:pPr>
        <w:sectPr>
          <w:pgSz w:w="11900" w:h="16838" w:orient="portrait"/>
          <w:cols w:equalWidth="0" w:num="1">
            <w:col w:w="11180"/>
          </w:cols>
          <w:pgMar w:left="240" w:top="459" w:right="479" w:bottom="1440" w:gutter="0" w:footer="0" w:header="0"/>
        </w:sectPr>
      </w:pPr>
    </w:p>
    <w:p>
      <w:pPr>
        <w:spacing w:after="0" w:line="38"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32406B"/>
        </w:rPr>
        <w:t>Non-Profit, Not for Profit, and Social Impact Organizations: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Chan Zuckerberg Initiative, LLC</w:t>
      </w:r>
    </w:p>
    <w:p>
      <w:pPr>
        <w:spacing w:after="0" w:line="13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32406B"/>
        </w:rPr>
        <w:t>Cooperative for Assistance and Relief Everywhere, Inc. (CARE USA)</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Teach for America, Inc.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b w:val="1"/>
          <w:bCs w:val="1"/>
          <w:color w:val="32406B"/>
        </w:rPr>
        <w:t>Retail/Consumer Products:</w:t>
      </w:r>
      <w:r>
        <w:rPr>
          <w:sz w:val="20"/>
          <w:szCs w:val="20"/>
          <w:color w:val="auto"/>
        </w:rPr>
        <w:tab/>
      </w:r>
      <w:r>
        <w:rPr>
          <w:rFonts w:ascii="Arial" w:cs="Arial" w:eastAsia="Arial" w:hAnsi="Arial"/>
          <w:sz w:val="16"/>
          <w:szCs w:val="16"/>
          <w:b w:val="1"/>
          <w:bCs w:val="1"/>
          <w:color w:val="32406B"/>
        </w:rPr>
        <w:t>Software and Internet:</w:t>
      </w:r>
    </w:p>
    <w:p>
      <w:pPr>
        <w:spacing w:after="0" w:line="135"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32406B"/>
        </w:rPr>
        <w:t>Diageo Great Britain Limited</w:t>
      </w:r>
      <w:r>
        <w:rPr>
          <w:sz w:val="20"/>
          <w:szCs w:val="20"/>
          <w:color w:val="auto"/>
        </w:rPr>
        <w:tab/>
      </w:r>
      <w:r>
        <w:rPr>
          <w:rFonts w:ascii="Arial" w:cs="Arial" w:eastAsia="Arial" w:hAnsi="Arial"/>
          <w:sz w:val="16"/>
          <w:szCs w:val="16"/>
          <w:color w:val="32406B"/>
        </w:rPr>
        <w:t>ServiceNow,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32406B"/>
        </w:rPr>
        <w:t>Gap Inc.</w:t>
      </w:r>
      <w:r>
        <w:rPr>
          <w:sz w:val="20"/>
          <w:szCs w:val="20"/>
          <w:color w:val="auto"/>
        </w:rPr>
        <w:tab/>
      </w:r>
      <w:r>
        <w:rPr>
          <w:rFonts w:ascii="Arial" w:cs="Arial" w:eastAsia="Arial" w:hAnsi="Arial"/>
          <w:sz w:val="16"/>
          <w:szCs w:val="16"/>
          <w:color w:val="32406B"/>
        </w:rPr>
        <w:t>Splunk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32406B"/>
        </w:rPr>
        <w:t>H-E-B Grocery Company, LP</w:t>
      </w:r>
      <w:r>
        <w:rPr>
          <w:sz w:val="20"/>
          <w:szCs w:val="20"/>
          <w:color w:val="auto"/>
        </w:rPr>
        <w:tab/>
      </w:r>
      <w:r>
        <w:rPr>
          <w:rFonts w:ascii="Arial" w:cs="Arial" w:eastAsia="Arial" w:hAnsi="Arial"/>
          <w:sz w:val="16"/>
          <w:szCs w:val="16"/>
          <w:color w:val="32406B"/>
        </w:rPr>
        <w:t>Uber Technologies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32406B"/>
        </w:rPr>
        <w:t>Southern Glazer’s Wine and Spirits,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32406B"/>
        </w:rPr>
        <w:t>Williams-Sonoma Inc.</w:t>
      </w:r>
    </w:p>
    <w:p>
      <w:pPr>
        <w:spacing w:after="0" w:line="200" w:lineRule="exact"/>
        <w:rPr>
          <w:sz w:val="20"/>
          <w:szCs w:val="20"/>
          <w:color w:val="auto"/>
        </w:rPr>
      </w:pPr>
    </w:p>
    <w:p>
      <w:pPr>
        <w:sectPr>
          <w:pgSz w:w="11900" w:h="16838" w:orient="portrait"/>
          <w:cols w:equalWidth="0" w:num="2">
            <w:col w:w="3900" w:space="400"/>
            <w:col w:w="6880"/>
          </w:cols>
          <w:pgMar w:left="240" w:top="459" w:right="479" w:bottom="1440" w:gutter="0" w:footer="0" w:header="0"/>
          <w:type w:val="continuous"/>
        </w:sectPr>
      </w:pP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Customer Case Studies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are representative examples of how some of our customers have benefitted from adopting Zoom:</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Chan Zuckerberg Initiative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32406B"/>
        </w:rPr>
        <w:t>Situation</w:t>
      </w:r>
      <w:r>
        <w:rPr>
          <w:rFonts w:ascii="Arial" w:cs="Arial" w:eastAsia="Arial" w:hAnsi="Arial"/>
          <w:sz w:val="16"/>
          <w:szCs w:val="16"/>
          <w:color w:val="32406B"/>
        </w:rPr>
        <w:t>: The Chan Zuckerberg Initiative (CZI) is a philanthropic organization focused on using technology to help solve intractable challenges</w:t>
      </w:r>
      <w:r>
        <w:rPr>
          <w:rFonts w:ascii="Arial" w:cs="Arial" w:eastAsia="Arial" w:hAnsi="Arial"/>
          <w:sz w:val="16"/>
          <w:szCs w:val="16"/>
          <w:i w:val="1"/>
          <w:iCs w:val="1"/>
          <w:color w:val="32406B"/>
        </w:rPr>
        <w:t xml:space="preserve"> </w:t>
      </w:r>
      <w:r>
        <w:rPr>
          <w:rFonts w:ascii="Arial" w:cs="Arial" w:eastAsia="Arial" w:hAnsi="Arial"/>
          <w:sz w:val="16"/>
          <w:szCs w:val="16"/>
          <w:color w:val="32406B"/>
        </w:rPr>
        <w:t>such as eradicating disease and reforming the criminal justice system. Entering 2018 as a rapidly growing organization, CZI struggled with having high-quality and reliable video conferencing. Meetings with remote participants often did not start on time as conference rooms were not easy to use, regularly had technical failures such as dropped calls, and rapid employee growth led to confusion due to a lack of training on a complicated system.</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88</w:t>
      </w:r>
    </w:p>
    <w:p>
      <w:pPr>
        <w:sectPr>
          <w:pgSz w:w="11900" w:h="16838" w:orient="portrait"/>
          <w:cols w:equalWidth="0" w:num="1">
            <w:col w:w="11180"/>
          </w:cols>
          <w:pgMar w:left="240" w:top="459" w:right="4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i w:val="1"/>
          <w:iCs w:val="1"/>
          <w:color w:val="32406B"/>
        </w:rPr>
        <w:t>Solution</w:t>
      </w:r>
      <w:r>
        <w:rPr>
          <w:rFonts w:ascii="Arial" w:cs="Arial" w:eastAsia="Arial" w:hAnsi="Arial"/>
          <w:sz w:val="17"/>
          <w:szCs w:val="17"/>
          <w:color w:val="32406B"/>
        </w:rPr>
        <w:t>: CZI deployed Zoom across the organization, initially for mostly internal meetings, but rapidly expanded to global internal and external</w:t>
      </w:r>
      <w:r>
        <w:rPr>
          <w:rFonts w:ascii="Arial" w:cs="Arial" w:eastAsia="Arial" w:hAnsi="Arial"/>
          <w:sz w:val="17"/>
          <w:szCs w:val="17"/>
          <w:i w:val="1"/>
          <w:iCs w:val="1"/>
          <w:color w:val="32406B"/>
        </w:rPr>
        <w:t xml:space="preserve"> </w:t>
      </w:r>
      <w:r>
        <w:rPr>
          <w:rFonts w:ascii="Arial" w:cs="Arial" w:eastAsia="Arial" w:hAnsi="Arial"/>
          <w:sz w:val="17"/>
          <w:szCs w:val="17"/>
          <w:color w:val="32406B"/>
        </w:rPr>
        <w:t>communications. Meetings begin on time more often as Zoom meetings are easy to start and do not require complex setup within Zoom Rooms. Employees no longer need extensive video conferencing training and have experienced increased reliability with their calls. CZI employees periodically work with organizations around the world, so Zoom’s reliability in low-bandwidth environments helps ensure those meetings can be conducted over video. In addition to deploying Zoom to employee devices, CZI has adopted a 100% video conferencing approach within their conference rooms and event spaces, building out nearly 100 Zoom Rooms of varying sizes and uses.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Discovery Communications, LLC</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32406B"/>
        </w:rPr>
        <w:t>Situation</w:t>
      </w:r>
      <w:r>
        <w:rPr>
          <w:rFonts w:ascii="Arial" w:cs="Arial" w:eastAsia="Arial" w:hAnsi="Arial"/>
          <w:sz w:val="18"/>
          <w:szCs w:val="18"/>
          <w:color w:val="32406B"/>
        </w:rPr>
        <w:t>: Discovery Communications, LLC (Discovery) is a global leader in real life entertainment, with more than 150 worldwide cable TV</w:t>
      </w:r>
      <w:r>
        <w:rPr>
          <w:rFonts w:ascii="Arial" w:cs="Arial" w:eastAsia="Arial" w:hAnsi="Arial"/>
          <w:sz w:val="18"/>
          <w:szCs w:val="18"/>
          <w:i w:val="1"/>
          <w:iCs w:val="1"/>
          <w:color w:val="32406B"/>
        </w:rPr>
        <w:t xml:space="preserve"> </w:t>
      </w:r>
      <w:r>
        <w:rPr>
          <w:rFonts w:ascii="Arial" w:cs="Arial" w:eastAsia="Arial" w:hAnsi="Arial"/>
          <w:sz w:val="18"/>
          <w:szCs w:val="18"/>
          <w:color w:val="32406B"/>
        </w:rPr>
        <w:t>networks, including Discovery Channel, Animal Planet, and The Learning Channel (TLC). Discovery was previously operating with a mix of video conferencing solutions across desktop, mobile, and conference rooms, which created significant complexity due to the number of disparate tools and use cases, coupled with the burden of maintaining on-premises systems. Many of these tools were unable to properly share video and audio content simultaneously at high bit rates, a critical task for a media company that needs to collaborate on, review and edit video content across its global workforce.</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32406B"/>
        </w:rPr>
        <w:t>Solution</w:t>
      </w:r>
      <w:r>
        <w:rPr>
          <w:rFonts w:ascii="Arial" w:cs="Arial" w:eastAsia="Arial" w:hAnsi="Arial"/>
          <w:sz w:val="18"/>
          <w:szCs w:val="18"/>
          <w:color w:val="32406B"/>
        </w:rPr>
        <w:t>: In 2018, Discovery chose Zoom as its communication platform to unify video communications across desktop, mobile and conference</w:t>
      </w:r>
      <w:r>
        <w:rPr>
          <w:rFonts w:ascii="Arial" w:cs="Arial" w:eastAsia="Arial" w:hAnsi="Arial"/>
          <w:sz w:val="18"/>
          <w:szCs w:val="18"/>
          <w:i w:val="1"/>
          <w:iCs w:val="1"/>
          <w:color w:val="32406B"/>
        </w:rPr>
        <w:t xml:space="preserve"> </w:t>
      </w:r>
      <w:r>
        <w:rPr>
          <w:rFonts w:ascii="Arial" w:cs="Arial" w:eastAsia="Arial" w:hAnsi="Arial"/>
          <w:sz w:val="18"/>
          <w:szCs w:val="18"/>
          <w:color w:val="32406B"/>
        </w:rPr>
        <w:t>rooms. Zoom was selected in part for its cloud infrastructure and its support for legacy hardware with Zoom Conference Room Connector, which allowed Discovery to transition over time from its legacy solutions to Zoom Rooms. Discovery is now rolling out Zoom Rooms globally, thereby unifying all video communications through one cloud platform. Discovery makes extensive use of Zoom’s video and audio screen sharing, a feature that allows its employees to share and collaborate on streaming content, such as television episodes and commercials, over Zoom. Discovery also makes frequent use of Zoom’s Microsoft Outlook and Workplace by Facebook integrations, through which Discovery’s employees can directly broadcast from the Zoom client to Workplace.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F5 Networks,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32406B"/>
        </w:rPr>
        <w:t>Situation</w:t>
      </w:r>
      <w:r>
        <w:rPr>
          <w:rFonts w:ascii="Arial" w:cs="Arial" w:eastAsia="Arial" w:hAnsi="Arial"/>
          <w:sz w:val="18"/>
          <w:szCs w:val="18"/>
          <w:color w:val="32406B"/>
        </w:rPr>
        <w:t>: F5 Networks, Inc. (F5) delivers cloud and application security services to the world’s largest businesses, service providers,</w:t>
      </w:r>
      <w:r>
        <w:rPr>
          <w:rFonts w:ascii="Arial" w:cs="Arial" w:eastAsia="Arial" w:hAnsi="Arial"/>
          <w:sz w:val="18"/>
          <w:szCs w:val="18"/>
          <w:i w:val="1"/>
          <w:iCs w:val="1"/>
          <w:color w:val="32406B"/>
        </w:rPr>
        <w:t xml:space="preserve"> </w:t>
      </w:r>
      <w:r>
        <w:rPr>
          <w:rFonts w:ascii="Arial" w:cs="Arial" w:eastAsia="Arial" w:hAnsi="Arial"/>
          <w:sz w:val="18"/>
          <w:szCs w:val="18"/>
          <w:color w:val="32406B"/>
        </w:rPr>
        <w:t>governments, and consumer brands. With more than 4,500 employees around the globe, F5 found that its previous collaboration tools struggled to support users across different regions and devices (especially Mac users). F5’s employees were using four different collaboration providers, creating inefficiencies and requiring F5’s IT to support multiple tools. Additionally, without reliable VoIP, F5 relied heavily on PSTN audio calls, which resulted in an average of $65,000 per year in overage charges.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32406B"/>
        </w:rPr>
        <w:t>Solution</w:t>
      </w:r>
      <w:r>
        <w:rPr>
          <w:rFonts w:ascii="Arial" w:cs="Arial" w:eastAsia="Arial" w:hAnsi="Arial"/>
          <w:sz w:val="17"/>
          <w:szCs w:val="17"/>
          <w:color w:val="32406B"/>
        </w:rPr>
        <w:t>: In May 2018, F5 chose Zoom to replace all four providers it had been using for communication and collaboration. F5 rolled out Zoom in</w:t>
      </w:r>
      <w:r>
        <w:rPr>
          <w:rFonts w:ascii="Arial" w:cs="Arial" w:eastAsia="Arial" w:hAnsi="Arial"/>
          <w:sz w:val="17"/>
          <w:szCs w:val="17"/>
          <w:i w:val="1"/>
          <w:iCs w:val="1"/>
          <w:color w:val="32406B"/>
        </w:rPr>
        <w:t xml:space="preserve"> </w:t>
      </w:r>
      <w:r>
        <w:rPr>
          <w:rFonts w:ascii="Arial" w:cs="Arial" w:eastAsia="Arial" w:hAnsi="Arial"/>
          <w:sz w:val="17"/>
          <w:szCs w:val="17"/>
          <w:color w:val="32406B"/>
        </w:rPr>
        <w:t>fewer than 90 days to the entire company. F5 saw a dramatic increase in its Zoom usage, with the total number of Zoom meetings increasing by more than seven times and total hours spent on Zoom increasing by more than 10 times, all within the first 90 days of adoption. F5’s employees were also using Zoom differently than previous tools. The number of people using video to connect through virtual face-to-face interactions increased significantly. Zoom’s high-quality VoIP reduced the audio overages expense as employees used Zoom for meeting audio instead of the phone, resulting in significant cost savings. Within the first month, VoIP was used in more than 70% of Zoom meetings, and VoIP usage has continued to grow quarter-over-quarter. Zoom has helped support broader company initiatives, such as an expanded work-from-home policy, greater international expansion, and virtual company-wide all-hands meetings. F5’s new Seattle headquarters is fully Zoom-enabled with over 190 Zoom Rooms, including a Zoom-powered executive briefing center, interview rooms, and training rooms.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89</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National Australia Bank</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i w:val="1"/>
          <w:iCs w:val="1"/>
          <w:color w:val="32406B"/>
        </w:rPr>
        <w:t>Situation</w:t>
      </w:r>
      <w:r>
        <w:rPr>
          <w:rFonts w:ascii="Arial" w:cs="Arial" w:eastAsia="Arial" w:hAnsi="Arial"/>
          <w:sz w:val="17"/>
          <w:szCs w:val="17"/>
          <w:color w:val="32406B"/>
        </w:rPr>
        <w:t>: National Australia Bank (NAB) is Australia’s largest business bank, with 33,000 employees serving 9 million customers at more than</w:t>
      </w:r>
      <w:r>
        <w:rPr>
          <w:rFonts w:ascii="Arial" w:cs="Arial" w:eastAsia="Arial" w:hAnsi="Arial"/>
          <w:sz w:val="17"/>
          <w:szCs w:val="17"/>
          <w:i w:val="1"/>
          <w:iCs w:val="1"/>
          <w:color w:val="32406B"/>
        </w:rPr>
        <w:t xml:space="preserve"> </w:t>
      </w:r>
      <w:r>
        <w:rPr>
          <w:rFonts w:ascii="Arial" w:cs="Arial" w:eastAsia="Arial" w:hAnsi="Arial"/>
          <w:sz w:val="17"/>
          <w:szCs w:val="17"/>
          <w:color w:val="32406B"/>
        </w:rPr>
        <w:t>900 locations. NAB funds important infrastructure in its communities including schools, hospitals and roads. In 2018, NAB began looking for a collaboration technology that would support its modernization efforts and help to drive cultural transformation at the 160-year-old bank.</w:t>
      </w:r>
    </w:p>
    <w:p>
      <w:pPr>
        <w:spacing w:after="0" w:line="166"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32406B"/>
        </w:rPr>
        <w:t>Solution</w:t>
      </w:r>
      <w:r>
        <w:rPr>
          <w:rFonts w:ascii="Arial" w:cs="Arial" w:eastAsia="Arial" w:hAnsi="Arial"/>
          <w:sz w:val="17"/>
          <w:szCs w:val="17"/>
          <w:color w:val="32406B"/>
        </w:rPr>
        <w:t>: NAB extensively tested a variety of services, simulating, in particular, low bandwidth environments given its broad local and</w:t>
      </w:r>
      <w:r>
        <w:rPr>
          <w:rFonts w:ascii="Arial" w:cs="Arial" w:eastAsia="Arial" w:hAnsi="Arial"/>
          <w:sz w:val="17"/>
          <w:szCs w:val="17"/>
          <w:i w:val="1"/>
          <w:iCs w:val="1"/>
          <w:color w:val="32406B"/>
        </w:rPr>
        <w:t xml:space="preserve"> </w:t>
      </w:r>
      <w:r>
        <w:rPr>
          <w:rFonts w:ascii="Arial" w:cs="Arial" w:eastAsia="Arial" w:hAnsi="Arial"/>
          <w:sz w:val="17"/>
          <w:szCs w:val="17"/>
          <w:color w:val="32406B"/>
        </w:rPr>
        <w:t>international footprint. NAB found that Zoom consistently outperformed other services, solving the challenges it experienced collaborating across its branch network. Zoom also met all of NAB’s requirements, including working across devices and workspaces, performing well in low bandwidth environments, and suitable to scale to 33,000+ users effortlessly. Zoom was also selected because of its ability to integrate seamlessly with Microsoft Teams and Office 365. Additionally, Zoom’s ability to support companywide all-hands meetings on video, allowing NAB’s CEO to connect face-to-face with the global employee base, was a key selection factor. Finally, Zoom Rooms have significantly lowered the cost of building video-enabled conference rooms, allowing NAB to scale video collaboration spaces even to small remote branches.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Uber Technologies Inc.</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32406B"/>
        </w:rPr>
        <w:t>Situation</w:t>
      </w:r>
      <w:r>
        <w:rPr>
          <w:rFonts w:ascii="Arial" w:cs="Arial" w:eastAsia="Arial" w:hAnsi="Arial"/>
          <w:sz w:val="18"/>
          <w:szCs w:val="18"/>
          <w:color w:val="32406B"/>
        </w:rPr>
        <w:t>: Uber Technologies Inc. (Uber) is a global company whose mission is to ignite opportunity by setting the world in motion. Uber has</w:t>
      </w:r>
      <w:r>
        <w:rPr>
          <w:rFonts w:ascii="Arial" w:cs="Arial" w:eastAsia="Arial" w:hAnsi="Arial"/>
          <w:sz w:val="18"/>
          <w:szCs w:val="18"/>
          <w:i w:val="1"/>
          <w:iCs w:val="1"/>
          <w:color w:val="32406B"/>
        </w:rPr>
        <w:t xml:space="preserve"> </w:t>
      </w:r>
      <w:r>
        <w:rPr>
          <w:rFonts w:ascii="Arial" w:cs="Arial" w:eastAsia="Arial" w:hAnsi="Arial"/>
          <w:sz w:val="18"/>
          <w:szCs w:val="18"/>
          <w:color w:val="32406B"/>
        </w:rPr>
        <w:t>completed more than 10 billion trips and is committed to building a platform that enables the safe, efficient movement of people around the world. With over 20,000 employees in hundreds of offices in more than 60 countries, Uber needed a scalable, robust platform to manage its workforce communications. Uber also wanted to outfit thousands of huddle and conference rooms in a way that would not cost tens of thousands of dollars per room. Additionally, given the global distribution of its workforce, Uber required a communication platform that its employees could use to communicate and collaborate from anywhere.</w:t>
      </w:r>
    </w:p>
    <w:p>
      <w:pPr>
        <w:spacing w:after="0" w:line="193"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i w:val="1"/>
          <w:iCs w:val="1"/>
          <w:color w:val="32406B"/>
        </w:rPr>
        <w:t>Solution</w:t>
      </w:r>
      <w:r>
        <w:rPr>
          <w:rFonts w:ascii="Arial" w:cs="Arial" w:eastAsia="Arial" w:hAnsi="Arial"/>
          <w:sz w:val="17"/>
          <w:szCs w:val="17"/>
          <w:color w:val="32406B"/>
        </w:rPr>
        <w:t>: Uber deployed Zoom in 2014 across its organization. Zoom was able to match Uber’s swift growth as it expanded around the world and</w:t>
      </w:r>
      <w:r>
        <w:rPr>
          <w:rFonts w:ascii="Arial" w:cs="Arial" w:eastAsia="Arial" w:hAnsi="Arial"/>
          <w:sz w:val="17"/>
          <w:szCs w:val="17"/>
          <w:i w:val="1"/>
          <w:iCs w:val="1"/>
          <w:color w:val="32406B"/>
        </w:rPr>
        <w:t xml:space="preserve"> </w:t>
      </w:r>
      <w:r>
        <w:rPr>
          <w:rFonts w:ascii="Arial" w:cs="Arial" w:eastAsia="Arial" w:hAnsi="Arial"/>
          <w:sz w:val="17"/>
          <w:szCs w:val="17"/>
          <w:color w:val="32406B"/>
        </w:rPr>
        <w:t>rapidly grew its employee base. Uber has added thousands of Zoom licenses each year to match Uber’s growth. Zoom is now woven into the fabric of Uber’s culture. Employees use Zoom to communicate and collaborate with each other from around the world. Uber has also established over 2,000 Zoom Rooms. Uber averaged over 14 million Zoom meeting minutes a month in 2018 with a Zoom CSAT greater than 95.</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VMware,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32406B"/>
        </w:rPr>
        <w:t>Situation</w:t>
      </w:r>
      <w:r>
        <w:rPr>
          <w:rFonts w:ascii="Arial" w:cs="Arial" w:eastAsia="Arial" w:hAnsi="Arial"/>
          <w:sz w:val="18"/>
          <w:szCs w:val="18"/>
          <w:color w:val="32406B"/>
        </w:rPr>
        <w:t>: VMware, Inc. (VMware) is a provider of cloud computing and platform virtualization software and services with over 21,000</w:t>
      </w:r>
      <w:r>
        <w:rPr>
          <w:rFonts w:ascii="Arial" w:cs="Arial" w:eastAsia="Arial" w:hAnsi="Arial"/>
          <w:sz w:val="18"/>
          <w:szCs w:val="18"/>
          <w:i w:val="1"/>
          <w:iCs w:val="1"/>
          <w:color w:val="32406B"/>
        </w:rPr>
        <w:t xml:space="preserve"> </w:t>
      </w:r>
      <w:r>
        <w:rPr>
          <w:rFonts w:ascii="Arial" w:cs="Arial" w:eastAsia="Arial" w:hAnsi="Arial"/>
          <w:sz w:val="18"/>
          <w:szCs w:val="18"/>
          <w:color w:val="32406B"/>
        </w:rPr>
        <w:t>employees and large engineering offices in Palo Alto and India. VMware employees historically used a mix of legacy tools to collaborate, causing users to experience low-quality connections and consistent challenges sharing content through video communications. VMware wanted to encourage a collaborative environment through the use of video, which it found to be difficult given the poor quality and reliability of video services in low bandwidth environments.</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32406B"/>
        </w:rPr>
        <w:t>Solution</w:t>
      </w:r>
      <w:r>
        <w:rPr>
          <w:rFonts w:ascii="Arial" w:cs="Arial" w:eastAsia="Arial" w:hAnsi="Arial"/>
          <w:sz w:val="16"/>
          <w:szCs w:val="16"/>
          <w:color w:val="32406B"/>
        </w:rPr>
        <w:t>: VMware rolled out Zoom across the company starting in December 2017. In January 2019, VMware had over 19,000 Zoom users who</w:t>
      </w:r>
      <w:r>
        <w:rPr>
          <w:rFonts w:ascii="Arial" w:cs="Arial" w:eastAsia="Arial" w:hAnsi="Arial"/>
          <w:sz w:val="16"/>
          <w:szCs w:val="16"/>
          <w:i w:val="1"/>
          <w:iCs w:val="1"/>
          <w:color w:val="32406B"/>
        </w:rPr>
        <w:t xml:space="preserve"> </w:t>
      </w:r>
      <w:r>
        <w:rPr>
          <w:rFonts w:ascii="Arial" w:cs="Arial" w:eastAsia="Arial" w:hAnsi="Arial"/>
          <w:sz w:val="16"/>
          <w:szCs w:val="16"/>
          <w:color w:val="32406B"/>
        </w:rPr>
        <w:t>hosted over 41 million meeting minutes in January alone. Those meetings were attended by more than a million participants. In addition to providing Zoom to its employees for desktop and mobile meetings, VMware deployed Zoom Video Webinars for town halls and public events. VMware uses a number of Zoom integrations that further collaboration and business goals, including Slack, Microsoft Teams and Salesforce Pardot. VMware has achieved significant cost savings by using Zoom VoIP in place of PSTN. Employees are overwhelmingly happy with Zoom. The average monthly CSAT for VMware employees using Zoom from December 2017 through November 2018 was 96%, as measured by customer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42" w:lineRule="auto"/>
        <w:rPr>
          <w:sz w:val="20"/>
          <w:szCs w:val="20"/>
          <w:color w:val="auto"/>
        </w:rPr>
      </w:pPr>
      <w:r>
        <w:rPr>
          <w:rFonts w:ascii="Arial" w:cs="Arial" w:eastAsia="Arial" w:hAnsi="Arial"/>
          <w:sz w:val="16"/>
          <w:szCs w:val="16"/>
          <w:color w:val="32406B"/>
        </w:rPr>
        <w:t>surveys. Zoom has become more than just a vendor for VMware, as improving employee experience is a key transformation program for IT. With Zoom solutions integrated with VMware Workspace ONE, deployment has been flawless and the one-touch sign-on features have been well-received by users.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Sales</w:t>
      </w:r>
    </w:p>
    <w:p>
      <w:pPr>
        <w:spacing w:after="0" w:line="121"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32406B"/>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Marketing</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Our marketing team’s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Research and Development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Competition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 often they provide a feature comparable to a component of our platform (e.g., only conference rooms, only chat, only telephony). We primarily face competition from legacy web-based meeting services providers, including Webex and Skype for Business, bundled productivity solutions providers with basic video functionality, including Google, and point solutions providers, including LogMeIn. Our introduction of Zoom Phone may lead to competition with legacy PBX providers.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believe we compete favorably based on the following competitive factors:</w:t>
      </w:r>
    </w:p>
    <w:p>
      <w:pPr>
        <w:spacing w:after="0" w:line="131" w:lineRule="exact"/>
        <w:rPr>
          <w:sz w:val="20"/>
          <w:szCs w:val="20"/>
          <w:color w:val="auto"/>
        </w:rPr>
      </w:pPr>
    </w:p>
    <w:p>
      <w:pPr>
        <w:ind w:left="1060" w:hanging="424"/>
        <w:spacing w:after="0"/>
        <w:tabs>
          <w:tab w:leader="none" w:pos="1060" w:val="left"/>
        </w:tabs>
        <w:numPr>
          <w:ilvl w:val="0"/>
          <w:numId w:val="55"/>
        </w:numPr>
        <w:rPr>
          <w:rFonts w:ascii="Arial" w:cs="Arial" w:eastAsia="Arial" w:hAnsi="Arial"/>
          <w:sz w:val="18"/>
          <w:szCs w:val="18"/>
          <w:color w:val="32406B"/>
        </w:rPr>
      </w:pPr>
      <w:r>
        <w:rPr>
          <w:rFonts w:ascii="Arial" w:cs="Arial" w:eastAsia="Arial" w:hAnsi="Arial"/>
          <w:sz w:val="18"/>
          <w:szCs w:val="18"/>
          <w:color w:val="32406B"/>
        </w:rPr>
        <w:t>video-first platform;</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5"/>
        </w:numPr>
        <w:rPr>
          <w:rFonts w:ascii="Arial" w:cs="Arial" w:eastAsia="Arial" w:hAnsi="Arial"/>
          <w:sz w:val="18"/>
          <w:szCs w:val="18"/>
          <w:color w:val="32406B"/>
        </w:rPr>
      </w:pPr>
      <w:r>
        <w:rPr>
          <w:rFonts w:ascii="Arial" w:cs="Arial" w:eastAsia="Arial" w:hAnsi="Arial"/>
          <w:sz w:val="18"/>
          <w:szCs w:val="18"/>
          <w:color w:val="32406B"/>
        </w:rPr>
        <w:t>cloud-native architecture;</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5"/>
        </w:numPr>
        <w:rPr>
          <w:rFonts w:ascii="Arial" w:cs="Arial" w:eastAsia="Arial" w:hAnsi="Arial"/>
          <w:sz w:val="18"/>
          <w:szCs w:val="18"/>
          <w:color w:val="32406B"/>
        </w:rPr>
      </w:pPr>
      <w:r>
        <w:rPr>
          <w:rFonts w:ascii="Arial" w:cs="Arial" w:eastAsia="Arial" w:hAnsi="Arial"/>
          <w:sz w:val="18"/>
          <w:szCs w:val="18"/>
          <w:color w:val="32406B"/>
        </w:rPr>
        <w:t>functionality and scalability;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56"/>
        </w:numPr>
        <w:rPr>
          <w:rFonts w:ascii="Arial" w:cs="Arial" w:eastAsia="Arial" w:hAnsi="Arial"/>
          <w:sz w:val="18"/>
          <w:szCs w:val="18"/>
          <w:color w:val="32406B"/>
        </w:rPr>
      </w:pPr>
      <w:r>
        <w:rPr>
          <w:rFonts w:ascii="Arial" w:cs="Arial" w:eastAsia="Arial" w:hAnsi="Arial"/>
          <w:sz w:val="18"/>
          <w:szCs w:val="18"/>
          <w:color w:val="32406B"/>
        </w:rPr>
        <w:t>ease of use and reliability;</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6"/>
        </w:numPr>
        <w:rPr>
          <w:rFonts w:ascii="Arial" w:cs="Arial" w:eastAsia="Arial" w:hAnsi="Arial"/>
          <w:sz w:val="18"/>
          <w:szCs w:val="18"/>
          <w:color w:val="32406B"/>
        </w:rPr>
      </w:pPr>
      <w:r>
        <w:rPr>
          <w:rFonts w:ascii="Arial" w:cs="Arial" w:eastAsia="Arial" w:hAnsi="Arial"/>
          <w:sz w:val="18"/>
          <w:szCs w:val="18"/>
          <w:color w:val="32406B"/>
        </w:rPr>
        <w:t>ability to utilize existing infrastructure such as legacy conference room hardware;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56"/>
        </w:numPr>
        <w:rPr>
          <w:rFonts w:ascii="Arial" w:cs="Arial" w:eastAsia="Arial" w:hAnsi="Arial"/>
          <w:sz w:val="18"/>
          <w:szCs w:val="18"/>
          <w:color w:val="32406B"/>
        </w:rPr>
      </w:pPr>
      <w:r>
        <w:rPr>
          <w:rFonts w:ascii="Arial" w:cs="Arial" w:eastAsia="Arial" w:hAnsi="Arial"/>
          <w:sz w:val="18"/>
          <w:szCs w:val="18"/>
          <w:color w:val="32406B"/>
        </w:rPr>
        <w:t>low total cost of ownership.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Intellectual Property</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32406B"/>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6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Facilities</w:t>
      </w:r>
    </w:p>
    <w:p>
      <w:pPr>
        <w:spacing w:after="0" w:line="121"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32406B"/>
        </w:rPr>
        <w:t>Our corporate headquarters is located in San Jose, California, where we lease approximately 66,000 square feet of commercial space pursuant to operating leases that expire in the year ending January 31, 2030. In addition, we maintain additional offices in the United States and internationally in Australia, China and the United Kingdom. We believe that our facilities are suitable to meet our current needs.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Our Employees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32406B"/>
        </w:rPr>
        <w:t>As of January 31, 2019, we had 1,702 full-time employees. Of these employees, 1,012 are in the United States and 690 are in our international locations. None of our employees are represented by a labor union or covered by collective bargaining agreements, and we have not experienced any work stoppages.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92</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information for our executive officers and directors as of March 15,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00" w:type="dxa"/>
            <w:vAlign w:val="bottom"/>
            <w:gridSpan w:val="3"/>
          </w:tcPr>
          <w:p>
            <w:pPr>
              <w:spacing w:after="0"/>
              <w:rPr>
                <w:sz w:val="20"/>
                <w:szCs w:val="20"/>
                <w:color w:val="auto"/>
              </w:rPr>
            </w:pPr>
            <w:r>
              <w:rPr>
                <w:rFonts w:ascii="Arial" w:cs="Arial" w:eastAsia="Arial" w:hAnsi="Arial"/>
                <w:sz w:val="14"/>
                <w:szCs w:val="14"/>
                <w:b w:val="1"/>
                <w:bCs w:val="1"/>
                <w:color w:val="32406B"/>
              </w:rPr>
              <w:t>Name</w:t>
            </w:r>
          </w:p>
        </w:tc>
        <w:tc>
          <w:tcPr>
            <w:tcW w:w="1320" w:type="dxa"/>
            <w:vAlign w:val="bottom"/>
            <w:gridSpan w:val="2"/>
          </w:tcPr>
          <w:p>
            <w:pPr>
              <w:ind w:left="1060"/>
              <w:spacing w:after="0"/>
              <w:rPr>
                <w:sz w:val="20"/>
                <w:szCs w:val="20"/>
                <w:color w:val="auto"/>
              </w:rPr>
            </w:pPr>
            <w:r>
              <w:rPr>
                <w:rFonts w:ascii="Arial" w:cs="Arial" w:eastAsia="Arial" w:hAnsi="Arial"/>
                <w:sz w:val="14"/>
                <w:szCs w:val="14"/>
                <w:b w:val="1"/>
                <w:bCs w:val="1"/>
                <w:color w:val="32406B"/>
                <w:w w:val="90"/>
              </w:rPr>
              <w:t>Age</w:t>
            </w:r>
          </w:p>
        </w:tc>
        <w:tc>
          <w:tcPr>
            <w:tcW w:w="6720" w:type="dxa"/>
            <w:vAlign w:val="bottom"/>
            <w:gridSpan w:val="3"/>
          </w:tcPr>
          <w:p>
            <w:pPr>
              <w:ind w:left="200"/>
              <w:spacing w:after="0"/>
              <w:rPr>
                <w:sz w:val="20"/>
                <w:szCs w:val="20"/>
                <w:color w:val="auto"/>
              </w:rPr>
            </w:pPr>
            <w:r>
              <w:rPr>
                <w:rFonts w:ascii="Arial" w:cs="Arial" w:eastAsia="Arial" w:hAnsi="Arial"/>
                <w:sz w:val="14"/>
                <w:szCs w:val="14"/>
                <w:b w:val="1"/>
                <w:bCs w:val="1"/>
                <w:color w:val="32406B"/>
              </w:rPr>
              <w:t>Position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32406B"/>
              </w:rPr>
              <w:t>Executive Officers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32406B"/>
              </w:rPr>
              <w:t>Eric S. Yuan</w:t>
            </w:r>
          </w:p>
        </w:tc>
        <w:tc>
          <w:tcPr>
            <w:tcW w:w="1320" w:type="dxa"/>
            <w:vAlign w:val="bottom"/>
            <w:gridSpan w:val="2"/>
          </w:tcPr>
          <w:p>
            <w:pPr>
              <w:ind w:left="1060"/>
              <w:spacing w:after="0"/>
              <w:rPr>
                <w:sz w:val="20"/>
                <w:szCs w:val="20"/>
                <w:color w:val="auto"/>
              </w:rPr>
            </w:pPr>
            <w:r>
              <w:rPr>
                <w:rFonts w:ascii="Arial" w:cs="Arial" w:eastAsia="Arial" w:hAnsi="Arial"/>
                <w:sz w:val="18"/>
                <w:szCs w:val="18"/>
                <w:color w:val="32406B"/>
              </w:rPr>
              <w:t>49</w:t>
            </w:r>
          </w:p>
        </w:tc>
        <w:tc>
          <w:tcPr>
            <w:tcW w:w="6720" w:type="dxa"/>
            <w:vAlign w:val="bottom"/>
            <w:gridSpan w:val="3"/>
          </w:tcPr>
          <w:p>
            <w:pPr>
              <w:ind w:left="200"/>
              <w:spacing w:after="0"/>
              <w:rPr>
                <w:sz w:val="20"/>
                <w:szCs w:val="20"/>
                <w:color w:val="auto"/>
              </w:rPr>
            </w:pPr>
            <w:r>
              <w:rPr>
                <w:rFonts w:ascii="Arial" w:cs="Arial" w:eastAsia="Arial" w:hAnsi="Arial"/>
                <w:sz w:val="18"/>
                <w:szCs w:val="18"/>
                <w:color w:val="32406B"/>
              </w:rPr>
              <w:t>President, Chief Executive Officer and Chairman of the Board</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Aparna Bawa</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2406B"/>
              </w:rPr>
              <w:t>41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32406B"/>
              </w:rPr>
              <w:t>General Counsel and Secretary</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32406B"/>
              </w:rPr>
              <w:t>Janine Pelosi</w:t>
            </w:r>
          </w:p>
        </w:tc>
        <w:tc>
          <w:tcPr>
            <w:tcW w:w="1320" w:type="dxa"/>
            <w:vAlign w:val="bottom"/>
            <w:gridSpan w:val="2"/>
          </w:tcPr>
          <w:p>
            <w:pPr>
              <w:ind w:left="1060"/>
              <w:spacing w:after="0"/>
              <w:rPr>
                <w:sz w:val="20"/>
                <w:szCs w:val="20"/>
                <w:color w:val="auto"/>
              </w:rPr>
            </w:pPr>
            <w:r>
              <w:rPr>
                <w:rFonts w:ascii="Arial" w:cs="Arial" w:eastAsia="Arial" w:hAnsi="Arial"/>
                <w:sz w:val="18"/>
                <w:szCs w:val="18"/>
                <w:color w:val="32406B"/>
              </w:rPr>
              <w:t>36</w:t>
            </w:r>
          </w:p>
        </w:tc>
        <w:tc>
          <w:tcPr>
            <w:tcW w:w="6720" w:type="dxa"/>
            <w:vAlign w:val="bottom"/>
            <w:gridSpan w:val="3"/>
          </w:tcPr>
          <w:p>
            <w:pPr>
              <w:ind w:left="200"/>
              <w:spacing w:after="0"/>
              <w:rPr>
                <w:sz w:val="20"/>
                <w:szCs w:val="20"/>
                <w:color w:val="auto"/>
              </w:rPr>
            </w:pPr>
            <w:r>
              <w:rPr>
                <w:rFonts w:ascii="Arial" w:cs="Arial" w:eastAsia="Arial" w:hAnsi="Arial"/>
                <w:sz w:val="18"/>
                <w:szCs w:val="18"/>
                <w:color w:val="32406B"/>
              </w:rPr>
              <w:t>Chief Marketing Officer</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Kelly Steckelberg</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2406B"/>
              </w:rPr>
              <w:t>51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32406B"/>
              </w:rPr>
              <w:t>Chief Financial Officer</w:t>
            </w:r>
          </w:p>
        </w:tc>
        <w:tc>
          <w:tcPr>
            <w:tcW w:w="0" w:type="dxa"/>
            <w:vAlign w:val="bottom"/>
          </w:tcPr>
          <w:p>
            <w:pPr>
              <w:spacing w:after="0"/>
              <w:rPr>
                <w:sz w:val="1"/>
                <w:szCs w:val="1"/>
                <w:color w:val="auto"/>
              </w:rPr>
            </w:pP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b w:val="1"/>
                <w:bCs w:val="1"/>
                <w:i w:val="1"/>
                <w:iCs w:val="1"/>
                <w:color w:val="32406B"/>
              </w:rPr>
              <w:t>Non-Employee Directors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Jonathan Chadwick</w:t>
            </w:r>
            <w:r>
              <w:rPr>
                <w:rFonts w:ascii="Arial" w:cs="Arial" w:eastAsia="Arial" w:hAnsi="Arial"/>
                <w:sz w:val="15"/>
                <w:szCs w:val="15"/>
                <w:color w:val="32406B"/>
              </w:rPr>
              <w:t>(1)</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2406B"/>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32406B"/>
              </w:rPr>
              <w:t>Carl M. Eschenbach</w:t>
            </w:r>
            <w:r>
              <w:rPr>
                <w:rFonts w:ascii="Arial" w:cs="Arial" w:eastAsia="Arial" w:hAnsi="Arial"/>
                <w:sz w:val="15"/>
                <w:szCs w:val="15"/>
                <w:color w:val="32406B"/>
              </w:rPr>
              <w:t>(1)</w:t>
            </w:r>
          </w:p>
        </w:tc>
        <w:tc>
          <w:tcPr>
            <w:tcW w:w="1320" w:type="dxa"/>
            <w:vAlign w:val="bottom"/>
            <w:gridSpan w:val="2"/>
          </w:tcPr>
          <w:p>
            <w:pPr>
              <w:ind w:left="1060"/>
              <w:spacing w:after="0"/>
              <w:rPr>
                <w:sz w:val="20"/>
                <w:szCs w:val="20"/>
                <w:color w:val="auto"/>
              </w:rPr>
            </w:pPr>
            <w:r>
              <w:rPr>
                <w:rFonts w:ascii="Arial" w:cs="Arial" w:eastAsia="Arial" w:hAnsi="Arial"/>
                <w:sz w:val="18"/>
                <w:szCs w:val="18"/>
                <w:color w:val="32406B"/>
              </w:rPr>
              <w:t>52</w:t>
            </w:r>
          </w:p>
        </w:tc>
        <w:tc>
          <w:tcPr>
            <w:tcW w:w="6720" w:type="dxa"/>
            <w:vAlign w:val="bottom"/>
            <w:gridSpan w:val="3"/>
          </w:tcPr>
          <w:p>
            <w:pPr>
              <w:ind w:left="20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Peter Gassner</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2406B"/>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32406B"/>
              </w:rPr>
              <w:t>Kimberly L. Hammonds</w:t>
            </w:r>
            <w:r>
              <w:rPr>
                <w:rFonts w:ascii="Arial" w:cs="Arial" w:eastAsia="Arial" w:hAnsi="Arial"/>
                <w:sz w:val="15"/>
                <w:szCs w:val="15"/>
                <w:color w:val="32406B"/>
              </w:rPr>
              <w:t>(3)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32406B"/>
              </w:rPr>
              <w:t>51</w:t>
            </w:r>
          </w:p>
        </w:tc>
        <w:tc>
          <w:tcPr>
            <w:tcW w:w="6720" w:type="dxa"/>
            <w:vAlign w:val="bottom"/>
            <w:gridSpan w:val="3"/>
          </w:tcPr>
          <w:p>
            <w:pPr>
              <w:ind w:left="20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Dan Scheinman</w:t>
            </w:r>
            <w:r>
              <w:rPr>
                <w:rFonts w:ascii="Arial" w:cs="Arial" w:eastAsia="Arial" w:hAnsi="Arial"/>
                <w:sz w:val="15"/>
                <w:szCs w:val="15"/>
                <w:color w:val="32406B"/>
              </w:rPr>
              <w:t>(1)(2)</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2406B"/>
              </w:rPr>
              <w:t>56</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32406B"/>
              </w:rPr>
              <w:t>Lead Independent 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32406B"/>
              </w:rPr>
              <w:t>Santiago Subotovsky</w:t>
            </w:r>
            <w:r>
              <w:rPr>
                <w:rFonts w:ascii="Arial" w:cs="Arial" w:eastAsia="Arial" w:hAnsi="Arial"/>
                <w:sz w:val="15"/>
                <w:szCs w:val="15"/>
                <w:color w:val="32406B"/>
              </w:rPr>
              <w:t>(2)(3)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32406B"/>
              </w:rPr>
              <w:t>41</w:t>
            </w:r>
          </w:p>
        </w:tc>
        <w:tc>
          <w:tcPr>
            <w:tcW w:w="6720" w:type="dxa"/>
            <w:vAlign w:val="bottom"/>
            <w:gridSpan w:val="3"/>
          </w:tcPr>
          <w:p>
            <w:pPr>
              <w:ind w:left="20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Bart Swanson</w:t>
            </w:r>
            <w:r>
              <w:rPr>
                <w:rFonts w:ascii="Arial" w:cs="Arial" w:eastAsia="Arial" w:hAnsi="Arial"/>
                <w:sz w:val="15"/>
                <w:szCs w:val="15"/>
                <w:color w:val="32406B"/>
              </w:rPr>
              <w:t>(2)(3)</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2406B"/>
              </w:rPr>
              <w:t>55</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32406B"/>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Member of the audit committee.</w:t>
      </w:r>
    </w:p>
    <w:p>
      <w:pPr>
        <w:spacing w:after="0" w:line="23" w:lineRule="exact"/>
        <w:rPr>
          <w:rFonts w:ascii="Arial" w:cs="Arial" w:eastAsia="Arial" w:hAnsi="Arial"/>
          <w:sz w:val="18"/>
          <w:szCs w:val="18"/>
          <w:color w:val="32406B"/>
        </w:rPr>
      </w:pPr>
    </w:p>
    <w:p>
      <w:pPr>
        <w:ind w:left="640" w:hanging="436"/>
        <w:spacing w:after="0"/>
        <w:tabs>
          <w:tab w:leader="none" w:pos="64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Member of the compensation committee.</w:t>
      </w:r>
    </w:p>
    <w:p>
      <w:pPr>
        <w:spacing w:after="0" w:line="9" w:lineRule="exact"/>
        <w:rPr>
          <w:rFonts w:ascii="Arial" w:cs="Arial" w:eastAsia="Arial" w:hAnsi="Arial"/>
          <w:sz w:val="18"/>
          <w:szCs w:val="18"/>
          <w:color w:val="32406B"/>
        </w:rPr>
      </w:pPr>
    </w:p>
    <w:p>
      <w:pPr>
        <w:ind w:left="640" w:hanging="436"/>
        <w:spacing w:after="0"/>
        <w:tabs>
          <w:tab w:leader="none" w:pos="64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Executive Officers</w:t>
      </w:r>
    </w:p>
    <w:p>
      <w:pPr>
        <w:spacing w:after="0" w:line="12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i w:val="1"/>
          <w:iCs w:val="1"/>
          <w:color w:val="32406B"/>
        </w:rPr>
        <w:t>Eric S. Yuan</w:t>
      </w:r>
      <w:r>
        <w:rPr>
          <w:rFonts w:ascii="Arial" w:cs="Arial" w:eastAsia="Arial" w:hAnsi="Arial"/>
          <w:sz w:val="16"/>
          <w:szCs w:val="16"/>
          <w:color w:val="32406B"/>
        </w:rPr>
        <w:t>. Mr. Yuan is the founder of our company and has served as the Chairman of our board directors, President and Chief Executive</w:t>
      </w:r>
      <w:r>
        <w:rPr>
          <w:rFonts w:ascii="Arial" w:cs="Arial" w:eastAsia="Arial" w:hAnsi="Arial"/>
          <w:sz w:val="16"/>
          <w:szCs w:val="16"/>
          <w:i w:val="1"/>
          <w:iCs w:val="1"/>
          <w:color w:val="32406B"/>
        </w:rPr>
        <w:t xml:space="preserve"> </w:t>
      </w:r>
      <w:r>
        <w:rPr>
          <w:rFonts w:ascii="Arial" w:cs="Arial" w:eastAsia="Arial" w:hAnsi="Arial"/>
          <w:sz w:val="16"/>
          <w:szCs w:val="16"/>
          <w:color w:val="32406B"/>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58"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32406B"/>
        </w:rPr>
        <w:t>Mr. Yuan was selected to serve on our board of directors because of the perspective and experience he brings as our founder, as well as his extensive experience with technology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32406B"/>
        </w:rPr>
        <w:t>Aparna Bawa</w:t>
      </w:r>
      <w:r>
        <w:rPr>
          <w:rFonts w:ascii="Arial" w:cs="Arial" w:eastAsia="Arial" w:hAnsi="Arial"/>
          <w:sz w:val="18"/>
          <w:szCs w:val="18"/>
          <w:color w:val="32406B"/>
        </w:rPr>
        <w:t>. Ms. Bawa has served as our General Counsel since September 2018 and as our Secretary since December 2018. Prior to joining us,</w:t>
      </w:r>
      <w:r>
        <w:rPr>
          <w:rFonts w:ascii="Arial" w:cs="Arial" w:eastAsia="Arial" w:hAnsi="Arial"/>
          <w:sz w:val="18"/>
          <w:szCs w:val="18"/>
          <w:i w:val="1"/>
          <w:iCs w:val="1"/>
          <w:color w:val="32406B"/>
        </w:rPr>
        <w:t xml:space="preserve"> </w:t>
      </w:r>
      <w:r>
        <w:rPr>
          <w:rFonts w:ascii="Arial" w:cs="Arial" w:eastAsia="Arial" w:hAnsi="Arial"/>
          <w:sz w:val="18"/>
          <w:szCs w:val="18"/>
          <w:color w:val="32406B"/>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32406B"/>
        </w:rPr>
        <w:t>Janine Pelosi</w:t>
      </w:r>
      <w:r>
        <w:rPr>
          <w:rFonts w:ascii="Arial" w:cs="Arial" w:eastAsia="Arial" w:hAnsi="Arial"/>
          <w:sz w:val="18"/>
          <w:szCs w:val="18"/>
          <w:color w:val="32406B"/>
        </w:rPr>
        <w:t>. Ms. Pelosi has served as our Chief Marketing Officer since March 2019. She previously served as our Head of Marketing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Online Business from November 2018 to March 2019. Prior to this, Ms. Pelosi served as our Head of Marketing from March 2015 to November 2018. From May 2007</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93</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32406B"/>
        </w:rPr>
        <w:t>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32406B"/>
        </w:rPr>
        <w:t xml:space="preserve">Kelly Steckelberg. </w:t>
      </w:r>
      <w:r>
        <w:rPr>
          <w:rFonts w:ascii="Arial" w:cs="Arial" w:eastAsia="Arial" w:hAnsi="Arial"/>
          <w:sz w:val="18"/>
          <w:szCs w:val="18"/>
          <w:color w:val="32406B"/>
        </w:rPr>
        <w:t>Ms. Steckelberg has served as our Chief Financial Officer since November 2017. Prior to joining us, Ms. Steckelberg served in</w:t>
      </w:r>
      <w:r>
        <w:rPr>
          <w:rFonts w:ascii="Arial" w:cs="Arial" w:eastAsia="Arial" w:hAnsi="Arial"/>
          <w:sz w:val="18"/>
          <w:szCs w:val="18"/>
          <w:i w:val="1"/>
          <w:iCs w:val="1"/>
          <w:color w:val="32406B"/>
        </w:rPr>
        <w:t xml:space="preserve"> </w:t>
      </w:r>
      <w:r>
        <w:rPr>
          <w:rFonts w:ascii="Arial" w:cs="Arial" w:eastAsia="Arial" w:hAnsi="Arial"/>
          <w:sz w:val="18"/>
          <w:szCs w:val="18"/>
          <w:color w:val="32406B"/>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Non-Employee Directors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32406B"/>
        </w:rPr>
        <w:t>Jonathan Chadwick</w:t>
      </w:r>
      <w:r>
        <w:rPr>
          <w:rFonts w:ascii="Arial" w:cs="Arial" w:eastAsia="Arial" w:hAnsi="Arial"/>
          <w:sz w:val="17"/>
          <w:szCs w:val="17"/>
          <w:color w:val="32406B"/>
        </w:rPr>
        <w:t>. Mr. Chadwick has served as a member of our board of directors since September 2017. Since April 2016, Mr. Chadwick has</w:t>
      </w:r>
      <w:r>
        <w:rPr>
          <w:rFonts w:ascii="Arial" w:cs="Arial" w:eastAsia="Arial" w:hAnsi="Arial"/>
          <w:sz w:val="17"/>
          <w:szCs w:val="17"/>
          <w:i w:val="1"/>
          <w:iCs w:val="1"/>
          <w:color w:val="32406B"/>
        </w:rPr>
        <w:t xml:space="preserve"> </w:t>
      </w:r>
      <w:r>
        <w:rPr>
          <w:rFonts w:ascii="Arial" w:cs="Arial" w:eastAsia="Arial" w:hAnsi="Arial"/>
          <w:sz w:val="17"/>
          <w:szCs w:val="17"/>
          <w:color w:val="32406B"/>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ServiceNow, Inc., a cloud computing company, and various private companies. He previously served on the board of directors of F5 Networks, Inc., an application networking delivery company. Mr. Chadwick is a Chartered Accountant in England and holds a B.Sc. degree in Electrical and Electronic Engineering from the University of Bath.</w:t>
      </w:r>
    </w:p>
    <w:p>
      <w:pPr>
        <w:spacing w:after="0" w:line="18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32406B"/>
        </w:rPr>
        <w:t>We believe Mr. Chadwick is qualified to serve as a member of our board of directors because of his significant financial expertise as a Chief Financial Officer and service on the boards of directors of various public companies.</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32406B"/>
        </w:rPr>
        <w:t>Carl M. Eschenbach</w:t>
      </w:r>
      <w:r>
        <w:rPr>
          <w:rFonts w:ascii="Arial" w:cs="Arial" w:eastAsia="Arial" w:hAnsi="Arial"/>
          <w:sz w:val="16"/>
          <w:szCs w:val="16"/>
          <w:color w:val="32406B"/>
        </w:rPr>
        <w:t>. Mr. Eschenbach has served as a member of our board of directors since November 2016. Since April 2016, Mr. Eschenbach</w:t>
      </w:r>
      <w:r>
        <w:rPr>
          <w:rFonts w:ascii="Arial" w:cs="Arial" w:eastAsia="Arial" w:hAnsi="Arial"/>
          <w:sz w:val="16"/>
          <w:szCs w:val="16"/>
          <w:i w:val="1"/>
          <w:iCs w:val="1"/>
          <w:color w:val="32406B"/>
        </w:rPr>
        <w:t xml:space="preserve"> </w:t>
      </w:r>
      <w:r>
        <w:rPr>
          <w:rFonts w:ascii="Arial" w:cs="Arial" w:eastAsia="Arial" w:hAnsi="Arial"/>
          <w:sz w:val="16"/>
          <w:szCs w:val="16"/>
          <w:color w:val="32406B"/>
        </w:rPr>
        <w:t>has been a general partner at Sequoia Capital Operations, LLC, a venture capital firm. Prior to joining Sequoia Capital Operations, LLC,</w:t>
      </w:r>
    </w:p>
    <w:p>
      <w:pPr>
        <w:ind w:left="200" w:right="120"/>
        <w:spacing w:after="0" w:line="269" w:lineRule="auto"/>
        <w:rPr>
          <w:sz w:val="20"/>
          <w:szCs w:val="20"/>
          <w:color w:val="auto"/>
        </w:rPr>
      </w:pPr>
      <w:r>
        <w:rPr>
          <w:rFonts w:ascii="Arial" w:cs="Arial" w:eastAsia="Arial" w:hAnsi="Arial"/>
          <w:sz w:val="17"/>
          <w:szCs w:val="17"/>
          <w:color w:val="32406B"/>
        </w:rPr>
        <w:t>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94</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We believe Mr. Eschenbach is qualified to serve as a member of our board of directors because of his significant experience in the technology industry and service on the boards of directors of various public companies.</w:t>
      </w:r>
    </w:p>
    <w:p>
      <w:pPr>
        <w:spacing w:after="0" w:line="17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32406B"/>
        </w:rPr>
        <w:t xml:space="preserve">Peter Gassner. </w:t>
      </w:r>
      <w:r>
        <w:rPr>
          <w:rFonts w:ascii="Arial" w:cs="Arial" w:eastAsia="Arial" w:hAnsi="Arial"/>
          <w:sz w:val="17"/>
          <w:szCs w:val="17"/>
          <w:color w:val="32406B"/>
        </w:rPr>
        <w:t>Mr. Gassner has served as a member of our board of directors since October 2015. Since January 2007, Mr. Gassner has served as</w:t>
      </w:r>
      <w:r>
        <w:rPr>
          <w:rFonts w:ascii="Arial" w:cs="Arial" w:eastAsia="Arial" w:hAnsi="Arial"/>
          <w:sz w:val="17"/>
          <w:szCs w:val="17"/>
          <w:i w:val="1"/>
          <w:iCs w:val="1"/>
          <w:color w:val="32406B"/>
        </w:rPr>
        <w:t xml:space="preserve"> </w:t>
      </w:r>
      <w:r>
        <w:rPr>
          <w:rFonts w:ascii="Arial" w:cs="Arial" w:eastAsia="Arial" w:hAnsi="Arial"/>
          <w:sz w:val="17"/>
          <w:szCs w:val="17"/>
          <w:color w:val="32406B"/>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7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32406B"/>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32406B"/>
        </w:rPr>
        <w:t xml:space="preserve">Kimberly L. Hammonds. </w:t>
      </w:r>
      <w:r>
        <w:rPr>
          <w:rFonts w:ascii="Arial" w:cs="Arial" w:eastAsia="Arial" w:hAnsi="Arial"/>
          <w:sz w:val="16"/>
          <w:szCs w:val="16"/>
          <w:color w:val="32406B"/>
        </w:rPr>
        <w:t>Ms. Hammonds has served as a member of our board of directors since September 2018. Ms. Hammonds served as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6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We believe Ms. Hammonds is qualified to serve as a member of our board of directors because of her significant market and financial expertise and service on the boards of directors of various public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32406B"/>
        </w:rPr>
        <w:t>Dan Scheinman</w:t>
      </w:r>
      <w:r>
        <w:rPr>
          <w:rFonts w:ascii="Arial" w:cs="Arial" w:eastAsia="Arial" w:hAnsi="Arial"/>
          <w:sz w:val="18"/>
          <w:szCs w:val="18"/>
          <w:color w:val="32406B"/>
        </w:rPr>
        <w:t>. Mr. Scheinman has served as a member of our board of directors since January 2013. Since April 2011, Mr. Scheinman has</w:t>
      </w:r>
      <w:r>
        <w:rPr>
          <w:rFonts w:ascii="Arial" w:cs="Arial" w:eastAsia="Arial" w:hAnsi="Arial"/>
          <w:sz w:val="18"/>
          <w:szCs w:val="18"/>
          <w:i w:val="1"/>
          <w:iCs w:val="1"/>
          <w:color w:val="32406B"/>
        </w:rPr>
        <w:t xml:space="preserve"> </w:t>
      </w:r>
      <w:r>
        <w:rPr>
          <w:rFonts w:ascii="Arial" w:cs="Arial" w:eastAsia="Arial" w:hAnsi="Arial"/>
          <w:sz w:val="18"/>
          <w:szCs w:val="18"/>
          <w:color w:val="32406B"/>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32406B"/>
        </w:rPr>
        <w:t>We believe Mr. Scheinman is qualified to serve as a member of our board of directors because of his significant knowledge of our company and the technology industry.</w:t>
      </w:r>
    </w:p>
    <w:p>
      <w:pPr>
        <w:spacing w:after="0" w:line="170"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i w:val="1"/>
          <w:iCs w:val="1"/>
          <w:color w:val="32406B"/>
        </w:rPr>
        <w:t>Santiago Subotovsky</w:t>
      </w:r>
      <w:r>
        <w:rPr>
          <w:rFonts w:ascii="Arial" w:cs="Arial" w:eastAsia="Arial" w:hAnsi="Arial"/>
          <w:sz w:val="18"/>
          <w:szCs w:val="18"/>
          <w:color w:val="32406B"/>
        </w:rPr>
        <w:t>. Mr. Subotovsky has served as a member of our board of directors since December 2014. Mr. Subotovsky is a General</w:t>
      </w:r>
      <w:r>
        <w:rPr>
          <w:rFonts w:ascii="Arial" w:cs="Arial" w:eastAsia="Arial" w:hAnsi="Arial"/>
          <w:sz w:val="18"/>
          <w:szCs w:val="18"/>
          <w:i w:val="1"/>
          <w:iCs w:val="1"/>
          <w:color w:val="32406B"/>
        </w:rPr>
        <w:t xml:space="preserve"> </w:t>
      </w:r>
      <w:r>
        <w:rPr>
          <w:rFonts w:ascii="Arial" w:cs="Arial" w:eastAsia="Arial" w:hAnsi="Arial"/>
          <w:sz w:val="18"/>
          <w:szCs w:val="18"/>
          <w:color w:val="32406B"/>
        </w:rPr>
        <w:t>Partner at Emergence Capital, a venture capital firm, and has been with the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95</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We believe Mr. Subotovsky is qualified to serve on our board of directors because of his experience in the venture capital industry and his market knowledge and experience serving as a director of various private companies.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32406B"/>
        </w:rPr>
        <w:t>Bart Swanson</w:t>
      </w:r>
      <w:r>
        <w:rPr>
          <w:rFonts w:ascii="Arial" w:cs="Arial" w:eastAsia="Arial" w:hAnsi="Arial"/>
          <w:sz w:val="17"/>
          <w:szCs w:val="17"/>
          <w:color w:val="32406B"/>
        </w:rPr>
        <w:t>. Mr. Swanson has served as a member of our board of directors since August 2013. Since March 2013, Mr. Swanson has served as</w:t>
      </w:r>
      <w:r>
        <w:rPr>
          <w:rFonts w:ascii="Arial" w:cs="Arial" w:eastAsia="Arial" w:hAnsi="Arial"/>
          <w:sz w:val="17"/>
          <w:szCs w:val="17"/>
          <w:i w:val="1"/>
          <w:iCs w:val="1"/>
          <w:color w:val="32406B"/>
        </w:rPr>
        <w:t xml:space="preserve"> </w:t>
      </w:r>
      <w:r>
        <w:rPr>
          <w:rFonts w:ascii="Arial" w:cs="Arial" w:eastAsia="Arial" w:hAnsi="Arial"/>
          <w:sz w:val="17"/>
          <w:szCs w:val="17"/>
          <w:color w:val="32406B"/>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7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We believe Mr. Swanson is qualified to serve as a member of our board of directors because of his experience in the venture capital industry and his market knowledge and experience serving as a director of various private companies.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Composition of Our Board of Directors</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32406B"/>
        </w:rPr>
        <w:t>Our business and affairs are managed under the direction of our board of directors. We currently have eight directors. Our current directors will continue to serve as directors until their resignation, removal or successor is duly elected. Pursuant to our amended and restated bylaws and amended and restated certificate of incorporation as in effect prior to the completion of this offering and a voting agreement, Messrs. Scheinman and Yuan were elected to serve as members of our board of directors by the holders of our common stock, Messrs. Eschenbach, Subotovsky and Swanson were elected to serve as members of our board of directors by the holders of our convertible preferred stock, and Messrs. Chadwick and Gassner and Ms. Hammonds were elected to serve as members of our board of directors by the holders of a majority of our capital stock, voting together. The provisions of our amended and restated bylaws, amended and restated certificate of incorporation, and the voting agreement by which the directors are currently elected will terminate in connection with this offering, and there will be no contractual obligations regarding the election of our directors upon completion of this offering.</w:t>
      </w:r>
    </w:p>
    <w:p>
      <w:pPr>
        <w:spacing w:after="0" w:line="19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4" w:lineRule="exact"/>
        <w:rPr>
          <w:sz w:val="20"/>
          <w:szCs w:val="20"/>
          <w:color w:val="auto"/>
        </w:rPr>
      </w:pPr>
    </w:p>
    <w:p>
      <w:pPr>
        <w:ind w:left="1060" w:right="80" w:hanging="424"/>
        <w:spacing w:after="0" w:line="277" w:lineRule="auto"/>
        <w:tabs>
          <w:tab w:leader="none" w:pos="106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the Class I directors will be Messrs. Gassner and Yuan, and their terms will expire at our first annual meeting of stockholders following this offering;</w:t>
      </w:r>
    </w:p>
    <w:p>
      <w:pPr>
        <w:spacing w:after="0" w:line="75" w:lineRule="exact"/>
        <w:rPr>
          <w:rFonts w:ascii="Arial" w:cs="Arial" w:eastAsia="Arial" w:hAnsi="Arial"/>
          <w:sz w:val="18"/>
          <w:szCs w:val="18"/>
          <w:color w:val="32406B"/>
        </w:rPr>
      </w:pPr>
    </w:p>
    <w:p>
      <w:pPr>
        <w:ind w:left="1060" w:right="560" w:hanging="424"/>
        <w:spacing w:after="0" w:line="277" w:lineRule="auto"/>
        <w:tabs>
          <w:tab w:leader="none" w:pos="106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the Class II directors will be Messrs. Chadwick and Scheinman and Ms. Hammonds, and their terms will expire at our second annual meeting of stockholders following this offering; and</w:t>
      </w:r>
    </w:p>
    <w:p>
      <w:pPr>
        <w:spacing w:after="0" w:line="75" w:lineRule="exact"/>
        <w:rPr>
          <w:rFonts w:ascii="Arial" w:cs="Arial" w:eastAsia="Arial" w:hAnsi="Arial"/>
          <w:sz w:val="18"/>
          <w:szCs w:val="18"/>
          <w:color w:val="32406B"/>
        </w:rPr>
      </w:pPr>
    </w:p>
    <w:p>
      <w:pPr>
        <w:ind w:left="1060" w:right="420" w:hanging="424"/>
        <w:spacing w:after="0" w:line="277" w:lineRule="auto"/>
        <w:tabs>
          <w:tab w:leader="none" w:pos="106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the Class III directors will be Messrs. Eschenbach, Subotovsky and Swanson, and their terms will expire at our third annual meeting of stockholders following this offering.</w:t>
      </w:r>
    </w:p>
    <w:p>
      <w:pPr>
        <w:spacing w:after="0" w:line="170"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32406B"/>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96</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Director Independence</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Lead Independent Director</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32406B"/>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Committees of Our Board of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Audit Committee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7" w:lineRule="exact"/>
        <w:rPr>
          <w:sz w:val="20"/>
          <w:szCs w:val="20"/>
          <w:color w:val="auto"/>
        </w:rPr>
      </w:pPr>
    </w:p>
    <w:p>
      <w:pPr>
        <w:ind w:left="5620" w:right="3080" w:hanging="4984"/>
        <w:spacing w:after="0" w:line="449" w:lineRule="auto"/>
        <w:tabs>
          <w:tab w:leader="none" w:pos="1064" w:val="left"/>
        </w:tabs>
        <w:numPr>
          <w:ilvl w:val="0"/>
          <w:numId w:val="59"/>
        </w:numPr>
        <w:rPr>
          <w:rFonts w:ascii="Arial" w:cs="Arial" w:eastAsia="Arial" w:hAnsi="Arial"/>
          <w:sz w:val="18"/>
          <w:szCs w:val="18"/>
          <w:color w:val="32406B"/>
        </w:rPr>
      </w:pPr>
      <w:r>
        <w:rPr>
          <w:rFonts w:ascii="Arial" w:cs="Arial" w:eastAsia="Arial" w:hAnsi="Arial"/>
          <w:sz w:val="18"/>
          <w:szCs w:val="18"/>
          <w:color w:val="32406B"/>
        </w:rPr>
        <w:t>helping our board of directors oversee our corporate accounting and financial reporting processes; 97</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32406B"/>
        </w:rPr>
      </w:pPr>
    </w:p>
    <w:p>
      <w:pPr>
        <w:ind w:left="1060" w:right="180" w:hanging="424"/>
        <w:spacing w:after="0" w:line="277" w:lineRule="auto"/>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developing procedures for employees to submit concerns anonymously about questionable accounting or audit matters;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reviewing related person transactions;</w:t>
      </w:r>
    </w:p>
    <w:p>
      <w:pPr>
        <w:spacing w:after="0" w:line="130" w:lineRule="exact"/>
        <w:rPr>
          <w:rFonts w:ascii="Arial" w:cs="Arial" w:eastAsia="Arial" w:hAnsi="Arial"/>
          <w:sz w:val="18"/>
          <w:szCs w:val="18"/>
          <w:color w:val="32406B"/>
        </w:rPr>
      </w:pPr>
    </w:p>
    <w:p>
      <w:pPr>
        <w:ind w:left="1060" w:right="120" w:hanging="424"/>
        <w:spacing w:after="0" w:line="264" w:lineRule="auto"/>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32406B"/>
        </w:rPr>
      </w:pPr>
    </w:p>
    <w:p>
      <w:pPr>
        <w:ind w:left="1060" w:right="280" w:hanging="424"/>
        <w:spacing w:after="0" w:line="277" w:lineRule="auto"/>
        <w:tabs>
          <w:tab w:leader="none" w:pos="106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Our audit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Our compensation committee consists of Messrs. Scheinman, Subotovsky and Swanson. The chair of our compensation committee is</w:t>
      </w:r>
    </w:p>
    <w:p>
      <w:pPr>
        <w:spacing w:after="0" w:line="35" w:lineRule="exact"/>
        <w:rPr>
          <w:sz w:val="20"/>
          <w:szCs w:val="20"/>
          <w:color w:val="auto"/>
        </w:rPr>
      </w:pPr>
    </w:p>
    <w:p>
      <w:pPr>
        <w:ind w:left="200" w:right="200"/>
        <w:spacing w:after="0" w:line="290" w:lineRule="auto"/>
        <w:rPr>
          <w:sz w:val="20"/>
          <w:szCs w:val="20"/>
          <w:color w:val="auto"/>
        </w:rPr>
      </w:pPr>
      <w:r>
        <w:rPr>
          <w:rFonts w:ascii="Arial" w:cs="Arial" w:eastAsia="Arial" w:hAnsi="Arial"/>
          <w:sz w:val="17"/>
          <w:szCs w:val="17"/>
          <w:color w:val="32406B"/>
        </w:rPr>
        <w:t>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060" w:hanging="424"/>
        <w:spacing w:after="0"/>
        <w:tabs>
          <w:tab w:leader="none" w:pos="1060" w:val="left"/>
        </w:tabs>
        <w:numPr>
          <w:ilvl w:val="0"/>
          <w:numId w:val="61"/>
        </w:numPr>
        <w:rPr>
          <w:rFonts w:ascii="Arial" w:cs="Arial" w:eastAsia="Arial" w:hAnsi="Arial"/>
          <w:sz w:val="17"/>
          <w:szCs w:val="17"/>
          <w:color w:val="32406B"/>
        </w:rPr>
      </w:pPr>
      <w:r>
        <w:rPr>
          <w:rFonts w:ascii="Arial" w:cs="Arial" w:eastAsia="Arial" w:hAnsi="Arial"/>
          <w:sz w:val="17"/>
          <w:szCs w:val="17"/>
          <w:color w:val="32406B"/>
        </w:rPr>
        <w:t>reviewing and recommending to our board of directors the compensation of our chief executive officer and other executive officers;</w:t>
      </w:r>
    </w:p>
    <w:p>
      <w:pPr>
        <w:spacing w:after="0" w:line="142" w:lineRule="exact"/>
        <w:rPr>
          <w:rFonts w:ascii="Arial" w:cs="Arial" w:eastAsia="Arial" w:hAnsi="Arial"/>
          <w:sz w:val="17"/>
          <w:szCs w:val="17"/>
          <w:color w:val="32406B"/>
        </w:rPr>
      </w:pPr>
    </w:p>
    <w:p>
      <w:pPr>
        <w:ind w:left="1060" w:hanging="424"/>
        <w:spacing w:after="0"/>
        <w:tabs>
          <w:tab w:leader="none" w:pos="106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reviewing and recommending to our board of directors the compensation of our directors;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administering our equity incentive plans and other benefit programs;</w:t>
      </w:r>
    </w:p>
    <w:p>
      <w:pPr>
        <w:spacing w:after="0" w:line="130" w:lineRule="exact"/>
        <w:rPr>
          <w:rFonts w:ascii="Arial" w:cs="Arial" w:eastAsia="Arial" w:hAnsi="Arial"/>
          <w:sz w:val="18"/>
          <w:szCs w:val="18"/>
          <w:color w:val="32406B"/>
        </w:rPr>
      </w:pPr>
    </w:p>
    <w:p>
      <w:pPr>
        <w:jc w:val="both"/>
        <w:ind w:left="1060" w:right="40" w:hanging="424"/>
        <w:spacing w:after="0" w:line="342" w:lineRule="auto"/>
        <w:tabs>
          <w:tab w:leader="none" w:pos="1060" w:val="left"/>
        </w:tabs>
        <w:numPr>
          <w:ilvl w:val="0"/>
          <w:numId w:val="61"/>
        </w:numPr>
        <w:rPr>
          <w:rFonts w:ascii="Arial" w:cs="Arial" w:eastAsia="Arial" w:hAnsi="Arial"/>
          <w:sz w:val="16"/>
          <w:szCs w:val="16"/>
          <w:color w:val="32406B"/>
        </w:rPr>
      </w:pPr>
      <w:r>
        <w:rPr>
          <w:rFonts w:ascii="Arial" w:cs="Arial" w:eastAsia="Arial" w:hAnsi="Arial"/>
          <w:sz w:val="16"/>
          <w:szCs w:val="16"/>
          <w:color w:val="32406B"/>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29" w:lineRule="exact"/>
        <w:rPr>
          <w:rFonts w:ascii="Arial" w:cs="Arial" w:eastAsia="Arial" w:hAnsi="Arial"/>
          <w:sz w:val="16"/>
          <w:szCs w:val="16"/>
          <w:color w:val="32406B"/>
        </w:rPr>
      </w:pPr>
    </w:p>
    <w:p>
      <w:pPr>
        <w:ind w:left="1060" w:right="340" w:hanging="424"/>
        <w:spacing w:after="0" w:line="277" w:lineRule="auto"/>
        <w:tabs>
          <w:tab w:leader="none" w:pos="106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32406B"/>
        </w:rPr>
        <w:t>Our compensation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Nominating and Corporate Governance Committee</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32406B"/>
        </w:rPr>
        <w:t>Our nominating and corporate governance committee consists of Ms. Hammonds and Messrs. Subotovsky and Swanson.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98</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Specific responsibilities of our nominating and corporate governance committee include:</w:t>
      </w:r>
    </w:p>
    <w:p>
      <w:pPr>
        <w:spacing w:after="0" w:line="131" w:lineRule="exact"/>
        <w:rPr>
          <w:sz w:val="20"/>
          <w:szCs w:val="20"/>
          <w:color w:val="auto"/>
        </w:rPr>
      </w:pPr>
    </w:p>
    <w:p>
      <w:pPr>
        <w:ind w:left="1060" w:right="540" w:hanging="424"/>
        <w:spacing w:after="0" w:line="277" w:lineRule="auto"/>
        <w:tabs>
          <w:tab w:leader="none" w:pos="106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32406B"/>
        </w:rPr>
      </w:pPr>
    </w:p>
    <w:p>
      <w:pPr>
        <w:ind w:left="1060" w:right="240" w:hanging="424"/>
        <w:spacing w:after="0" w:line="277" w:lineRule="auto"/>
        <w:tabs>
          <w:tab w:leader="none" w:pos="106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considering and making recommendations to our board of directors regarding the composition and chairmanship of the committees of our board of directors;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62"/>
        </w:numPr>
        <w:rPr>
          <w:rFonts w:ascii="Arial" w:cs="Arial" w:eastAsia="Arial" w:hAnsi="Arial"/>
          <w:sz w:val="16"/>
          <w:szCs w:val="16"/>
          <w:color w:val="32406B"/>
        </w:rPr>
      </w:pPr>
      <w:r>
        <w:rPr>
          <w:rFonts w:ascii="Arial" w:cs="Arial" w:eastAsia="Arial" w:hAnsi="Arial"/>
          <w:sz w:val="16"/>
          <w:szCs w:val="16"/>
          <w:color w:val="32406B"/>
        </w:rPr>
        <w:t>developing and making recommendations to our board of directors regarding corporate governance guidelines and related matters; and</w:t>
      </w:r>
    </w:p>
    <w:p>
      <w:pPr>
        <w:spacing w:after="0" w:line="153" w:lineRule="exact"/>
        <w:rPr>
          <w:rFonts w:ascii="Arial" w:cs="Arial" w:eastAsia="Arial" w:hAnsi="Arial"/>
          <w:sz w:val="16"/>
          <w:szCs w:val="16"/>
          <w:color w:val="32406B"/>
        </w:rPr>
      </w:pPr>
    </w:p>
    <w:p>
      <w:pPr>
        <w:ind w:left="1060" w:hanging="424"/>
        <w:spacing w:after="0"/>
        <w:tabs>
          <w:tab w:leader="none" w:pos="106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overseeing periodic evaluations of the board of directors’ performance, including committees of the board of directors.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Our nominating and corporate governance committee will operate under a written charter, to be effective prior to the completion of this offering, that satisfies the applicable listing standards of The Nasdaq Stock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Code of Business Conduct and Ethics</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32406B"/>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https://zoom.com. In addition, we intend to post on our website all disclosures that are required by law or the listing standards of The Nasdaq Stock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Compensation Committee Interlocks and Insider Participation</w:t>
      </w:r>
    </w:p>
    <w:p>
      <w:pPr>
        <w:spacing w:after="0" w:line="121"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32406B"/>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Director Compensation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During the fiscal year ended January 31, 2019,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32406B"/>
        </w:rPr>
        <w:t>The following table sets forth information regarding the compensation earned or paid to our directors during the fiscal year ended January 31, 2019, other than Eric S. Yuan, our President and Chief Executive Officer, who is also a member of our board of directors but did not receive any additional compensation for service as a director. The compensation of Mr. Yuan as a named executive officer is set forth below under “Executive Compensation—Summary Compensation Table.”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40" w:type="dxa"/>
            <w:vAlign w:val="bottom"/>
            <w:gridSpan w:val="3"/>
          </w:tcPr>
          <w:p>
            <w:pPr>
              <w:spacing w:after="0"/>
              <w:rPr>
                <w:sz w:val="20"/>
                <w:szCs w:val="20"/>
                <w:color w:val="auto"/>
              </w:rPr>
            </w:pPr>
            <w:r>
              <w:rPr>
                <w:rFonts w:ascii="Arial" w:cs="Arial" w:eastAsia="Arial" w:hAnsi="Arial"/>
                <w:sz w:val="14"/>
                <w:szCs w:val="14"/>
                <w:b w:val="1"/>
                <w:bCs w:val="1"/>
                <w:color w:val="32406B"/>
              </w:rPr>
              <w:t>Name</w:t>
            </w:r>
          </w:p>
        </w:tc>
        <w:tc>
          <w:tcPr>
            <w:tcW w:w="31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32406B"/>
                <w:w w:val="96"/>
              </w:rPr>
              <w:t>Option Awards ($)</w:t>
            </w:r>
            <w:r>
              <w:rPr>
                <w:rFonts w:ascii="Arial" w:cs="Arial" w:eastAsia="Arial" w:hAnsi="Arial"/>
                <w:sz w:val="12"/>
                <w:szCs w:val="12"/>
                <w:b w:val="1"/>
                <w:bCs w:val="1"/>
                <w:color w:val="32406B"/>
                <w:w w:val="96"/>
              </w:rPr>
              <w:t>(1)(2)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32406B"/>
              </w:rPr>
              <w:t>Total ($)</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Jonathan Chadwick</w:t>
            </w:r>
            <w:r>
              <w:rPr>
                <w:rFonts w:ascii="Arial" w:cs="Arial" w:eastAsia="Arial" w:hAnsi="Arial"/>
                <w:sz w:val="15"/>
                <w:szCs w:val="15"/>
                <w:color w:val="32406B"/>
              </w:rPr>
              <w:t>(3)</w:t>
            </w:r>
          </w:p>
        </w:tc>
        <w:tc>
          <w:tcPr>
            <w:tcW w:w="3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32406B"/>
              </w:rPr>
              <w:t>Samuel Chen</w:t>
            </w:r>
            <w:r>
              <w:rPr>
                <w:rFonts w:ascii="Arial" w:cs="Arial" w:eastAsia="Arial" w:hAnsi="Arial"/>
                <w:sz w:val="15"/>
                <w:szCs w:val="15"/>
                <w:color w:val="32406B"/>
              </w:rPr>
              <w:t>(4)</w:t>
            </w: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Carl Eschenbach</w:t>
            </w:r>
          </w:p>
        </w:tc>
        <w:tc>
          <w:tcPr>
            <w:tcW w:w="3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32406B"/>
              </w:rPr>
              <w:t>Peter Gassner</w:t>
            </w:r>
            <w:r>
              <w:rPr>
                <w:rFonts w:ascii="Arial" w:cs="Arial" w:eastAsia="Arial" w:hAnsi="Arial"/>
                <w:sz w:val="15"/>
                <w:szCs w:val="15"/>
                <w:color w:val="32406B"/>
              </w:rPr>
              <w:t>(5)</w:t>
            </w: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Kimberly L. Hammonds</w:t>
            </w:r>
            <w:r>
              <w:rPr>
                <w:rFonts w:ascii="Arial" w:cs="Arial" w:eastAsia="Arial" w:hAnsi="Arial"/>
                <w:sz w:val="15"/>
                <w:szCs w:val="15"/>
                <w:color w:val="32406B"/>
              </w:rPr>
              <w:t>(6)</w:t>
            </w:r>
          </w:p>
        </w:tc>
        <w:tc>
          <w:tcPr>
            <w:tcW w:w="3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32406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1,362,390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1,362,390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32406B"/>
              </w:rPr>
              <w:t>Dan Scheinman</w:t>
            </w:r>
            <w:r>
              <w:rPr>
                <w:rFonts w:ascii="Arial" w:cs="Arial" w:eastAsia="Arial" w:hAnsi="Arial"/>
                <w:sz w:val="15"/>
                <w:szCs w:val="15"/>
                <w:color w:val="32406B"/>
              </w:rPr>
              <w:t>(7)</w:t>
            </w:r>
          </w:p>
        </w:tc>
        <w:tc>
          <w:tcPr>
            <w:tcW w:w="3560" w:type="dxa"/>
            <w:vAlign w:val="bottom"/>
            <w:gridSpan w:val="2"/>
          </w:tcPr>
          <w:p>
            <w:pPr>
              <w:jc w:val="right"/>
              <w:ind w:right="288"/>
              <w:spacing w:after="0"/>
              <w:rPr>
                <w:sz w:val="20"/>
                <w:szCs w:val="20"/>
                <w:color w:val="auto"/>
              </w:rPr>
            </w:pPr>
            <w:r>
              <w:rPr>
                <w:rFonts w:ascii="Arial" w:cs="Arial" w:eastAsia="Arial" w:hAnsi="Arial"/>
                <w:sz w:val="18"/>
                <w:szCs w:val="18"/>
                <w:color w:val="32406B"/>
              </w:rPr>
              <w:t>$</w:t>
            </w:r>
          </w:p>
        </w:tc>
        <w:tc>
          <w:tcPr>
            <w:tcW w:w="1080" w:type="dxa"/>
            <w:vAlign w:val="bottom"/>
          </w:tcPr>
          <w:p>
            <w:pPr>
              <w:jc w:val="right"/>
              <w:spacing w:after="0"/>
              <w:rPr>
                <w:sz w:val="20"/>
                <w:szCs w:val="20"/>
                <w:color w:val="auto"/>
              </w:rPr>
            </w:pPr>
            <w:r>
              <w:rPr>
                <w:rFonts w:ascii="Arial" w:cs="Arial" w:eastAsia="Arial" w:hAnsi="Arial"/>
                <w:sz w:val="18"/>
                <w:szCs w:val="18"/>
                <w:color w:val="32406B"/>
              </w:rPr>
              <w:t>903,950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32406B"/>
              </w:rPr>
              <w:t>$</w:t>
            </w:r>
          </w:p>
        </w:tc>
        <w:tc>
          <w:tcPr>
            <w:tcW w:w="780" w:type="dxa"/>
            <w:vAlign w:val="bottom"/>
          </w:tcPr>
          <w:p>
            <w:pPr>
              <w:jc w:val="right"/>
              <w:spacing w:after="0"/>
              <w:rPr>
                <w:sz w:val="20"/>
                <w:szCs w:val="20"/>
                <w:color w:val="auto"/>
              </w:rPr>
            </w:pPr>
            <w:r>
              <w:rPr>
                <w:rFonts w:ascii="Arial" w:cs="Arial" w:eastAsia="Arial" w:hAnsi="Arial"/>
                <w:sz w:val="18"/>
                <w:szCs w:val="18"/>
                <w:color w:val="32406B"/>
              </w:rPr>
              <w:t>903,950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Santiago Subotovsky</w:t>
            </w:r>
          </w:p>
        </w:tc>
        <w:tc>
          <w:tcPr>
            <w:tcW w:w="3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30"/>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32406B"/>
              </w:rPr>
              <w:t>Bart Swanson</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40" w:hanging="436"/>
        <w:spacing w:after="0" w:line="253" w:lineRule="auto"/>
        <w:tabs>
          <w:tab w:leader="none" w:pos="64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The amounts reported represent the aggregate grant date fair value of the stock options granted during the fiscal year ended January 31, 2019 under our 2011 Plan, computed in accordance with Financial Accounting Standard Board Accounting Standards Codification, Topic 718, or ASC Topic 718. The assumptions used in calculating the grant date fair value of the stock options reported in this column are set forth in Note 7 to the notes to our consolidated financial statements included elsewhere in this prospectus. These amounts do not reflect the actual economic value that may be realized by the non-employee directors.</w:t>
      </w:r>
    </w:p>
    <w:p>
      <w:pPr>
        <w:spacing w:after="0" w:line="3" w:lineRule="exact"/>
        <w:rPr>
          <w:rFonts w:ascii="Arial" w:cs="Arial" w:eastAsia="Arial" w:hAnsi="Arial"/>
          <w:sz w:val="18"/>
          <w:szCs w:val="18"/>
          <w:color w:val="32406B"/>
        </w:rPr>
      </w:pPr>
    </w:p>
    <w:p>
      <w:pPr>
        <w:ind w:left="640" w:hanging="436"/>
        <w:spacing w:after="0"/>
        <w:tabs>
          <w:tab w:leader="none" w:pos="640" w:val="left"/>
        </w:tabs>
        <w:numPr>
          <w:ilvl w:val="0"/>
          <w:numId w:val="63"/>
        </w:numPr>
        <w:rPr>
          <w:rFonts w:ascii="Arial" w:cs="Arial" w:eastAsia="Arial" w:hAnsi="Arial"/>
          <w:sz w:val="16"/>
          <w:szCs w:val="16"/>
          <w:color w:val="32406B"/>
        </w:rPr>
      </w:pPr>
      <w:r>
        <w:rPr>
          <w:rFonts w:ascii="Arial" w:cs="Arial" w:eastAsia="Arial" w:hAnsi="Arial"/>
          <w:sz w:val="16"/>
          <w:szCs w:val="16"/>
          <w:color w:val="32406B"/>
        </w:rPr>
        <w:t>As of January 31, 2019, only Mr. Chadwick, Mr. Gassner, Ms. Hammonds and Mr. Scheinman held shares underlying unvested equity awards.</w:t>
      </w:r>
    </w:p>
    <w:p>
      <w:pPr>
        <w:spacing w:after="0" w:line="32" w:lineRule="exact"/>
        <w:rPr>
          <w:rFonts w:ascii="Arial" w:cs="Arial" w:eastAsia="Arial" w:hAnsi="Arial"/>
          <w:sz w:val="16"/>
          <w:szCs w:val="16"/>
          <w:color w:val="32406B"/>
        </w:rPr>
      </w:pPr>
    </w:p>
    <w:p>
      <w:pPr>
        <w:ind w:left="640" w:right="140" w:hanging="436"/>
        <w:spacing w:after="0" w:line="265" w:lineRule="auto"/>
        <w:tabs>
          <w:tab w:leader="none" w:pos="640" w:val="left"/>
        </w:tabs>
        <w:numPr>
          <w:ilvl w:val="0"/>
          <w:numId w:val="63"/>
        </w:numPr>
        <w:rPr>
          <w:rFonts w:ascii="Arial" w:cs="Arial" w:eastAsia="Arial" w:hAnsi="Arial"/>
          <w:sz w:val="17"/>
          <w:szCs w:val="17"/>
          <w:color w:val="32406B"/>
        </w:rPr>
      </w:pPr>
      <w:r>
        <w:rPr>
          <w:rFonts w:ascii="Arial" w:cs="Arial" w:eastAsia="Arial" w:hAnsi="Arial"/>
          <w:sz w:val="17"/>
          <w:szCs w:val="17"/>
          <w:color w:val="32406B"/>
        </w:rPr>
        <w:t>As of January 31, 2019, Mr. Chadwick held 400,000 restricted shares of our Class B common stock, acquired pursuant to his early exercise of a stock option granted in September 2017, of which 133,333 shares had vested as of such date and 266,667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Plan), the vesting of the shares shall accelerate in full.</w:t>
      </w:r>
    </w:p>
    <w:p>
      <w:pPr>
        <w:spacing w:after="0" w:line="1" w:lineRule="exact"/>
        <w:rPr>
          <w:rFonts w:ascii="Arial" w:cs="Arial" w:eastAsia="Arial" w:hAnsi="Arial"/>
          <w:sz w:val="17"/>
          <w:szCs w:val="17"/>
          <w:color w:val="32406B"/>
        </w:rPr>
      </w:pPr>
    </w:p>
    <w:p>
      <w:pPr>
        <w:ind w:left="640" w:hanging="436"/>
        <w:spacing w:after="0"/>
        <w:tabs>
          <w:tab w:leader="none" w:pos="64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Mr. Chen resigned from our board of directors on September 6, 2018.</w:t>
      </w:r>
    </w:p>
    <w:p>
      <w:pPr>
        <w:spacing w:after="0" w:line="9" w:lineRule="exact"/>
        <w:rPr>
          <w:rFonts w:ascii="Arial" w:cs="Arial" w:eastAsia="Arial" w:hAnsi="Arial"/>
          <w:sz w:val="18"/>
          <w:szCs w:val="18"/>
          <w:color w:val="32406B"/>
        </w:rPr>
      </w:pPr>
    </w:p>
    <w:p>
      <w:pPr>
        <w:ind w:left="640" w:right="20" w:hanging="436"/>
        <w:spacing w:after="0" w:line="281" w:lineRule="auto"/>
        <w:tabs>
          <w:tab w:leader="none" w:pos="640" w:val="left"/>
        </w:tabs>
        <w:numPr>
          <w:ilvl w:val="0"/>
          <w:numId w:val="63"/>
        </w:numPr>
        <w:rPr>
          <w:rFonts w:ascii="Arial" w:cs="Arial" w:eastAsia="Arial" w:hAnsi="Arial"/>
          <w:sz w:val="16"/>
          <w:szCs w:val="16"/>
          <w:color w:val="32406B"/>
        </w:rPr>
      </w:pPr>
      <w:r>
        <w:rPr>
          <w:rFonts w:ascii="Arial" w:cs="Arial" w:eastAsia="Arial" w:hAnsi="Arial"/>
          <w:sz w:val="16"/>
          <w:szCs w:val="16"/>
          <w:color w:val="32406B"/>
        </w:rPr>
        <w:t>As of January 31, 2019, Mr. Gassner held 1,202,720 restricted shares of our Class B common stock of which 1,022,312 shares had vested as of such date and 180,408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 Upon a change in control (as defined in the 2011 Plan), the vesting of the shares shall accelerate in full.</w:t>
      </w:r>
    </w:p>
    <w:p>
      <w:pPr>
        <w:spacing w:after="0" w:line="3" w:lineRule="exact"/>
        <w:rPr>
          <w:rFonts w:ascii="Arial" w:cs="Arial" w:eastAsia="Arial" w:hAnsi="Arial"/>
          <w:sz w:val="16"/>
          <w:szCs w:val="16"/>
          <w:color w:val="32406B"/>
        </w:rPr>
      </w:pPr>
    </w:p>
    <w:p>
      <w:pPr>
        <w:ind w:left="640" w:right="140" w:hanging="436"/>
        <w:spacing w:after="0" w:line="265" w:lineRule="auto"/>
        <w:tabs>
          <w:tab w:leader="none" w:pos="640" w:val="left"/>
        </w:tabs>
        <w:numPr>
          <w:ilvl w:val="0"/>
          <w:numId w:val="63"/>
        </w:numPr>
        <w:rPr>
          <w:rFonts w:ascii="Arial" w:cs="Arial" w:eastAsia="Arial" w:hAnsi="Arial"/>
          <w:sz w:val="17"/>
          <w:szCs w:val="17"/>
          <w:color w:val="32406B"/>
        </w:rPr>
      </w:pPr>
      <w:r>
        <w:rPr>
          <w:rFonts w:ascii="Arial" w:cs="Arial" w:eastAsia="Arial" w:hAnsi="Arial"/>
          <w:sz w:val="17"/>
          <w:szCs w:val="17"/>
          <w:color w:val="32406B"/>
        </w:rPr>
        <w:t>As of January 31, 2019, Ms. Hammonds held a stock option to purchase 150,000 shares of our Class B common stock at an exercise price per share of $3.77, which was granted in September 2018. The option vests in 48 equal monthly installments measured from September 12, 2018, subject to Ms. Hammonds’ continued service and acceleration upon a change in control (as defined in the 2011 Plan), and may be early exercised prior to vesting subject to our right to repurchase the shares that lapses in accordance with the option vesting schedule.</w:t>
      </w:r>
    </w:p>
    <w:p>
      <w:pPr>
        <w:ind w:left="640" w:right="20" w:hanging="436"/>
        <w:spacing w:after="0" w:line="273" w:lineRule="auto"/>
        <w:tabs>
          <w:tab w:leader="none" w:pos="640" w:val="left"/>
        </w:tabs>
        <w:numPr>
          <w:ilvl w:val="0"/>
          <w:numId w:val="63"/>
        </w:numPr>
        <w:rPr>
          <w:rFonts w:ascii="Arial" w:cs="Arial" w:eastAsia="Arial" w:hAnsi="Arial"/>
          <w:sz w:val="17"/>
          <w:szCs w:val="17"/>
          <w:color w:val="32406B"/>
        </w:rPr>
      </w:pPr>
      <w:r>
        <w:rPr>
          <w:rFonts w:ascii="Arial" w:cs="Arial" w:eastAsia="Arial" w:hAnsi="Arial"/>
          <w:sz w:val="17"/>
          <w:szCs w:val="17"/>
          <w:color w:val="32406B"/>
        </w:rPr>
        <w:t>As of January 31, 2019, Mr. Scheinman held a stock option to purchase 100,000 shares of our Class B common stock at an exercise price per share of $10.79, which was granted in November 2018. The option vests in 48 equal monthly installments measured from November 29, 2018, subject to Mr. Scheinman’s continued service and acceleration upon a change in control (as defined in the 2011 Plan), and may be early exercised prior to vesting subject to our right to repurchase the shares that lapses in accordance with the option vesting schedule.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32406B"/>
        </w:rPr>
        <w:t>EXECUTIVE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Our named executive officers for the fiscal year ended January 31, 2019 were:</w:t>
      </w:r>
    </w:p>
    <w:p>
      <w:pPr>
        <w:spacing w:after="0" w:line="131"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Eric S. Yuan, our President and Chief Executive Officer;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Janine Pelosi, our Chief Marketing Officer;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Aparna Bawa, our Secretary and General Counsel;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Gregory Holmes, our former Head of Worldwide Sales.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Ms. Bawa commenced employment with us on September 5, 2018. As of January 15, 2019, Mr. Holmes is no longer our Head of Worldwide Sales or one of our executive officers, and has transitioned to a corporate strategy role with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Summary Compensation Table</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The following table presents all of the compensation awarded to or earned by or paid to our named executive officers during the fiscal years ended January 31, 2019 and January 31, 2018, in the case of Mr. Yuan and Mr. Holmes, who were also named executive officers for the fiscal year ended January 31,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32406B"/>
              </w:rPr>
              <w:t>Option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32406B"/>
              </w:rPr>
              <w:t>Non-Equity</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32406B"/>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 and Principal 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32406B"/>
              </w:rPr>
              <w:t>Year</w:t>
            </w:r>
          </w:p>
        </w:tc>
        <w:tc>
          <w:tcPr>
            <w:tcW w:w="280" w:type="dxa"/>
            <w:vAlign w:val="bottom"/>
          </w:tcPr>
          <w:p>
            <w:pPr>
              <w:spacing w:after="0"/>
              <w:rPr>
                <w:sz w:val="12"/>
                <w:szCs w:val="12"/>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32406B"/>
              </w:rPr>
              <w:t>Salary</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32406B"/>
                <w:w w:val="91"/>
              </w:rPr>
              <w:t>Incentive Plan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32406B"/>
              </w:rPr>
              <w:t>Awards</w:t>
            </w:r>
            <w:r>
              <w:rPr>
                <w:rFonts w:ascii="Arial" w:cs="Arial" w:eastAsia="Arial" w:hAnsi="Arial"/>
                <w:sz w:val="12"/>
                <w:szCs w:val="12"/>
                <w:b w:val="1"/>
                <w:bCs w:val="1"/>
                <w:color w:val="32406B"/>
              </w:rPr>
              <w:t>(1)</w:t>
            </w:r>
          </w:p>
        </w:tc>
        <w:tc>
          <w:tcPr>
            <w:tcW w:w="280" w:type="dxa"/>
            <w:vAlign w:val="bottom"/>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32406B"/>
                <w:w w:val="92"/>
              </w:rPr>
              <w:t>Compensation</w:t>
            </w:r>
            <w:r>
              <w:rPr>
                <w:rFonts w:ascii="Arial" w:cs="Arial" w:eastAsia="Arial" w:hAnsi="Arial"/>
                <w:sz w:val="12"/>
                <w:szCs w:val="12"/>
                <w:b w:val="1"/>
                <w:bCs w:val="1"/>
                <w:color w:val="32406B"/>
                <w:w w:val="92"/>
              </w:rPr>
              <w:t>(2)</w:t>
            </w:r>
          </w:p>
        </w:tc>
        <w:tc>
          <w:tcPr>
            <w:tcW w:w="280" w:type="dxa"/>
            <w:vAlign w:val="bottom"/>
          </w:tcPr>
          <w:p>
            <w:pPr>
              <w:spacing w:after="0"/>
              <w:rPr>
                <w:sz w:val="13"/>
                <w:szCs w:val="13"/>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Compensation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 xml:space="preserve">Eric S. Yuan, </w:t>
            </w:r>
            <w:r>
              <w:rPr>
                <w:rFonts w:ascii="Arial" w:cs="Arial" w:eastAsia="Arial" w:hAnsi="Arial"/>
                <w:sz w:val="18"/>
                <w:szCs w:val="18"/>
                <w:i w:val="1"/>
                <w:iCs w:val="1"/>
                <w:color w:val="32406B"/>
              </w:rPr>
              <w:t>President and Chief Executive Officer</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32406B"/>
                <w:w w:val="84"/>
              </w:rPr>
              <w:t>2019</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84"/>
              </w:rPr>
              <w:t>$ 300,000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84"/>
              </w:rPr>
              <w:t>$ 4,374,307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2"/>
              </w:rPr>
              <w:t>4,674,307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32406B"/>
                <w:w w:val="84"/>
              </w:rPr>
              <w:t>2018</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$ 300,000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32406B"/>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32406B"/>
                <w:w w:val="93"/>
              </w:rPr>
              <w:t>8,636,599</w:t>
            </w:r>
            <w:r>
              <w:rPr>
                <w:rFonts w:ascii="Arial" w:cs="Arial" w:eastAsia="Arial" w:hAnsi="Arial"/>
                <w:sz w:val="15"/>
                <w:szCs w:val="15"/>
                <w:color w:val="32406B"/>
                <w:w w:val="93"/>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60" w:type="dxa"/>
            <w:vAlign w:val="bottom"/>
          </w:tcPr>
          <w:p>
            <w:pPr>
              <w:jc w:val="right"/>
              <w:spacing w:after="0"/>
              <w:rPr>
                <w:sz w:val="20"/>
                <w:szCs w:val="20"/>
                <w:color w:val="auto"/>
              </w:rPr>
            </w:pPr>
            <w:r>
              <w:rPr>
                <w:rFonts w:ascii="Arial" w:cs="Arial" w:eastAsia="Arial" w:hAnsi="Arial"/>
                <w:sz w:val="18"/>
                <w:szCs w:val="18"/>
                <w:color w:val="32406B"/>
                <w:w w:val="92"/>
              </w:rPr>
              <w:t>8,936,599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 xml:space="preserve">Janine Pelosi, </w:t>
            </w:r>
            <w:r>
              <w:rPr>
                <w:rFonts w:ascii="Arial" w:cs="Arial" w:eastAsia="Arial" w:hAnsi="Arial"/>
                <w:sz w:val="18"/>
                <w:szCs w:val="18"/>
                <w:i w:val="1"/>
                <w:iCs w:val="1"/>
                <w:color w:val="32406B"/>
              </w:rPr>
              <w:t>Chief Marketing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32406B"/>
                <w:w w:val="84"/>
              </w:rPr>
              <w:t>2019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$ 224,167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$ 3,241,215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32406B"/>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52,500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3,517,882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32406B"/>
              </w:rPr>
              <w:t xml:space="preserve">Aparna Bawa, </w:t>
            </w:r>
            <w:r>
              <w:rPr>
                <w:rFonts w:ascii="Arial" w:cs="Arial" w:eastAsia="Arial" w:hAnsi="Arial"/>
                <w:sz w:val="18"/>
                <w:szCs w:val="18"/>
                <w:i w:val="1"/>
                <w:iCs w:val="1"/>
                <w:color w:val="32406B"/>
              </w:rPr>
              <w:t>Secretary and General Counsel</w:t>
            </w:r>
          </w:p>
        </w:tc>
        <w:tc>
          <w:tcPr>
            <w:tcW w:w="420" w:type="dxa"/>
            <w:vAlign w:val="bottom"/>
          </w:tcPr>
          <w:p>
            <w:pPr>
              <w:ind w:left="60"/>
              <w:spacing w:after="0"/>
              <w:rPr>
                <w:sz w:val="20"/>
                <w:szCs w:val="20"/>
                <w:color w:val="auto"/>
              </w:rPr>
            </w:pPr>
            <w:r>
              <w:rPr>
                <w:rFonts w:ascii="Arial" w:cs="Arial" w:eastAsia="Arial" w:hAnsi="Arial"/>
                <w:sz w:val="18"/>
                <w:szCs w:val="18"/>
                <w:color w:val="32406B"/>
                <w:w w:val="84"/>
              </w:rPr>
              <w:t>2019</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$ 102,083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32406B"/>
              </w:rPr>
              <w:t>$ 2,602,923</w:t>
            </w:r>
          </w:p>
        </w:tc>
        <w:tc>
          <w:tcPr>
            <w:tcW w:w="360" w:type="dxa"/>
            <w:vAlign w:val="bottom"/>
            <w:gridSpan w:val="2"/>
          </w:tcPr>
          <w:p>
            <w:pPr>
              <w:ind w:left="280"/>
              <w:spacing w:after="0"/>
              <w:rPr>
                <w:sz w:val="20"/>
                <w:szCs w:val="20"/>
                <w:color w:val="auto"/>
              </w:rPr>
            </w:pPr>
            <w:r>
              <w:rPr>
                <w:rFonts w:ascii="Arial" w:cs="Arial" w:eastAsia="Arial" w:hAnsi="Arial"/>
                <w:sz w:val="15"/>
                <w:szCs w:val="15"/>
                <w:color w:val="32406B"/>
                <w:w w:val="71"/>
              </w:rPr>
              <w:t>$</w:t>
            </w:r>
          </w:p>
        </w:tc>
        <w:tc>
          <w:tcPr>
            <w:tcW w:w="980" w:type="dxa"/>
            <w:vAlign w:val="bottom"/>
          </w:tcPr>
          <w:p>
            <w:pPr>
              <w:jc w:val="right"/>
              <w:spacing w:after="0"/>
              <w:rPr>
                <w:sz w:val="20"/>
                <w:szCs w:val="20"/>
                <w:color w:val="auto"/>
              </w:rPr>
            </w:pPr>
            <w:r>
              <w:rPr>
                <w:rFonts w:ascii="Arial" w:cs="Arial" w:eastAsia="Arial" w:hAnsi="Arial"/>
                <w:sz w:val="18"/>
                <w:szCs w:val="18"/>
                <w:color w:val="32406B"/>
              </w:rPr>
              <w:t>32,083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60" w:type="dxa"/>
            <w:vAlign w:val="bottom"/>
          </w:tcPr>
          <w:p>
            <w:pPr>
              <w:jc w:val="right"/>
              <w:spacing w:after="0"/>
              <w:rPr>
                <w:sz w:val="20"/>
                <w:szCs w:val="20"/>
                <w:color w:val="auto"/>
              </w:rPr>
            </w:pPr>
            <w:r>
              <w:rPr>
                <w:rFonts w:ascii="Arial" w:cs="Arial" w:eastAsia="Arial" w:hAnsi="Arial"/>
                <w:sz w:val="18"/>
                <w:szCs w:val="18"/>
                <w:color w:val="32406B"/>
                <w:w w:val="92"/>
              </w:rPr>
              <w:t>2,737,089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 xml:space="preserve">Gregory Holmes, </w:t>
            </w:r>
            <w:r>
              <w:rPr>
                <w:rFonts w:ascii="Arial" w:cs="Arial" w:eastAsia="Arial" w:hAnsi="Arial"/>
                <w:sz w:val="18"/>
                <w:szCs w:val="18"/>
                <w:i w:val="1"/>
                <w:iCs w:val="1"/>
                <w:color w:val="32406B"/>
              </w:rPr>
              <w:t>former Head of Worldwide Sales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32406B"/>
                <w:w w:val="84"/>
              </w:rPr>
              <w:t>2019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$ 226,667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$ 2,624,520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32406B"/>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368,940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3,220,127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32406B"/>
                <w:w w:val="84"/>
              </w:rPr>
              <w:t>2018</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$ 192,083</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32406B"/>
                <w:w w:val="71"/>
              </w:rPr>
              <w:t>$</w:t>
            </w:r>
          </w:p>
        </w:tc>
        <w:tc>
          <w:tcPr>
            <w:tcW w:w="980" w:type="dxa"/>
            <w:vAlign w:val="bottom"/>
          </w:tcPr>
          <w:p>
            <w:pPr>
              <w:jc w:val="right"/>
              <w:spacing w:after="0"/>
              <w:rPr>
                <w:sz w:val="20"/>
                <w:szCs w:val="20"/>
                <w:color w:val="auto"/>
              </w:rPr>
            </w:pPr>
            <w:r>
              <w:rPr>
                <w:rFonts w:ascii="Arial" w:cs="Arial" w:eastAsia="Arial" w:hAnsi="Arial"/>
                <w:sz w:val="18"/>
                <w:szCs w:val="18"/>
                <w:color w:val="32406B"/>
              </w:rPr>
              <w:t>484,243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60" w:type="dxa"/>
            <w:vAlign w:val="bottom"/>
          </w:tcPr>
          <w:p>
            <w:pPr>
              <w:jc w:val="right"/>
              <w:spacing w:after="0"/>
              <w:rPr>
                <w:sz w:val="20"/>
                <w:szCs w:val="20"/>
                <w:color w:val="auto"/>
              </w:rPr>
            </w:pPr>
            <w:r>
              <w:rPr>
                <w:rFonts w:ascii="Arial" w:cs="Arial" w:eastAsia="Arial" w:hAnsi="Arial"/>
                <w:sz w:val="18"/>
                <w:szCs w:val="18"/>
                <w:color w:val="32406B"/>
              </w:rPr>
              <w:t>676,326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69" w:lineRule="auto"/>
        <w:tabs>
          <w:tab w:leader="none" w:pos="640" w:val="left"/>
        </w:tabs>
        <w:numPr>
          <w:ilvl w:val="0"/>
          <w:numId w:val="65"/>
        </w:numPr>
        <w:rPr>
          <w:rFonts w:ascii="Arial" w:cs="Arial" w:eastAsia="Arial" w:hAnsi="Arial"/>
          <w:sz w:val="17"/>
          <w:szCs w:val="17"/>
          <w:color w:val="32406B"/>
        </w:rPr>
      </w:pPr>
      <w:r>
        <w:rPr>
          <w:rFonts w:ascii="Arial" w:cs="Arial" w:eastAsia="Arial" w:hAnsi="Arial"/>
          <w:sz w:val="17"/>
          <w:szCs w:val="17"/>
          <w:color w:val="32406B"/>
        </w:rPr>
        <w:t>The amounts disclosed represent the aggregate grant date fair value of stock options granted under our 2011 Plan during the indicated fiscal year computed in accordance with ASC Topic 718. The assumptions used in calculating the grant date fair value of the stock options during fiscal year 2019 are set forth in the notes to our audited consolidated financial statements included elsewhere in this prospectus. These amounts do not reflect the actual economic value that may be realized by the named executive officers.</w:t>
      </w:r>
    </w:p>
    <w:p>
      <w:pPr>
        <w:spacing w:after="0" w:line="2" w:lineRule="exact"/>
        <w:rPr>
          <w:rFonts w:ascii="Arial" w:cs="Arial" w:eastAsia="Arial" w:hAnsi="Arial"/>
          <w:sz w:val="17"/>
          <w:szCs w:val="17"/>
          <w:color w:val="32406B"/>
        </w:rPr>
      </w:pPr>
    </w:p>
    <w:p>
      <w:pPr>
        <w:ind w:left="640" w:right="240" w:hanging="436"/>
        <w:spacing w:after="0" w:line="250" w:lineRule="auto"/>
        <w:tabs>
          <w:tab w:leader="none" w:pos="64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The amounts disclosed represent the applicable named executive officer’s total performance bonus earned for the fiscal years ended January 31, 2018 and January 31, 2019 as described below under “—Performance-Based Bonus Opportunity.”</w:t>
      </w:r>
    </w:p>
    <w:p>
      <w:pPr>
        <w:ind w:left="640" w:right="40" w:hanging="436"/>
        <w:spacing w:after="0" w:line="252" w:lineRule="auto"/>
        <w:tabs>
          <w:tab w:leader="none" w:pos="64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The amount disclosed represents the stock-based compensation cost, computed in accordance with ASC Topic 718, attributed to Mr. Yuan’s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7 to our audited consolidated financial statements included elsewhere in this prospectus. The transfer was not intended to be compensation paid by us to Mr. Yuan and is described in the section titled “Certain Relationships and Related Party Transactions—Common Stock Transfer Agreement.”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101</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Annual Base Salary</w:t>
      </w:r>
    </w:p>
    <w:p>
      <w:pPr>
        <w:spacing w:after="0" w:line="121" w:lineRule="exact"/>
        <w:rPr>
          <w:sz w:val="20"/>
          <w:szCs w:val="20"/>
          <w:color w:val="auto"/>
        </w:rPr>
      </w:pPr>
    </w:p>
    <w:p>
      <w:pPr>
        <w:ind w:left="200" w:right="720" w:firstLine="441"/>
        <w:spacing w:after="0" w:line="342" w:lineRule="auto"/>
        <w:rPr>
          <w:sz w:val="20"/>
          <w:szCs w:val="20"/>
          <w:color w:val="auto"/>
        </w:rPr>
      </w:pPr>
      <w:r>
        <w:rPr>
          <w:rFonts w:ascii="Arial" w:cs="Arial" w:eastAsia="Arial" w:hAnsi="Arial"/>
          <w:sz w:val="16"/>
          <w:szCs w:val="16"/>
          <w:color w:val="32406B"/>
        </w:rPr>
        <w:t>The compensation of our named executive officers is generally determined and approved by the compensation committee of our board of directors. The base salaries of each of our executive officers for the fiscal year ended January 31, 2019 are listed in the table below.</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w:t>
            </w: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32406B"/>
              </w:rPr>
              <w:t>Fiscal Year</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5580" w:type="dxa"/>
            <w:vAlign w:val="bottom"/>
            <w:gridSpan w:val="4"/>
          </w:tcPr>
          <w:p>
            <w:pPr>
              <w:ind w:left="4240"/>
              <w:spacing w:after="0" w:line="158" w:lineRule="exact"/>
              <w:rPr>
                <w:sz w:val="20"/>
                <w:szCs w:val="20"/>
                <w:color w:val="auto"/>
              </w:rPr>
            </w:pPr>
            <w:r>
              <w:rPr>
                <w:rFonts w:ascii="Arial" w:cs="Arial" w:eastAsia="Arial" w:hAnsi="Arial"/>
                <w:sz w:val="14"/>
                <w:szCs w:val="14"/>
                <w:b w:val="1"/>
                <w:bCs w:val="1"/>
                <w:color w:val="32406B"/>
              </w:rPr>
              <w:t>2018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Eric S. Yuan</w:t>
            </w:r>
          </w:p>
        </w:tc>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32406B"/>
                <w:w w:val="89"/>
              </w:rPr>
              <w:t>300,000</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32406B"/>
              </w:rPr>
              <w:t>Janine Pelosi</w:t>
            </w:r>
          </w:p>
        </w:tc>
        <w:tc>
          <w:tcPr>
            <w:tcW w:w="4380" w:type="dxa"/>
            <w:vAlign w:val="bottom"/>
            <w:gridSpan w:val="2"/>
          </w:tcPr>
          <w:p>
            <w:pPr>
              <w:ind w:left="4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ind w:left="360"/>
              <w:spacing w:after="0"/>
              <w:rPr>
                <w:sz w:val="20"/>
                <w:szCs w:val="20"/>
                <w:color w:val="auto"/>
              </w:rPr>
            </w:pPr>
            <w:r>
              <w:rPr>
                <w:rFonts w:ascii="Arial" w:cs="Arial" w:eastAsia="Arial" w:hAnsi="Arial"/>
                <w:sz w:val="18"/>
                <w:szCs w:val="18"/>
                <w:color w:val="32406B"/>
                <w:w w:val="98"/>
              </w:rPr>
              <w:t>250,000</w:t>
            </w:r>
            <w:r>
              <w:rPr>
                <w:rFonts w:ascii="Arial" w:cs="Arial" w:eastAsia="Arial" w:hAnsi="Arial"/>
                <w:sz w:val="15"/>
                <w:szCs w:val="15"/>
                <w:color w:val="32406B"/>
                <w:w w:val="9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Aparna Bawa</w:t>
            </w:r>
          </w:p>
        </w:tc>
        <w:tc>
          <w:tcPr>
            <w:tcW w:w="438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8"/>
              </w:rPr>
              <w:t>250,000</w:t>
            </w:r>
            <w:r>
              <w:rPr>
                <w:rFonts w:ascii="Arial" w:cs="Arial" w:eastAsia="Arial" w:hAnsi="Arial"/>
                <w:sz w:val="15"/>
                <w:szCs w:val="15"/>
                <w:color w:val="32406B"/>
                <w:w w:val="98"/>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32406B"/>
              </w:rPr>
              <w:t>Gregory Holmes</w:t>
            </w:r>
          </w:p>
        </w:tc>
        <w:tc>
          <w:tcPr>
            <w:tcW w:w="4380" w:type="dxa"/>
            <w:vAlign w:val="bottom"/>
            <w:gridSpan w:val="2"/>
          </w:tcPr>
          <w:p>
            <w:pPr>
              <w:ind w:left="424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ind w:left="360"/>
              <w:spacing w:after="0"/>
              <w:rPr>
                <w:sz w:val="20"/>
                <w:szCs w:val="20"/>
                <w:color w:val="auto"/>
              </w:rPr>
            </w:pPr>
            <w:r>
              <w:rPr>
                <w:rFonts w:ascii="Arial" w:cs="Arial" w:eastAsia="Arial" w:hAnsi="Arial"/>
                <w:sz w:val="18"/>
                <w:szCs w:val="18"/>
                <w:color w:val="32406B"/>
                <w:w w:val="98"/>
              </w:rPr>
              <w:t>250,000</w:t>
            </w:r>
            <w:r>
              <w:rPr>
                <w:rFonts w:ascii="Arial" w:cs="Arial" w:eastAsia="Arial" w:hAnsi="Arial"/>
                <w:sz w:val="15"/>
                <w:szCs w:val="15"/>
                <w:color w:val="32406B"/>
                <w:w w:val="98"/>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20" w:hanging="436"/>
        <w:spacing w:after="0" w:line="258" w:lineRule="auto"/>
        <w:tabs>
          <w:tab w:leader="none" w:pos="64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Ms. Pelosi’s base salary rate was effective as of October 1, 2018. Ms. Pelosi’s base salary rate was $215,000 from April 1, 2018 until September 30, 2018 and was $200,000 from February 1, 2018 until March 31, 2018.</w:t>
      </w:r>
    </w:p>
    <w:p>
      <w:pPr>
        <w:spacing w:after="0" w:line="1" w:lineRule="exact"/>
        <w:rPr>
          <w:rFonts w:ascii="Arial" w:cs="Arial" w:eastAsia="Arial" w:hAnsi="Arial"/>
          <w:sz w:val="18"/>
          <w:szCs w:val="18"/>
          <w:color w:val="32406B"/>
        </w:rPr>
      </w:pPr>
    </w:p>
    <w:p>
      <w:pPr>
        <w:ind w:left="640" w:hanging="436"/>
        <w:spacing w:after="0"/>
        <w:tabs>
          <w:tab w:leader="none" w:pos="64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Ms. Bawa’s base salary rate was effective as of September 5, 2018 upon commencement of her employment.</w:t>
      </w:r>
    </w:p>
    <w:p>
      <w:pPr>
        <w:spacing w:after="0" w:line="9" w:lineRule="exact"/>
        <w:rPr>
          <w:rFonts w:ascii="Arial" w:cs="Arial" w:eastAsia="Arial" w:hAnsi="Arial"/>
          <w:sz w:val="18"/>
          <w:szCs w:val="18"/>
          <w:color w:val="32406B"/>
        </w:rPr>
      </w:pPr>
    </w:p>
    <w:p>
      <w:pPr>
        <w:ind w:left="640" w:right="460" w:hanging="436"/>
        <w:spacing w:after="0" w:line="290" w:lineRule="auto"/>
        <w:tabs>
          <w:tab w:leader="none" w:pos="640" w:val="left"/>
        </w:tabs>
        <w:numPr>
          <w:ilvl w:val="0"/>
          <w:numId w:val="66"/>
        </w:numPr>
        <w:rPr>
          <w:rFonts w:ascii="Arial" w:cs="Arial" w:eastAsia="Arial" w:hAnsi="Arial"/>
          <w:sz w:val="17"/>
          <w:szCs w:val="17"/>
          <w:color w:val="32406B"/>
        </w:rPr>
      </w:pPr>
      <w:r>
        <w:rPr>
          <w:rFonts w:ascii="Arial" w:cs="Arial" w:eastAsia="Arial" w:hAnsi="Arial"/>
          <w:sz w:val="17"/>
          <w:szCs w:val="17"/>
          <w:color w:val="32406B"/>
        </w:rPr>
        <w:t>Mr. Holmes’ base salary rate was effective as of October 1, 2018. Mr. Holmes’ base salary rate was $215,000 from February 1, 2018 through September 30, 2018. As of January 15, 2019, Mr. Holmes is no longer our Head of Worldwide Sales or an executive officer.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Annual Performance-Based Bonus Opportunity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7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32406B"/>
        </w:rPr>
        <w:t>For the fiscal year ended January 31, 2019, Ms. Pelosi was eligible to receive a bonus at an annual target of approximately 20% of her fiscal base salary, Ms. Bawa was eligible to receive a bonus at an annual target of 35% of her base salary and Mr. Holmes was eligible to receive a bonus at an annual target of approximately 100% of his base salary. Our corporate performance objectives for the fiscal year ended January 31, 2019 related to achievement of monthly recurring revenue targets and, with respect to Mr. Holmes, sales targets under our sales commission program. Ms. Pelosi, Ms. Bawa and Mr. Holmes earned bonuses for the fiscal year ended January 31, 2019 performance based on our achievement of the relevant performance targets for each executive. Ms. Bawa’s earned bonus amount was prorated for the period of time she was employed during the fiscal year ended January 31, 2019. All bonuses for the fiscal year ended January 31, 2019 were paid in cash.</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Equity-Based Incentive Awards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Prior to this offering, we have granted stock options to each of our named executive officers pursuant to the 2011 Plan, the terms of which are described below under “—Equity Incentive Plans.” All options are granted with a per share exercise price equal to no less than the fair market value of a share of our common stock on the date of the grant of such award.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In September 2018, our compensation committee granted options to purchase 500,000 shares to Mr. Yuan, 450,000 shares to Ms. Pelosi, 360,000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shares to Ms. Bawa and 300,000 shares to Mr. Holmes. Each of the options have an exercise price per share of $3.77, except that 132,585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Mr. Yuan’s option have an exercise price per share of $4.15 in order to comply with tax rules governing options intended to be “incentive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The shares subject to each of the September 2018 options vest in 48 equal monthly installments measured from the grant date, subject to the executive’s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continuous service with us as of each such vesting date. Ms. Bawa’s option grant permits early exercise, whereby Ms. Bawa may purchase shares prior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to vesting, subject to our right to repurchase such shares, lapsing over time in accordance with the vesting schedule of the stock option.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102</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Ms. Bawa exercised her option in full in September 2018. In October 2018, our compensation committee amended Mr. Yuan’s September 2018 option (to the extent of 367,415 shares thereunder that did not pertain to the “incentive stock option” portion of his grant) to also permit early exercise, whereby Mr. Yuan could purchase shares prior to vesting, subject to our right to repurchase such shares, lapsing over time in accordance with the vesting schedule of the stock option.</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32406B"/>
        </w:rPr>
        <w:t>Each of our named executive officer’s option grants are additionally subject to potential vesting acceleration as described below under “— Agreements with our Named Executive Officers.”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Agreements with Our Named Executive Officers</w:t>
      </w:r>
    </w:p>
    <w:p>
      <w:pPr>
        <w:spacing w:after="0" w:line="12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i w:val="1"/>
          <w:iCs w:val="1"/>
          <w:color w:val="32406B"/>
        </w:rPr>
        <w:t xml:space="preserve">Eric S. Yuan. </w:t>
      </w:r>
      <w:r>
        <w:rPr>
          <w:rFonts w:ascii="Arial" w:cs="Arial" w:eastAsia="Arial" w:hAnsi="Arial"/>
          <w:sz w:val="18"/>
          <w:szCs w:val="18"/>
          <w:color w:val="32406B"/>
        </w:rPr>
        <w:t>In December 2018, we entered into a confirmatory offer letter with Mr. Yuan. The confirmatory offer letter has no specific term,</w:t>
      </w:r>
      <w:r>
        <w:rPr>
          <w:rFonts w:ascii="Arial" w:cs="Arial" w:eastAsia="Arial" w:hAnsi="Arial"/>
          <w:sz w:val="18"/>
          <w:szCs w:val="18"/>
          <w:i w:val="1"/>
          <w:iCs w:val="1"/>
          <w:color w:val="32406B"/>
        </w:rPr>
        <w:t xml:space="preserve"> </w:t>
      </w:r>
      <w:r>
        <w:rPr>
          <w:rFonts w:ascii="Arial" w:cs="Arial" w:eastAsia="Arial" w:hAnsi="Arial"/>
          <w:sz w:val="18"/>
          <w:szCs w:val="18"/>
          <w:color w:val="32406B"/>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32406B"/>
        </w:rPr>
        <w:t>Janine Pelosi</w:t>
      </w:r>
      <w:r>
        <w:rPr>
          <w:rFonts w:ascii="Arial" w:cs="Arial" w:eastAsia="Arial" w:hAnsi="Arial"/>
          <w:sz w:val="18"/>
          <w:szCs w:val="18"/>
          <w:color w:val="32406B"/>
        </w:rPr>
        <w:t>. We entered into an initial letter agreement with Ms. Pelosi in February 2015 that provided for her at-will employment, initial annual</w:t>
      </w:r>
      <w:r>
        <w:rPr>
          <w:rFonts w:ascii="Arial" w:cs="Arial" w:eastAsia="Arial" w:hAnsi="Arial"/>
          <w:sz w:val="18"/>
          <w:szCs w:val="18"/>
          <w:i w:val="1"/>
          <w:iCs w:val="1"/>
          <w:color w:val="32406B"/>
        </w:rPr>
        <w:t xml:space="preserve"> </w:t>
      </w:r>
      <w:r>
        <w:rPr>
          <w:rFonts w:ascii="Arial" w:cs="Arial" w:eastAsia="Arial" w:hAnsi="Arial"/>
          <w:sz w:val="18"/>
          <w:szCs w:val="18"/>
          <w:color w:val="32406B"/>
        </w:rPr>
        <w:t>base salary, performance bonus opportunity and the terms of her initial stock option, which was granted in April 2015. In December 2018, we entered into a confirmatory offer letter with Ms. Pelosi. The confirmatory offer letter has no specific term, provides for at-will employment and reflects Ms. Pelosi’s current annual base salary of $250,000, target bonus opportunity per year of 20%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32406B"/>
        </w:rPr>
        <w:t xml:space="preserve">Aparna Bawa. </w:t>
      </w:r>
      <w:r>
        <w:rPr>
          <w:rFonts w:ascii="Arial" w:cs="Arial" w:eastAsia="Arial" w:hAnsi="Arial"/>
          <w:sz w:val="18"/>
          <w:szCs w:val="18"/>
          <w:color w:val="32406B"/>
        </w:rPr>
        <w:t>We entered into an initial letter agreement with Ms. Bawa in August 2018 that provided for her at-will employment, initial annual</w:t>
      </w:r>
      <w:r>
        <w:rPr>
          <w:rFonts w:ascii="Arial" w:cs="Arial" w:eastAsia="Arial" w:hAnsi="Arial"/>
          <w:sz w:val="18"/>
          <w:szCs w:val="18"/>
          <w:i w:val="1"/>
          <w:iCs w:val="1"/>
          <w:color w:val="32406B"/>
        </w:rPr>
        <w:t xml:space="preserve"> </w:t>
      </w:r>
      <w:r>
        <w:rPr>
          <w:rFonts w:ascii="Arial" w:cs="Arial" w:eastAsia="Arial" w:hAnsi="Arial"/>
          <w:sz w:val="18"/>
          <w:szCs w:val="18"/>
          <w:color w:val="32406B"/>
        </w:rPr>
        <w:t>base salary, performance bonus opportunity and the terms of her initial stock option which was granted in September 2018. In December 2018, we entered into a confirmatory offer letter with Ms. Bawa. The confirmatory offer letter has no specific term, provides for at-will employment and reflects Ms. Bawa’s current annual base salary of $250,000, target bonus opportunity per year of 35%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32406B"/>
        </w:rPr>
        <w:t>Gregory Holmes</w:t>
      </w:r>
      <w:r>
        <w:rPr>
          <w:rFonts w:ascii="Arial" w:cs="Arial" w:eastAsia="Arial" w:hAnsi="Arial"/>
          <w:sz w:val="17"/>
          <w:szCs w:val="17"/>
          <w:color w:val="32406B"/>
        </w:rPr>
        <w:t>. We entered into an offer letter agreement with Mr. Holmes in December 2012 that provided for his at-will employment, initial</w:t>
      </w:r>
      <w:r>
        <w:rPr>
          <w:rFonts w:ascii="Arial" w:cs="Arial" w:eastAsia="Arial" w:hAnsi="Arial"/>
          <w:sz w:val="17"/>
          <w:szCs w:val="17"/>
          <w:i w:val="1"/>
          <w:iCs w:val="1"/>
          <w:color w:val="32406B"/>
        </w:rPr>
        <w:t xml:space="preserve"> </w:t>
      </w:r>
      <w:r>
        <w:rPr>
          <w:rFonts w:ascii="Arial" w:cs="Arial" w:eastAsia="Arial" w:hAnsi="Arial"/>
          <w:sz w:val="17"/>
          <w:szCs w:val="17"/>
          <w:color w:val="32406B"/>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 current annual base salary of $250,000, target bonus opportunity per year of 100% of his annual base salary and “double trigger” severance benefits upon an involuntary termination in connection with a change in control, as described below under “—Potential Payments upon Termination or Change in Control.” Mr. Holmes is no longer our Head of Worldwide Sales or one of our executive officers, and has transitioned to a corporate strategy role with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Potential Payments upon Termination or Change in Control</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Regardless of the manner in which a named executive officer’s service terminates, each named executive officer is entitled to receive amounts earned during his or her term of service, including unpaid salary and unused vacation.</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32406B"/>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103</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32406B"/>
        </w:rPr>
        <w:t>defined in the confirmatory offer letter), pursuant to the confirmatory offer letters described above under “—Agreements with Our Named Executive Officers.” An involuntary termination for purposes of the severance benefits generally means a termination by us other than for death, disability or cause (as defined in the confirmatory offer letter) or a resignation for good reason (as defined in the confirmatory offer letter). 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Outstanding Equity Awards at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following table presents the outstanding equity incentive plan awards held by each named executive officer as of January 31,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32406B"/>
                <w:w w:val="96"/>
              </w:rPr>
              <w:t>Option Awards</w:t>
            </w:r>
            <w:r>
              <w:rPr>
                <w:rFonts w:ascii="Arial" w:cs="Arial" w:eastAsia="Arial" w:hAnsi="Arial"/>
                <w:sz w:val="12"/>
                <w:szCs w:val="12"/>
                <w:b w:val="1"/>
                <w:bCs w:val="1"/>
                <w:color w:val="32406B"/>
                <w:w w:val="96"/>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32406B"/>
              </w:rPr>
              <w:t>Stock Awards</w:t>
            </w:r>
            <w:r>
              <w:rPr>
                <w:rFonts w:ascii="Arial" w:cs="Arial" w:eastAsia="Arial" w:hAnsi="Arial"/>
                <w:sz w:val="12"/>
                <w:szCs w:val="12"/>
                <w:b w:val="1"/>
                <w:bCs w:val="1"/>
                <w:color w:val="32406B"/>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Number of</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32406B"/>
              </w:rPr>
              <w:t>Number of</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32406B"/>
                <w:w w:val="97"/>
              </w:rPr>
              <w:t>Option</w:t>
            </w: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32406B"/>
              </w:rPr>
              <w:t>Number of</w:t>
            </w:r>
          </w:p>
        </w:tc>
        <w:tc>
          <w:tcPr>
            <w:tcW w:w="980" w:type="dxa"/>
            <w:vAlign w:val="bottom"/>
            <w:tcBorders>
              <w:top w:val="single" w:sz="8" w:color="auto"/>
            </w:tcBorders>
            <w:gridSpan w:val="2"/>
          </w:tcPr>
          <w:p>
            <w:pPr>
              <w:jc w:val="center"/>
              <w:ind w:left="42"/>
              <w:spacing w:after="0" w:line="119" w:lineRule="exact"/>
              <w:rPr>
                <w:sz w:val="20"/>
                <w:szCs w:val="20"/>
                <w:color w:val="auto"/>
              </w:rPr>
            </w:pPr>
            <w:r>
              <w:rPr>
                <w:rFonts w:ascii="Arial" w:cs="Arial" w:eastAsia="Arial" w:hAnsi="Arial"/>
                <w:sz w:val="13"/>
                <w:szCs w:val="13"/>
                <w:b w:val="1"/>
                <w:bCs w:val="1"/>
                <w:color w:val="32406B"/>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Securities</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89"/>
              </w:rPr>
              <w:t>Securities</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1"/>
              </w:rPr>
              <w:t>shares or</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2"/>
              </w:rPr>
              <w:t>Underlying</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2"/>
              </w:rPr>
              <w:t>Underlying</w:t>
            </w:r>
          </w:p>
        </w:tc>
        <w:tc>
          <w:tcPr>
            <w:tcW w:w="9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32406B"/>
              </w:rPr>
              <w:t>Exercise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3"/>
              </w:rPr>
              <w:t>Option</w:t>
            </w: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0"/>
              </w:rPr>
              <w:t>units of</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0"/>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left="53"/>
              <w:spacing w:after="0" w:line="149" w:lineRule="exact"/>
              <w:rPr>
                <w:sz w:val="20"/>
                <w:szCs w:val="20"/>
                <w:color w:val="auto"/>
              </w:rPr>
            </w:pPr>
            <w:r>
              <w:rPr>
                <w:rFonts w:ascii="Arial" w:cs="Arial" w:eastAsia="Arial" w:hAnsi="Arial"/>
                <w:sz w:val="14"/>
                <w:szCs w:val="14"/>
                <w:b w:val="1"/>
                <w:bCs w:val="1"/>
                <w:color w:val="32406B"/>
                <w:w w:val="91"/>
              </w:rPr>
              <w:t>Unexercised</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1"/>
              </w:rPr>
              <w:t>Unexercised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32406B"/>
                <w:w w:val="93"/>
              </w:rPr>
              <w:t>Price</w:t>
            </w: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3"/>
              </w:rPr>
              <w:t>stock that</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3"/>
              </w:rPr>
              <w:t>stock that</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283"/>
              <w:spacing w:after="0"/>
              <w:rPr>
                <w:sz w:val="20"/>
                <w:szCs w:val="20"/>
                <w:color w:val="auto"/>
              </w:rPr>
            </w:pPr>
            <w:r>
              <w:rPr>
                <w:rFonts w:ascii="Arial" w:cs="Arial" w:eastAsia="Arial" w:hAnsi="Arial"/>
                <w:sz w:val="14"/>
                <w:szCs w:val="14"/>
                <w:b w:val="1"/>
                <w:bCs w:val="1"/>
                <w:color w:val="32406B"/>
              </w:rPr>
              <w:t>Grant Date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0"/>
              </w:rPr>
              <w:t>Options</w:t>
            </w:r>
          </w:p>
        </w:tc>
        <w:tc>
          <w:tcPr>
            <w:tcW w:w="2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0"/>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32406B"/>
                <w:w w:val="88"/>
              </w:rPr>
              <w:t>Per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6"/>
              </w:rPr>
              <w:t>Expiration</w:t>
            </w: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3"/>
              </w:rPr>
              <w:t>have not</w:t>
            </w:r>
          </w:p>
        </w:tc>
        <w:tc>
          <w:tcPr>
            <w:tcW w:w="1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3"/>
              </w:rPr>
              <w:t>have not</w:t>
            </w:r>
          </w:p>
        </w:tc>
        <w:tc>
          <w:tcPr>
            <w:tcW w:w="0" w:type="dxa"/>
            <w:vAlign w:val="bottom"/>
          </w:tcPr>
          <w:p>
            <w:pPr>
              <w:spacing w:after="0"/>
              <w:rPr>
                <w:sz w:val="1"/>
                <w:szCs w:val="1"/>
                <w:color w:val="auto"/>
              </w:rPr>
            </w:pPr>
          </w:p>
        </w:tc>
      </w:tr>
      <w:tr>
        <w:trPr>
          <w:trHeight w:val="158"/>
        </w:trPr>
        <w:tc>
          <w:tcPr>
            <w:tcW w:w="35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2"/>
              </w:rPr>
              <w:t>Exercisable</w:t>
            </w:r>
          </w:p>
        </w:tc>
        <w:tc>
          <w:tcPr>
            <w:tcW w:w="14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32406B"/>
                <w:w w:val="90"/>
              </w:rPr>
              <w:t>Unexercisable</w:t>
            </w:r>
          </w:p>
        </w:tc>
        <w:tc>
          <w:tcPr>
            <w:tcW w:w="140" w:type="dxa"/>
            <w:vAlign w:val="bottom"/>
          </w:tcPr>
          <w:p>
            <w:pPr>
              <w:spacing w:after="0"/>
              <w:rPr>
                <w:sz w:val="13"/>
                <w:szCs w:val="13"/>
                <w:color w:val="auto"/>
              </w:rPr>
            </w:pP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Share</w:t>
            </w:r>
            <w:r>
              <w:rPr>
                <w:rFonts w:ascii="Arial" w:cs="Arial" w:eastAsia="Arial" w:hAnsi="Arial"/>
                <w:sz w:val="12"/>
                <w:szCs w:val="12"/>
                <w:b w:val="1"/>
                <w:bCs w:val="1"/>
                <w:color w:val="32406B"/>
              </w:rPr>
              <w:t>(2)</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8"/>
              </w:rPr>
              <w:t>Date</w:t>
            </w:r>
          </w:p>
        </w:tc>
        <w:tc>
          <w:tcPr>
            <w:tcW w:w="160" w:type="dxa"/>
            <w:vAlign w:val="bottom"/>
          </w:tcPr>
          <w:p>
            <w:pPr>
              <w:spacing w:after="0"/>
              <w:rPr>
                <w:sz w:val="13"/>
                <w:szCs w:val="13"/>
                <w:color w:val="auto"/>
              </w:rPr>
            </w:pPr>
          </w:p>
        </w:tc>
        <w:tc>
          <w:tcPr>
            <w:tcW w:w="9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32406B"/>
                <w:w w:val="85"/>
              </w:rPr>
              <w:t>vested</w:t>
            </w:r>
          </w:p>
        </w:tc>
        <w:tc>
          <w:tcPr>
            <w:tcW w:w="140" w:type="dxa"/>
            <w:vAlign w:val="bottom"/>
          </w:tcPr>
          <w:p>
            <w:pPr>
              <w:spacing w:after="0"/>
              <w:rPr>
                <w:sz w:val="13"/>
                <w:szCs w:val="13"/>
                <w:color w:val="auto"/>
              </w:rPr>
            </w:pPr>
          </w:p>
        </w:tc>
        <w:tc>
          <w:tcPr>
            <w:tcW w:w="9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32406B"/>
                <w:w w:val="85"/>
              </w:rPr>
              <w:t>vested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2406B"/>
              </w:rPr>
              <w:t>Eric S. Yuan</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32406B"/>
                <w:w w:val="97"/>
              </w:rPr>
              <w:t>9/24/2018</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32406B"/>
                <w:w w:val="87"/>
              </w:rPr>
              <w:t>(3)</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32406B"/>
              </w:rPr>
              <w:t>28,730</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32406B"/>
              </w:rPr>
              <w:t>103,855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32406B"/>
                <w:w w:val="79"/>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32406B"/>
              </w:rPr>
              <w:t>4.15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32406B"/>
                <w:w w:val="97"/>
              </w:rPr>
              <w:t>9/24/2023</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32406B"/>
                <w:w w:val="97"/>
              </w:rPr>
              <w:t>9/24/2018</w:t>
            </w:r>
            <w:r>
              <w:rPr>
                <w:rFonts w:ascii="Arial" w:cs="Arial" w:eastAsia="Arial" w:hAnsi="Arial"/>
                <w:sz w:val="15"/>
                <w:szCs w:val="15"/>
                <w:color w:val="32406B"/>
                <w:w w:val="97"/>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367,415</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9/24/2028</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32406B"/>
              </w:rPr>
              <w:t>Janine Pelosi</w:t>
            </w:r>
          </w:p>
        </w:tc>
        <w:tc>
          <w:tcPr>
            <w:tcW w:w="100" w:type="dxa"/>
            <w:vAlign w:val="bottom"/>
          </w:tcPr>
          <w:p>
            <w:pPr>
              <w:spacing w:after="0"/>
              <w:rPr>
                <w:sz w:val="17"/>
                <w:szCs w:val="17"/>
                <w:color w:val="auto"/>
              </w:rPr>
            </w:pPr>
          </w:p>
        </w:tc>
        <w:tc>
          <w:tcPr>
            <w:tcW w:w="1100" w:type="dxa"/>
            <w:vAlign w:val="bottom"/>
            <w:gridSpan w:val="2"/>
          </w:tcPr>
          <w:p>
            <w:pPr>
              <w:jc w:val="right"/>
              <w:ind w:right="43"/>
              <w:spacing w:after="0" w:line="201" w:lineRule="exact"/>
              <w:rPr>
                <w:sz w:val="20"/>
                <w:szCs w:val="20"/>
                <w:color w:val="auto"/>
              </w:rPr>
            </w:pPr>
            <w:r>
              <w:rPr>
                <w:rFonts w:ascii="Arial" w:cs="Arial" w:eastAsia="Arial" w:hAnsi="Arial"/>
                <w:sz w:val="18"/>
                <w:szCs w:val="18"/>
                <w:color w:val="32406B"/>
                <w:w w:val="97"/>
              </w:rPr>
              <w:t>4/24/2015</w:t>
            </w:r>
            <w:r>
              <w:rPr>
                <w:rFonts w:ascii="Arial" w:cs="Arial" w:eastAsia="Arial" w:hAnsi="Arial"/>
                <w:sz w:val="15"/>
                <w:szCs w:val="15"/>
                <w:color w:val="32406B"/>
                <w:w w:val="97"/>
              </w:rPr>
              <w:t>(5)</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32406B"/>
              </w:rPr>
              <w:t>50,000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32406B"/>
              </w:rPr>
              <w:t>16,667</w:t>
            </w:r>
          </w:p>
        </w:tc>
        <w:tc>
          <w:tcPr>
            <w:tcW w:w="300" w:type="dxa"/>
            <w:vAlign w:val="bottom"/>
          </w:tcPr>
          <w:p>
            <w:pPr>
              <w:spacing w:after="0"/>
              <w:rPr>
                <w:sz w:val="17"/>
                <w:szCs w:val="17"/>
                <w:color w:val="auto"/>
              </w:rPr>
            </w:pPr>
          </w:p>
        </w:tc>
        <w:tc>
          <w:tcPr>
            <w:tcW w:w="240" w:type="dxa"/>
            <w:vAlign w:val="bottom"/>
            <w:gridSpan w:val="2"/>
          </w:tcPr>
          <w:p>
            <w:pPr>
              <w:ind w:left="140"/>
              <w:spacing w:after="0" w:line="201" w:lineRule="exact"/>
              <w:rPr>
                <w:sz w:val="20"/>
                <w:szCs w:val="20"/>
                <w:color w:val="auto"/>
              </w:rPr>
            </w:pPr>
            <w:r>
              <w:rPr>
                <w:rFonts w:ascii="Arial" w:cs="Arial" w:eastAsia="Arial" w:hAnsi="Arial"/>
                <w:sz w:val="18"/>
                <w:szCs w:val="18"/>
                <w:color w:val="32406B"/>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32406B"/>
              </w:rPr>
              <w:t>0.14</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32406B"/>
                <w:w w:val="97"/>
              </w:rPr>
              <w:t>4/24/2025</w:t>
            </w:r>
          </w:p>
        </w:tc>
        <w:tc>
          <w:tcPr>
            <w:tcW w:w="160" w:type="dxa"/>
            <w:vAlign w:val="bottom"/>
          </w:tcPr>
          <w:p>
            <w:pPr>
              <w:spacing w:after="0"/>
              <w:rPr>
                <w:sz w:val="17"/>
                <w:szCs w:val="17"/>
                <w:color w:val="auto"/>
              </w:rPr>
            </w:pPr>
          </w:p>
        </w:tc>
        <w:tc>
          <w:tcPr>
            <w:tcW w:w="9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32406B"/>
              </w:rPr>
              <w:t>—</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0" w:type="dxa"/>
            <w:vAlign w:val="bottom"/>
            <w:gridSpan w:val="3"/>
          </w:tcPr>
          <w:p>
            <w:pPr>
              <w:jc w:val="right"/>
              <w:ind w:right="43"/>
              <w:spacing w:after="0"/>
              <w:rPr>
                <w:sz w:val="20"/>
                <w:szCs w:val="20"/>
                <w:color w:val="auto"/>
              </w:rPr>
            </w:pPr>
            <w:r>
              <w:rPr>
                <w:rFonts w:ascii="Arial" w:cs="Arial" w:eastAsia="Arial" w:hAnsi="Arial"/>
                <w:sz w:val="18"/>
                <w:szCs w:val="18"/>
                <w:color w:val="32406B"/>
              </w:rPr>
              <w:t>9/6/2018</w:t>
            </w:r>
            <w:r>
              <w:rPr>
                <w:rFonts w:ascii="Arial" w:cs="Arial" w:eastAsia="Arial" w:hAnsi="Arial"/>
                <w:sz w:val="15"/>
                <w:szCs w:val="15"/>
                <w:color w:val="32406B"/>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32406B"/>
              </w:rPr>
              <w:t>56,250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2406B"/>
              </w:rPr>
              <w:t>393,750</w:t>
            </w:r>
          </w:p>
        </w:tc>
        <w:tc>
          <w:tcPr>
            <w:tcW w:w="30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32406B"/>
                <w:w w:val="79"/>
              </w:rPr>
              <w:t>$</w:t>
            </w:r>
          </w:p>
        </w:tc>
        <w:tc>
          <w:tcPr>
            <w:tcW w:w="420" w:type="dxa"/>
            <w:vAlign w:val="bottom"/>
          </w:tcPr>
          <w:p>
            <w:pPr>
              <w:jc w:val="right"/>
              <w:spacing w:after="0"/>
              <w:rPr>
                <w:sz w:val="20"/>
                <w:szCs w:val="20"/>
                <w:color w:val="auto"/>
              </w:rPr>
            </w:pPr>
            <w:r>
              <w:rPr>
                <w:rFonts w:ascii="Arial" w:cs="Arial" w:eastAsia="Arial" w:hAnsi="Arial"/>
                <w:sz w:val="18"/>
                <w:szCs w:val="18"/>
                <w:color w:val="32406B"/>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9/6/2028</w:t>
            </w: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Aparna Bawa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360,000</w:t>
            </w:r>
            <w:r>
              <w:rPr>
                <w:rFonts w:ascii="Arial" w:cs="Arial" w:eastAsia="Arial" w:hAnsi="Arial"/>
                <w:sz w:val="15"/>
                <w:szCs w:val="15"/>
                <w:color w:val="32406B"/>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$ 1,508,400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32406B"/>
              </w:rPr>
              <w:t>Gregory Holmes</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32406B"/>
              </w:rPr>
              <w:t>11/3/2016</w:t>
            </w:r>
          </w:p>
        </w:tc>
        <w:tc>
          <w:tcPr>
            <w:tcW w:w="30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32406B"/>
              </w:rPr>
              <w:t>80,000</w:t>
            </w:r>
          </w:p>
        </w:tc>
        <w:tc>
          <w:tcPr>
            <w:tcW w:w="14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32406B"/>
              </w:rPr>
              <w:t>220,000</w:t>
            </w:r>
            <w:r>
              <w:rPr>
                <w:rFonts w:ascii="Arial" w:cs="Arial" w:eastAsia="Arial" w:hAnsi="Arial"/>
                <w:sz w:val="15"/>
                <w:szCs w:val="15"/>
                <w:color w:val="32406B"/>
              </w:rPr>
              <w:t>(8)</w:t>
            </w:r>
          </w:p>
        </w:tc>
        <w:tc>
          <w:tcPr>
            <w:tcW w:w="240" w:type="dxa"/>
            <w:vAlign w:val="bottom"/>
            <w:gridSpan w:val="2"/>
          </w:tcPr>
          <w:p>
            <w:pPr>
              <w:ind w:left="140"/>
              <w:spacing w:after="0" w:line="201" w:lineRule="exact"/>
              <w:rPr>
                <w:sz w:val="20"/>
                <w:szCs w:val="20"/>
                <w:color w:val="auto"/>
              </w:rPr>
            </w:pPr>
            <w:r>
              <w:rPr>
                <w:rFonts w:ascii="Arial" w:cs="Arial" w:eastAsia="Arial" w:hAnsi="Arial"/>
                <w:sz w:val="18"/>
                <w:szCs w:val="18"/>
                <w:color w:val="32406B"/>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32406B"/>
              </w:rPr>
              <w:t>0.30</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32406B"/>
                <w:w w:val="97"/>
              </w:rPr>
              <w:t>11/3/2026</w:t>
            </w:r>
          </w:p>
        </w:tc>
        <w:tc>
          <w:tcPr>
            <w:tcW w:w="160" w:type="dxa"/>
            <w:vAlign w:val="bottom"/>
          </w:tcPr>
          <w:p>
            <w:pPr>
              <w:spacing w:after="0"/>
              <w:rPr>
                <w:sz w:val="17"/>
                <w:szCs w:val="17"/>
                <w:color w:val="auto"/>
              </w:rPr>
            </w:pPr>
          </w:p>
        </w:tc>
        <w:tc>
          <w:tcPr>
            <w:tcW w:w="9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32406B"/>
              </w:rPr>
              <w:t>—</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32406B"/>
              </w:rPr>
              <w:t>9/24/2018</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32406B"/>
              </w:rPr>
              <w:t>25,000</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32406B"/>
              </w:rPr>
              <w:t>275,000</w:t>
            </w:r>
            <w:r>
              <w:rPr>
                <w:rFonts w:ascii="Arial" w:cs="Arial" w:eastAsia="Arial" w:hAnsi="Arial"/>
                <w:sz w:val="15"/>
                <w:szCs w:val="15"/>
                <w:color w:val="32406B"/>
              </w:rPr>
              <w:t>(9)</w:t>
            </w:r>
          </w:p>
        </w:tc>
        <w:tc>
          <w:tcPr>
            <w:tcW w:w="240" w:type="dxa"/>
            <w:vAlign w:val="bottom"/>
            <w:gridSpan w:val="2"/>
          </w:tcPr>
          <w:p>
            <w:pPr>
              <w:ind w:left="140"/>
              <w:spacing w:after="0"/>
              <w:rPr>
                <w:sz w:val="20"/>
                <w:szCs w:val="20"/>
                <w:color w:val="auto"/>
              </w:rPr>
            </w:pPr>
            <w:r>
              <w:rPr>
                <w:rFonts w:ascii="Arial" w:cs="Arial" w:eastAsia="Arial" w:hAnsi="Arial"/>
                <w:sz w:val="18"/>
                <w:szCs w:val="18"/>
                <w:color w:val="32406B"/>
                <w:w w:val="79"/>
              </w:rPr>
              <w:t>$</w:t>
            </w:r>
          </w:p>
        </w:tc>
        <w:tc>
          <w:tcPr>
            <w:tcW w:w="420" w:type="dxa"/>
            <w:vAlign w:val="bottom"/>
          </w:tcPr>
          <w:p>
            <w:pPr>
              <w:jc w:val="right"/>
              <w:spacing w:after="0"/>
              <w:rPr>
                <w:sz w:val="20"/>
                <w:szCs w:val="20"/>
                <w:color w:val="auto"/>
              </w:rPr>
            </w:pPr>
            <w:r>
              <w:rPr>
                <w:rFonts w:ascii="Arial" w:cs="Arial" w:eastAsia="Arial" w:hAnsi="Arial"/>
                <w:sz w:val="18"/>
                <w:szCs w:val="18"/>
                <w:color w:val="32406B"/>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w w:val="97"/>
              </w:rPr>
              <w:t>9/24/2028</w:t>
            </w: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40" w:hanging="436"/>
        <w:spacing w:after="0" w:line="258" w:lineRule="auto"/>
        <w:tabs>
          <w:tab w:leader="none" w:pos="64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All of the stock and option awards were granted under the 2011 Plan, the terms of which plan is described below under “—Equity Incentive Plans.”</w:t>
      </w:r>
    </w:p>
    <w:p>
      <w:pPr>
        <w:spacing w:after="0" w:line="1" w:lineRule="exact"/>
        <w:rPr>
          <w:rFonts w:ascii="Arial" w:cs="Arial" w:eastAsia="Arial" w:hAnsi="Arial"/>
          <w:sz w:val="18"/>
          <w:szCs w:val="18"/>
          <w:color w:val="32406B"/>
        </w:rPr>
      </w:pPr>
    </w:p>
    <w:p>
      <w:pPr>
        <w:jc w:val="both"/>
        <w:ind w:left="640" w:right="140" w:hanging="436"/>
        <w:spacing w:after="0" w:line="265" w:lineRule="auto"/>
        <w:tabs>
          <w:tab w:leader="none" w:pos="64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All of the option awards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ind w:left="640" w:right="140" w:hanging="436"/>
        <w:spacing w:after="0" w:line="250" w:lineRule="auto"/>
        <w:tabs>
          <w:tab w:leader="none" w:pos="64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 w:lineRule="exact"/>
        <w:rPr>
          <w:rFonts w:ascii="Arial" w:cs="Arial" w:eastAsia="Arial" w:hAnsi="Arial"/>
          <w:sz w:val="18"/>
          <w:szCs w:val="18"/>
          <w:color w:val="32406B"/>
        </w:rPr>
      </w:pPr>
    </w:p>
    <w:p>
      <w:pPr>
        <w:ind w:left="640" w:right="40" w:hanging="436"/>
        <w:spacing w:after="0" w:line="265" w:lineRule="auto"/>
        <w:tabs>
          <w:tab w:leader="none" w:pos="64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1" w:lineRule="exact"/>
        <w:rPr>
          <w:rFonts w:ascii="Arial" w:cs="Arial" w:eastAsia="Arial" w:hAnsi="Arial"/>
          <w:sz w:val="17"/>
          <w:szCs w:val="17"/>
          <w:color w:val="32406B"/>
        </w:rPr>
      </w:pPr>
    </w:p>
    <w:p>
      <w:pPr>
        <w:ind w:left="640" w:right="240" w:hanging="436"/>
        <w:spacing w:after="0" w:line="290" w:lineRule="auto"/>
        <w:tabs>
          <w:tab w:leader="none" w:pos="64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One-fourth of the shares subject to the option vested on March 16, 2016 and the remaining shares subject to the option vest in 36 equal monthly installments measured from March 16, 2016, subject to Ms. Pelosi’s continuous service with us as of each such vesting date.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104</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hanging="436"/>
        <w:spacing w:after="0" w:line="258" w:lineRule="auto"/>
        <w:tabs>
          <w:tab w:leader="none" w:pos="64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The shares subject to the option vest in 48 equal monthly installments measured from July 11, 2018, subject to Ms. Pelosi’s continuous service with us as of each such vesting date.</w:t>
      </w:r>
    </w:p>
    <w:p>
      <w:pPr>
        <w:spacing w:after="0" w:line="1" w:lineRule="exact"/>
        <w:rPr>
          <w:rFonts w:ascii="Arial" w:cs="Arial" w:eastAsia="Arial" w:hAnsi="Arial"/>
          <w:sz w:val="18"/>
          <w:szCs w:val="18"/>
          <w:color w:val="32406B"/>
        </w:rPr>
      </w:pPr>
    </w:p>
    <w:p>
      <w:pPr>
        <w:ind w:left="640" w:right="120" w:hanging="436"/>
        <w:spacing w:after="0" w:line="250" w:lineRule="auto"/>
        <w:tabs>
          <w:tab w:leader="none" w:pos="64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The shares were purchased by Ms. Bawa at $3.77 per share in September 2018 and are subject to our right of repurchase upon Ms. Bawa’s termination of service with us which lapses over time in accordance with the following vesting schedule: one-fourth of the shares will vest on September 5, 2019 and the remaining shares will vest in 36 equal monthly installments measured from September 5, 2019, subject to Ms. Bawa’s continuous service with us as of each such vesting date.</w:t>
      </w:r>
    </w:p>
    <w:p>
      <w:pPr>
        <w:spacing w:after="0" w:line="1" w:lineRule="exact"/>
        <w:rPr>
          <w:rFonts w:ascii="Arial" w:cs="Arial" w:eastAsia="Arial" w:hAnsi="Arial"/>
          <w:sz w:val="18"/>
          <w:szCs w:val="18"/>
          <w:color w:val="32406B"/>
        </w:rPr>
      </w:pPr>
    </w:p>
    <w:p>
      <w:pPr>
        <w:ind w:left="640" w:right="460" w:hanging="436"/>
        <w:spacing w:after="0" w:line="250" w:lineRule="auto"/>
        <w:tabs>
          <w:tab w:leader="none" w:pos="64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The shares subject to the option vest in 48 equal monthly installments measured from November 3, 2016, subject to Mr. Holmes’ continuous service with us as of each such vesting date.</w:t>
      </w:r>
    </w:p>
    <w:p>
      <w:pPr>
        <w:ind w:left="640" w:right="80" w:hanging="436"/>
        <w:spacing w:after="0" w:line="261" w:lineRule="auto"/>
        <w:tabs>
          <w:tab w:leader="none" w:pos="64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The shares subject to the option vest in 48 equal installments measured from September 24, 2018, subject to Mr. Holmes’ continuous service with us as of each such vesting date.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Other Compensation and Benefits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32406B"/>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32406B"/>
        </w:rPr>
        <w:t>Our named executive officers did not participate in, or earn any benefits under, a nonqualified deferred compensation plan sponsored by us during the fiscal year ended January 31, 2019. Our board of directors may elect to provide our officers and other employees with nonqualified defined contribution or other nonqualified deferred compensation benefits in the future if it determines that doing so is in our best interests.</w:t>
      </w:r>
    </w:p>
    <w:p>
      <w:pPr>
        <w:spacing w:after="0" w:line="166"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32406B"/>
        </w:rPr>
        <w:t>Our named executive officers did not participate in, or otherwise receive any benefits under, any pension or retirement plan sponsored by us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Clawback Policy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Additionally, we voluntarily adopted an incentive compensation recoupment, or “clawback”, policy that will become effective on the date of the underwriting agreement related to this offering, ahead of final guidance by the SEC regarding the claw back rules that will be required under the Dodd-Frank Wall Street Reform and Consumer Protection Act. Under our clawback policy, if an officer’s misconduct contributed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105</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32406B"/>
        </w:rPr>
        <w:t>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Equity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Fourth Amended and Restated 2011 Global Share Plan</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32406B"/>
        </w:rPr>
        <w:t>Our board of directors adopted our 2011 Plan in April 2011, and our stockholders approved the 2011 Plan in June 2011. The 2011 Plan has been periodically amended, most recently in September 2017. As of January 31, 2019, there were 1,848,100 shares of Class B common stock remaining available for the future grant of stock awards under our 2011 Plan. As of January 31, 2019, stock options covering 35,064,465 shares of our Class B common stock were outstanding and restricted shares covering 1,441,638 shares of Class B common stock were outstanding and subject to vesting and our repurchase right under the 2011 Plan. We expect that any shares of Class B common stock remaining available for issuance under the 2011 Plan at the time of this offering will become available for issuance for a corresponding number of shares of our Class A common stock under the 2019 Plan.</w:t>
      </w:r>
    </w:p>
    <w:p>
      <w:pPr>
        <w:spacing w:after="0" w:line="16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i w:val="1"/>
          <w:iCs w:val="1"/>
          <w:color w:val="32406B"/>
        </w:rPr>
        <w:t>Stock Awards</w:t>
      </w:r>
      <w:r>
        <w:rPr>
          <w:rFonts w:ascii="Arial" w:cs="Arial" w:eastAsia="Arial" w:hAnsi="Arial"/>
          <w:sz w:val="18"/>
          <w:szCs w:val="18"/>
          <w:color w:val="32406B"/>
        </w:rPr>
        <w:t>. Our 2011 Plan provides for the grant of incentive stock options (ISOs) within the meaning of Section 422 of the Internal Revenue</w:t>
      </w:r>
      <w:r>
        <w:rPr>
          <w:rFonts w:ascii="Arial" w:cs="Arial" w:eastAsia="Arial" w:hAnsi="Arial"/>
          <w:sz w:val="18"/>
          <w:szCs w:val="18"/>
          <w:i w:val="1"/>
          <w:iCs w:val="1"/>
          <w:color w:val="32406B"/>
        </w:rPr>
        <w:t xml:space="preserve"> </w:t>
      </w:r>
      <w:r>
        <w:rPr>
          <w:rFonts w:ascii="Arial" w:cs="Arial" w:eastAsia="Arial" w:hAnsi="Arial"/>
          <w:sz w:val="18"/>
          <w:szCs w:val="18"/>
          <w:color w:val="32406B"/>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18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32406B"/>
        </w:rPr>
        <w:t>Authorized Shares</w:t>
      </w:r>
      <w:r>
        <w:rPr>
          <w:rFonts w:ascii="Arial" w:cs="Arial" w:eastAsia="Arial" w:hAnsi="Arial"/>
          <w:sz w:val="18"/>
          <w:szCs w:val="18"/>
          <w:color w:val="32406B"/>
        </w:rPr>
        <w:t>. Subject to certain capitalization adjustments, the aggregate number of shares of Class B common stock that may be issued</w:t>
      </w:r>
      <w:r>
        <w:rPr>
          <w:rFonts w:ascii="Arial" w:cs="Arial" w:eastAsia="Arial" w:hAnsi="Arial"/>
          <w:sz w:val="18"/>
          <w:szCs w:val="18"/>
          <w:i w:val="1"/>
          <w:iCs w:val="1"/>
          <w:color w:val="32406B"/>
        </w:rPr>
        <w:t xml:space="preserve"> </w:t>
      </w:r>
      <w:r>
        <w:rPr>
          <w:rFonts w:ascii="Arial" w:cs="Arial" w:eastAsia="Arial" w:hAnsi="Arial"/>
          <w:sz w:val="18"/>
          <w:szCs w:val="18"/>
          <w:color w:val="32406B"/>
        </w:rPr>
        <w:t>pursuant to stock awards under the 2011 Plan will not exceed 71,240,000 shares.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7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32406B"/>
        </w:rPr>
        <w:t>Plan Administration</w:t>
      </w:r>
      <w:r>
        <w:rPr>
          <w:rFonts w:ascii="Arial" w:cs="Arial" w:eastAsia="Arial" w:hAnsi="Arial"/>
          <w:sz w:val="16"/>
          <w:szCs w:val="16"/>
          <w:color w:val="32406B"/>
        </w:rPr>
        <w:t>. Our board of directors administers and interprets the provisions of the 2011 Plan. The board of directors may delegate its</w:t>
      </w:r>
      <w:r>
        <w:rPr>
          <w:rFonts w:ascii="Arial" w:cs="Arial" w:eastAsia="Arial" w:hAnsi="Arial"/>
          <w:sz w:val="16"/>
          <w:szCs w:val="16"/>
          <w:i w:val="1"/>
          <w:iCs w:val="1"/>
          <w:color w:val="32406B"/>
        </w:rPr>
        <w:t xml:space="preserve"> </w:t>
      </w:r>
      <w:r>
        <w:rPr>
          <w:rFonts w:ascii="Arial" w:cs="Arial" w:eastAsia="Arial" w:hAnsi="Arial"/>
          <w:sz w:val="16"/>
          <w:szCs w:val="16"/>
          <w:color w:val="32406B"/>
        </w:rPr>
        <w:t>authority to a committee of the board and has delegated authority to the compensation committee of the board, referred to as the “plan administrator.”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6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32406B"/>
        </w:rPr>
        <w:t>Under the 2011 Plan, the plan administrator also has the authority, without stockholder consent, to institute and determine the terms of an exchange program under which (i) outstanding awards are surrendered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86" w:lineRule="auto"/>
        <w:rPr>
          <w:sz w:val="20"/>
          <w:szCs w:val="20"/>
          <w:color w:val="auto"/>
        </w:rPr>
      </w:pPr>
      <w:r>
        <w:rPr>
          <w:rFonts w:ascii="Arial" w:cs="Arial" w:eastAsia="Arial" w:hAnsi="Arial"/>
          <w:sz w:val="17"/>
          <w:szCs w:val="17"/>
          <w:color w:val="32406B"/>
        </w:rPr>
        <w:t>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32406B"/>
        </w:rPr>
        <w:t>Stock Options</w:t>
      </w:r>
      <w:r>
        <w:rPr>
          <w:rFonts w:ascii="Arial" w:cs="Arial" w:eastAsia="Arial" w:hAnsi="Arial"/>
          <w:sz w:val="18"/>
          <w:szCs w:val="18"/>
          <w:color w:val="32406B"/>
        </w:rPr>
        <w:t>. ISOs and NSOs are granted under share option agreements and option rules adopted by the plan administrator. The plan</w:t>
      </w:r>
      <w:r>
        <w:rPr>
          <w:rFonts w:ascii="Arial" w:cs="Arial" w:eastAsia="Arial" w:hAnsi="Arial"/>
          <w:sz w:val="18"/>
          <w:szCs w:val="18"/>
          <w:i w:val="1"/>
          <w:iCs w:val="1"/>
          <w:color w:val="32406B"/>
        </w:rPr>
        <w:t xml:space="preserve"> </w:t>
      </w:r>
      <w:r>
        <w:rPr>
          <w:rFonts w:ascii="Arial" w:cs="Arial" w:eastAsia="Arial" w:hAnsi="Arial"/>
          <w:sz w:val="18"/>
          <w:szCs w:val="18"/>
          <w:color w:val="32406B"/>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18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32406B"/>
        </w:rPr>
        <w:t>The plan administrator determines the term of stock options granted under the 2011 Plan,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6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32406B"/>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4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Unless the plan administrator provides otherwise, options generally are not transferable except by will or the laws of descent and distribution or (except for ISOs) pursuant to a domestic relations order.</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32406B"/>
        </w:rPr>
        <w:t>Restricted Shares</w:t>
      </w:r>
      <w:r>
        <w:rPr>
          <w:rFonts w:ascii="Arial" w:cs="Arial" w:eastAsia="Arial" w:hAnsi="Arial"/>
          <w:sz w:val="17"/>
          <w:szCs w:val="17"/>
          <w:color w:val="32406B"/>
        </w:rPr>
        <w:t>. Restricted shares may be awarded in consideration for cash or cash equivalents or another form of consideration, including past</w:t>
      </w:r>
      <w:r>
        <w:rPr>
          <w:rFonts w:ascii="Arial" w:cs="Arial" w:eastAsia="Arial" w:hAnsi="Arial"/>
          <w:sz w:val="17"/>
          <w:szCs w:val="17"/>
          <w:i w:val="1"/>
          <w:iCs w:val="1"/>
          <w:color w:val="32406B"/>
        </w:rPr>
        <w:t xml:space="preserve"> </w:t>
      </w:r>
      <w:r>
        <w:rPr>
          <w:rFonts w:ascii="Arial" w:cs="Arial" w:eastAsia="Arial" w:hAnsi="Arial"/>
          <w:sz w:val="17"/>
          <w:szCs w:val="17"/>
          <w:color w:val="32406B"/>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32406B"/>
        </w:rPr>
        <w:t>Changes to Capital Structure</w:t>
      </w:r>
      <w:r>
        <w:rPr>
          <w:rFonts w:ascii="Arial" w:cs="Arial" w:eastAsia="Arial" w:hAnsi="Arial"/>
          <w:sz w:val="18"/>
          <w:szCs w:val="18"/>
          <w:color w:val="32406B"/>
        </w:rPr>
        <w:t>. In the event of any dividend or other distribution, recapitalization, share split, reverse share split, reorganization,</w:t>
      </w:r>
      <w:r>
        <w:rPr>
          <w:rFonts w:ascii="Arial" w:cs="Arial" w:eastAsia="Arial" w:hAnsi="Arial"/>
          <w:sz w:val="18"/>
          <w:szCs w:val="18"/>
          <w:i w:val="1"/>
          <w:iCs w:val="1"/>
          <w:color w:val="32406B"/>
        </w:rPr>
        <w:t xml:space="preserve"> </w:t>
      </w:r>
      <w:r>
        <w:rPr>
          <w:rFonts w:ascii="Arial" w:cs="Arial" w:eastAsia="Arial" w:hAnsi="Arial"/>
          <w:sz w:val="18"/>
          <w:szCs w:val="18"/>
          <w:color w:val="32406B"/>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i w:val="1"/>
          <w:iCs w:val="1"/>
          <w:color w:val="32406B"/>
        </w:rPr>
        <w:t>Corporate Transactions</w:t>
      </w:r>
      <w:r>
        <w:rPr>
          <w:rFonts w:ascii="Arial" w:cs="Arial" w:eastAsia="Arial" w:hAnsi="Arial"/>
          <w:sz w:val="18"/>
          <w:szCs w:val="18"/>
          <w:color w:val="32406B"/>
        </w:rPr>
        <w:t>. In the event of a merger or a change in control, each outstanding award will be treated as the plan administrator</w:t>
      </w:r>
      <w:r>
        <w:rPr>
          <w:rFonts w:ascii="Arial" w:cs="Arial" w:eastAsia="Arial" w:hAnsi="Arial"/>
          <w:sz w:val="18"/>
          <w:szCs w:val="18"/>
          <w:i w:val="1"/>
          <w:iCs w:val="1"/>
          <w:color w:val="32406B"/>
        </w:rPr>
        <w:t xml:space="preserve"> </w:t>
      </w:r>
      <w:r>
        <w:rPr>
          <w:rFonts w:ascii="Arial" w:cs="Arial" w:eastAsia="Arial" w:hAnsi="Arial"/>
          <w:sz w:val="18"/>
          <w:szCs w:val="18"/>
          <w:color w:val="32406B"/>
        </w:rPr>
        <w:t>determines, which may include, without limitation, a determination that:</w:t>
      </w:r>
    </w:p>
    <w:p>
      <w:pPr>
        <w:spacing w:after="0" w:line="76" w:lineRule="exact"/>
        <w:rPr>
          <w:sz w:val="20"/>
          <w:szCs w:val="20"/>
          <w:color w:val="auto"/>
        </w:rPr>
      </w:pPr>
    </w:p>
    <w:p>
      <w:pPr>
        <w:ind w:left="5580" w:right="2100" w:hanging="4944"/>
        <w:spacing w:after="0" w:line="449" w:lineRule="auto"/>
        <w:tabs>
          <w:tab w:leader="none" w:pos="1069"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awards will be assumed or substituted by the acquiring or succeeding corporation with appropriate adjustments; 107</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upon written notice to the participant, the participant’s awards will terminate upon or immediately prior to the consummation of such merger or change in control;</w:t>
      </w:r>
    </w:p>
    <w:p>
      <w:pPr>
        <w:spacing w:after="0" w:line="75" w:lineRule="exact"/>
        <w:rPr>
          <w:rFonts w:ascii="Arial" w:cs="Arial" w:eastAsia="Arial" w:hAnsi="Arial"/>
          <w:sz w:val="18"/>
          <w:szCs w:val="18"/>
          <w:color w:val="32406B"/>
        </w:rPr>
      </w:pPr>
    </w:p>
    <w:p>
      <w:pPr>
        <w:ind w:left="1060" w:right="40" w:hanging="424"/>
        <w:spacing w:after="0" w:line="264" w:lineRule="auto"/>
        <w:tabs>
          <w:tab w:leader="none" w:pos="106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86" w:lineRule="exact"/>
        <w:rPr>
          <w:rFonts w:ascii="Arial" w:cs="Arial" w:eastAsia="Arial" w:hAnsi="Arial"/>
          <w:sz w:val="18"/>
          <w:szCs w:val="18"/>
          <w:color w:val="32406B"/>
        </w:rPr>
      </w:pPr>
    </w:p>
    <w:p>
      <w:pPr>
        <w:ind w:left="1060" w:right="140" w:hanging="424"/>
        <w:spacing w:after="0" w:line="286" w:lineRule="auto"/>
        <w:tabs>
          <w:tab w:leader="none" w:pos="1060" w:val="left"/>
        </w:tabs>
        <w:numPr>
          <w:ilvl w:val="0"/>
          <w:numId w:val="70"/>
        </w:numPr>
        <w:rPr>
          <w:rFonts w:ascii="Arial" w:cs="Arial" w:eastAsia="Arial" w:hAnsi="Arial"/>
          <w:sz w:val="17"/>
          <w:szCs w:val="17"/>
          <w:color w:val="32406B"/>
        </w:rPr>
      </w:pPr>
      <w:r>
        <w:rPr>
          <w:rFonts w:ascii="Arial" w:cs="Arial" w:eastAsia="Arial" w:hAnsi="Arial"/>
          <w:sz w:val="17"/>
          <w:szCs w:val="17"/>
          <w:color w:val="32406B"/>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70" w:lineRule="exact"/>
        <w:rPr>
          <w:rFonts w:ascii="Arial" w:cs="Arial" w:eastAsia="Arial" w:hAnsi="Arial"/>
          <w:sz w:val="17"/>
          <w:szCs w:val="17"/>
          <w:color w:val="32406B"/>
        </w:rPr>
      </w:pPr>
    </w:p>
    <w:p>
      <w:pPr>
        <w:ind w:left="1060" w:hanging="424"/>
        <w:spacing w:after="0"/>
        <w:tabs>
          <w:tab w:leader="none" w:pos="106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any combination of the foregoing.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plan administrator is not obligated to treat all awards similarly.</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7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32406B"/>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66"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32406B"/>
        </w:rPr>
        <w:t>Plan Amendment or Termination</w:t>
      </w:r>
      <w:r>
        <w:rPr>
          <w:rFonts w:ascii="Arial" w:cs="Arial" w:eastAsia="Arial" w:hAnsi="Arial"/>
          <w:sz w:val="16"/>
          <w:szCs w:val="16"/>
          <w:color w:val="32406B"/>
        </w:rPr>
        <w:t>. The plan administrator may at any time amend, alter, suspend or terminate the 2011 Plan. Certain amendments,</w:t>
      </w:r>
      <w:r>
        <w:rPr>
          <w:rFonts w:ascii="Arial" w:cs="Arial" w:eastAsia="Arial" w:hAnsi="Arial"/>
          <w:sz w:val="16"/>
          <w:szCs w:val="16"/>
          <w:i w:val="1"/>
          <w:iCs w:val="1"/>
          <w:color w:val="32406B"/>
        </w:rPr>
        <w:t xml:space="preserve"> </w:t>
      </w:r>
      <w:r>
        <w:rPr>
          <w:rFonts w:ascii="Arial" w:cs="Arial" w:eastAsia="Arial" w:hAnsi="Arial"/>
          <w:sz w:val="16"/>
          <w:szCs w:val="16"/>
          <w:color w:val="32406B"/>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2019 Equity Incentive Plan</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Our board of directors adopted, and our stockholders approved, our 2019 Plan in April 2019. Our 2019 Plan is a successor to and continuation of our 2011 Plan. Our 2019 Plan will become effective on the date of the underwriting agreement related to this offering. The 2019 Plan came into existence upon its adoption by our board of directors, but no grants will be made under the 2019 Plan prior to its effectiveness. Once the 2019 Plan is effective, no further grants will be made under the 2011 Plan.</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i w:val="1"/>
          <w:iCs w:val="1"/>
          <w:color w:val="32406B"/>
        </w:rPr>
        <w:t>Awards</w:t>
      </w:r>
      <w:r>
        <w:rPr>
          <w:rFonts w:ascii="Arial" w:cs="Arial" w:eastAsia="Arial" w:hAnsi="Arial"/>
          <w:sz w:val="18"/>
          <w:szCs w:val="18"/>
          <w:color w:val="32406B"/>
        </w:rPr>
        <w:t>. Our 2019 Plan provides for the grant of ISOs to employees, including employees of any parent or subsidiary, and for the grant of NSOs,</w:t>
      </w:r>
      <w:r>
        <w:rPr>
          <w:rFonts w:ascii="Arial" w:cs="Arial" w:eastAsia="Arial" w:hAnsi="Arial"/>
          <w:sz w:val="18"/>
          <w:szCs w:val="18"/>
          <w:i w:val="1"/>
          <w:iCs w:val="1"/>
          <w:color w:val="32406B"/>
        </w:rPr>
        <w:t xml:space="preserve"> </w:t>
      </w:r>
      <w:r>
        <w:rPr>
          <w:rFonts w:ascii="Arial" w:cs="Arial" w:eastAsia="Arial" w:hAnsi="Arial"/>
          <w:sz w:val="18"/>
          <w:szCs w:val="18"/>
          <w:color w:val="32406B"/>
        </w:rPr>
        <w:t>stock appreciation rights, restricted stock awards, restricted stock unit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108</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2406B"/>
        </w:rPr>
        <w:t>awards, performance awards and other forms of awards to employees, directors and consultants, including employees and consultants of our affiliates.</w:t>
      </w:r>
    </w:p>
    <w:p>
      <w:pPr>
        <w:spacing w:after="0" w:line="24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i w:val="1"/>
          <w:iCs w:val="1"/>
          <w:color w:val="32406B"/>
        </w:rPr>
        <w:t>Authorized Shares</w:t>
      </w:r>
      <w:r>
        <w:rPr>
          <w:rFonts w:ascii="Arial" w:cs="Arial" w:eastAsia="Arial" w:hAnsi="Arial"/>
          <w:sz w:val="17"/>
          <w:szCs w:val="17"/>
          <w:color w:val="32406B"/>
        </w:rPr>
        <w:t>. Initially, the maximum number of shares of our Class A common stock that may be issued under our 2019 Plan after it</w:t>
      </w:r>
      <w:r>
        <w:rPr>
          <w:rFonts w:ascii="Arial" w:cs="Arial" w:eastAsia="Arial" w:hAnsi="Arial"/>
          <w:sz w:val="17"/>
          <w:szCs w:val="17"/>
          <w:i w:val="1"/>
          <w:iCs w:val="1"/>
          <w:color w:val="32406B"/>
        </w:rPr>
        <w:t xml:space="preserve"> </w:t>
      </w:r>
      <w:r>
        <w:rPr>
          <w:rFonts w:ascii="Arial" w:cs="Arial" w:eastAsia="Arial" w:hAnsi="Arial"/>
          <w:sz w:val="17"/>
          <w:szCs w:val="17"/>
          <w:color w:val="32406B"/>
        </w:rPr>
        <w:t>becomes effective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1st. The maximum number of shares of our Class A common stock that may be issued on the exercise of ISOs under our 2019 Plan is 174,902,667 shares.</w:t>
      </w:r>
    </w:p>
    <w:p>
      <w:pPr>
        <w:spacing w:after="0" w:line="18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Shares subject to stock awards granted under our 2019 Plan that expire or terminate without being exercised in full or that are paid out in cash rather than in shares do not reduce the number of shares available for issuance under our 2019 Plan. Shares withheld under a stock award to satisfy the exercise, strike or purchase price of a stock award or to satisfy a tax withholding obligation do not reduce the number of shares available for issuance under our 2019 Plan. If any shares of Class A common stock issued pursuant to a stock award are forfeited back to or repurchased or reacquired by us for any reason,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32406B"/>
        </w:rPr>
        <w:t>Plan Administration</w:t>
      </w:r>
      <w:r>
        <w:rPr>
          <w:rFonts w:ascii="Arial" w:cs="Arial" w:eastAsia="Arial" w:hAnsi="Arial"/>
          <w:sz w:val="18"/>
          <w:szCs w:val="18"/>
          <w:color w:val="32406B"/>
        </w:rPr>
        <w:t>. Our board of directors, or a duly authorized committee of our board of directors, will administer our 2019 Plan and is</w:t>
      </w:r>
      <w:r>
        <w:rPr>
          <w:rFonts w:ascii="Arial" w:cs="Arial" w:eastAsia="Arial" w:hAnsi="Arial"/>
          <w:sz w:val="18"/>
          <w:szCs w:val="18"/>
          <w:i w:val="1"/>
          <w:iCs w:val="1"/>
          <w:color w:val="32406B"/>
        </w:rPr>
        <w:t xml:space="preserve"> </w:t>
      </w:r>
      <w:r>
        <w:rPr>
          <w:rFonts w:ascii="Arial" w:cs="Arial" w:eastAsia="Arial" w:hAnsi="Arial"/>
          <w:sz w:val="18"/>
          <w:szCs w:val="18"/>
          <w:color w:val="32406B"/>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Under the 2019 Plan,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32406B"/>
        </w:rPr>
        <w:t>Stock Options</w:t>
      </w:r>
      <w:r>
        <w:rPr>
          <w:rFonts w:ascii="Arial" w:cs="Arial" w:eastAsia="Arial" w:hAnsi="Arial"/>
          <w:sz w:val="18"/>
          <w:szCs w:val="18"/>
          <w:color w:val="32406B"/>
        </w:rPr>
        <w:t>. ISOs and NSOs are granted under stock option agreements adopted by the plan administrator. The plan administrator determines</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specified in the stock option agreement as determined by the plan administrator.</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The plan administrator determines the term of stock options granted under the 2019 Plan, up to a maximum of 10 years. Unless the terms of an optionholder’s stock option agreement provide otherwise, if an optionholder’s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109</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32406B"/>
        </w:rPr>
        <w:t>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6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32406B"/>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32406B"/>
        </w:rPr>
        <w:t>Unless the plan administrator provides otherwise, options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81" w:lineRule="exact"/>
        <w:rPr>
          <w:sz w:val="20"/>
          <w:szCs w:val="20"/>
          <w:color w:val="auto"/>
        </w:rPr>
      </w:pPr>
    </w:p>
    <w:p>
      <w:pPr>
        <w:jc w:val="both"/>
        <w:ind w:left="200" w:right="40" w:firstLine="441"/>
        <w:spacing w:after="0" w:line="255" w:lineRule="auto"/>
        <w:rPr>
          <w:sz w:val="20"/>
          <w:szCs w:val="20"/>
          <w:color w:val="auto"/>
        </w:rPr>
      </w:pPr>
      <w:r>
        <w:rPr>
          <w:rFonts w:ascii="Arial" w:cs="Arial" w:eastAsia="Arial" w:hAnsi="Arial"/>
          <w:sz w:val="18"/>
          <w:szCs w:val="18"/>
          <w:i w:val="1"/>
          <w:iCs w:val="1"/>
          <w:color w:val="32406B"/>
        </w:rPr>
        <w:t>Tax Limitations on ISOs</w:t>
      </w:r>
      <w:r>
        <w:rPr>
          <w:rFonts w:ascii="Arial" w:cs="Arial" w:eastAsia="Arial" w:hAnsi="Arial"/>
          <w:sz w:val="18"/>
          <w:szCs w:val="18"/>
          <w:color w:val="32406B"/>
        </w:rPr>
        <w:t>. The aggregate fair market value, determined at the time of grant, of our Class A common stock with respect to ISOs that</w:t>
      </w:r>
      <w:r>
        <w:rPr>
          <w:rFonts w:ascii="Arial" w:cs="Arial" w:eastAsia="Arial" w:hAnsi="Arial"/>
          <w:sz w:val="18"/>
          <w:szCs w:val="18"/>
          <w:i w:val="1"/>
          <w:iCs w:val="1"/>
          <w:color w:val="32406B"/>
        </w:rPr>
        <w:t xml:space="preserve"> </w:t>
      </w:r>
      <w:r>
        <w:rPr>
          <w:rFonts w:ascii="Arial" w:cs="Arial" w:eastAsia="Arial" w:hAnsi="Arial"/>
          <w:sz w:val="18"/>
          <w:szCs w:val="18"/>
          <w:color w:val="32406B"/>
        </w:rPr>
        <w:t>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32406B"/>
        </w:rPr>
        <w:t>Restricted Stock Unit Awards</w:t>
      </w:r>
      <w:r>
        <w:rPr>
          <w:rFonts w:ascii="Arial" w:cs="Arial" w:eastAsia="Arial" w:hAnsi="Arial"/>
          <w:sz w:val="18"/>
          <w:szCs w:val="18"/>
          <w:color w:val="32406B"/>
        </w:rPr>
        <w:t>. Restricted stock unit awards are granted under restricted stock unit award agreements adopted by the plan</w:t>
      </w:r>
      <w:r>
        <w:rPr>
          <w:rFonts w:ascii="Arial" w:cs="Arial" w:eastAsia="Arial" w:hAnsi="Arial"/>
          <w:sz w:val="18"/>
          <w:szCs w:val="18"/>
          <w:i w:val="1"/>
          <w:iCs w:val="1"/>
          <w:color w:val="32406B"/>
        </w:rPr>
        <w:t xml:space="preserve"> </w:t>
      </w:r>
      <w:r>
        <w:rPr>
          <w:rFonts w:ascii="Arial" w:cs="Arial" w:eastAsia="Arial" w:hAnsi="Arial"/>
          <w:sz w:val="18"/>
          <w:szCs w:val="18"/>
          <w:color w:val="32406B"/>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32406B"/>
        </w:rPr>
        <w:t>Restricted Stock Awards</w:t>
      </w:r>
      <w:r>
        <w:rPr>
          <w:rFonts w:ascii="Arial" w:cs="Arial" w:eastAsia="Arial" w:hAnsi="Arial"/>
          <w:sz w:val="17"/>
          <w:szCs w:val="17"/>
          <w:color w:val="32406B"/>
        </w:rPr>
        <w:t>. Restricted stock awards are granted under restricted stock award agreements adopted by the plan administrator. A</w:t>
      </w:r>
      <w:r>
        <w:rPr>
          <w:rFonts w:ascii="Arial" w:cs="Arial" w:eastAsia="Arial" w:hAnsi="Arial"/>
          <w:sz w:val="17"/>
          <w:szCs w:val="17"/>
          <w:i w:val="1"/>
          <w:iCs w:val="1"/>
          <w:color w:val="32406B"/>
        </w:rPr>
        <w:t xml:space="preserve"> </w:t>
      </w:r>
      <w:r>
        <w:rPr>
          <w:rFonts w:ascii="Arial" w:cs="Arial" w:eastAsia="Arial" w:hAnsi="Arial"/>
          <w:sz w:val="17"/>
          <w:szCs w:val="17"/>
          <w:color w:val="32406B"/>
        </w:rPr>
        <w:t>restricted stock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78"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32406B"/>
        </w:rPr>
        <w:t>Stock Appreciation Rights</w:t>
      </w:r>
      <w:r>
        <w:rPr>
          <w:rFonts w:ascii="Arial" w:cs="Arial" w:eastAsia="Arial" w:hAnsi="Arial"/>
          <w:sz w:val="16"/>
          <w:szCs w:val="16"/>
          <w:color w:val="32406B"/>
        </w:rPr>
        <w:t>. Stock appreciation rights are granted under stock appreciation right agreements adopted by the plan administrator.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plan administrator determines the purchase price or strike price for a stock appreciation right, which generally cannot be less than 100% of the fair market value of our Class A common stock on the date of grant. A stock appreciation right granted under the 2019 Plan vests at the rate specified in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32406B"/>
        </w:rPr>
        <w:t>stock appreciation right agreement as determined by the plan administrator. Stock appreciation rights may be settled in cash or shares of Class A common stock.</w:t>
      </w:r>
    </w:p>
    <w:p>
      <w:pPr>
        <w:spacing w:after="0" w:line="170"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32406B"/>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i w:val="1"/>
          <w:iCs w:val="1"/>
          <w:color w:val="32406B"/>
        </w:rPr>
        <w:t>Performance Awards</w:t>
      </w:r>
      <w:r>
        <w:rPr>
          <w:rFonts w:ascii="Arial" w:cs="Arial" w:eastAsia="Arial" w:hAnsi="Arial"/>
          <w:sz w:val="18"/>
          <w:szCs w:val="18"/>
          <w:color w:val="32406B"/>
        </w:rPr>
        <w:t>. The 2019 Plan permits the grant of performance awards that may be settled in stock, cash or other property. Performance</w:t>
      </w:r>
      <w:r>
        <w:rPr>
          <w:rFonts w:ascii="Arial" w:cs="Arial" w:eastAsia="Arial" w:hAnsi="Arial"/>
          <w:sz w:val="18"/>
          <w:szCs w:val="18"/>
          <w:i w:val="1"/>
          <w:iCs w:val="1"/>
          <w:color w:val="32406B"/>
        </w:rPr>
        <w:t xml:space="preserve"> </w:t>
      </w:r>
      <w:r>
        <w:rPr>
          <w:rFonts w:ascii="Arial" w:cs="Arial" w:eastAsia="Arial" w:hAnsi="Arial"/>
          <w:sz w:val="18"/>
          <w:szCs w:val="18"/>
          <w:color w:val="32406B"/>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87"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color w:val="32406B"/>
        </w:rPr>
        <w:t>The performance goals may be based any measure of performance selected by the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 (iv) to exclude the effects of any statutory adjustments to corporate tax rates;</w:t>
      </w:r>
    </w:p>
    <w:p>
      <w:pPr>
        <w:spacing w:after="0" w:line="5" w:lineRule="exact"/>
        <w:rPr>
          <w:sz w:val="20"/>
          <w:szCs w:val="20"/>
          <w:color w:val="auto"/>
        </w:rPr>
      </w:pPr>
    </w:p>
    <w:p>
      <w:pPr>
        <w:ind w:left="460" w:hanging="256"/>
        <w:spacing w:after="0"/>
        <w:tabs>
          <w:tab w:leader="none" w:pos="460" w:val="left"/>
        </w:tabs>
        <w:numPr>
          <w:ilvl w:val="0"/>
          <w:numId w:val="71"/>
        </w:numPr>
        <w:rPr>
          <w:rFonts w:ascii="Arial" w:cs="Arial" w:eastAsia="Arial" w:hAnsi="Arial"/>
          <w:sz w:val="16"/>
          <w:szCs w:val="16"/>
          <w:color w:val="32406B"/>
        </w:rPr>
      </w:pPr>
      <w:r>
        <w:rPr>
          <w:rFonts w:ascii="Arial" w:cs="Arial" w:eastAsia="Arial" w:hAnsi="Arial"/>
          <w:sz w:val="16"/>
          <w:szCs w:val="16"/>
          <w:color w:val="32406B"/>
        </w:rPr>
        <w:t>to exclude the effects of items that are “unusual” in nature or occur “infrequently” as determined under generally accepted accounting principles;</w:t>
      </w:r>
    </w:p>
    <w:p>
      <w:pPr>
        <w:spacing w:after="0" w:line="32" w:lineRule="exact"/>
        <w:rPr>
          <w:rFonts w:ascii="Arial" w:cs="Arial" w:eastAsia="Arial" w:hAnsi="Arial"/>
          <w:sz w:val="16"/>
          <w:szCs w:val="16"/>
          <w:color w:val="32406B"/>
        </w:rPr>
      </w:pPr>
    </w:p>
    <w:p>
      <w:pPr>
        <w:ind w:left="200" w:right="60" w:firstLine="4"/>
        <w:spacing w:after="0" w:line="281" w:lineRule="auto"/>
        <w:tabs>
          <w:tab w:leader="none" w:pos="505" w:val="left"/>
        </w:tabs>
        <w:numPr>
          <w:ilvl w:val="0"/>
          <w:numId w:val="71"/>
        </w:numPr>
        <w:rPr>
          <w:rFonts w:ascii="Arial" w:cs="Arial" w:eastAsia="Arial" w:hAnsi="Arial"/>
          <w:sz w:val="16"/>
          <w:szCs w:val="16"/>
          <w:color w:val="32406B"/>
        </w:rPr>
      </w:pPr>
      <w:r>
        <w:rPr>
          <w:rFonts w:ascii="Arial" w:cs="Arial" w:eastAsia="Arial" w:hAnsi="Arial"/>
          <w:sz w:val="16"/>
          <w:szCs w:val="16"/>
          <w:color w:val="32406B"/>
        </w:rPr>
        <w:t>to exclude the dilutive effects of acquisitions or joint ventures; (vii) to assume that any portion of our business which is divested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w:t>
      </w:r>
    </w:p>
    <w:p>
      <w:pPr>
        <w:spacing w:after="0" w:line="3" w:lineRule="exact"/>
        <w:rPr>
          <w:rFonts w:ascii="Arial" w:cs="Arial" w:eastAsia="Arial" w:hAnsi="Arial"/>
          <w:sz w:val="16"/>
          <w:szCs w:val="16"/>
          <w:color w:val="32406B"/>
        </w:rPr>
      </w:pPr>
    </w:p>
    <w:p>
      <w:pPr>
        <w:ind w:left="200" w:firstLine="4"/>
        <w:spacing w:after="0" w:line="255" w:lineRule="auto"/>
        <w:tabs>
          <w:tab w:leader="none" w:pos="455"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9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i w:val="1"/>
          <w:iCs w:val="1"/>
          <w:color w:val="32406B"/>
        </w:rPr>
        <w:t>Other Stock Awards</w:t>
      </w:r>
      <w:r>
        <w:rPr>
          <w:rFonts w:ascii="Arial" w:cs="Arial" w:eastAsia="Arial" w:hAnsi="Arial"/>
          <w:sz w:val="17"/>
          <w:szCs w:val="17"/>
          <w:color w:val="32406B"/>
        </w:rPr>
        <w:t>. The plan administrator may grant other awards based in whole or in part by reference to our Class A common stock. The plan</w:t>
      </w:r>
      <w:r>
        <w:rPr>
          <w:rFonts w:ascii="Arial" w:cs="Arial" w:eastAsia="Arial" w:hAnsi="Arial"/>
          <w:sz w:val="17"/>
          <w:szCs w:val="17"/>
          <w:i w:val="1"/>
          <w:iCs w:val="1"/>
          <w:color w:val="32406B"/>
        </w:rPr>
        <w:t xml:space="preserve"> </w:t>
      </w:r>
      <w:r>
        <w:rPr>
          <w:rFonts w:ascii="Arial" w:cs="Arial" w:eastAsia="Arial" w:hAnsi="Arial"/>
          <w:sz w:val="17"/>
          <w:szCs w:val="17"/>
          <w:color w:val="32406B"/>
        </w:rPr>
        <w:t>administrator will set the number of shares under the stock award (or cash equivalent) and all other terms and conditions of such awards.</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32406B"/>
        </w:rPr>
        <w:t xml:space="preserve">Non-Employee Director Compensation Limit. </w:t>
      </w:r>
      <w:r>
        <w:rPr>
          <w:rFonts w:ascii="Arial" w:cs="Arial" w:eastAsia="Arial" w:hAnsi="Arial"/>
          <w:sz w:val="18"/>
          <w:szCs w:val="18"/>
          <w:color w:val="32406B"/>
        </w:rPr>
        <w:t>The aggregate value of all compensation granted or paid to any Non-Employee Director with</w:t>
      </w:r>
      <w:r>
        <w:rPr>
          <w:rFonts w:ascii="Arial" w:cs="Arial" w:eastAsia="Arial" w:hAnsi="Arial"/>
          <w:sz w:val="18"/>
          <w:szCs w:val="18"/>
          <w:i w:val="1"/>
          <w:iCs w:val="1"/>
          <w:color w:val="32406B"/>
        </w:rPr>
        <w:t xml:space="preserve"> </w:t>
      </w:r>
      <w:r>
        <w:rPr>
          <w:rFonts w:ascii="Arial" w:cs="Arial" w:eastAsia="Arial" w:hAnsi="Arial"/>
          <w:sz w:val="18"/>
          <w:szCs w:val="18"/>
          <w:color w:val="32406B"/>
        </w:rPr>
        <w:t>respect to any calendar year, including awards granted and cash fees paid by the Company to such Non-Employee Director, will not exceed $750,000 in total value.</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32406B"/>
        </w:rPr>
        <w:t>Changes to Capital Structure</w:t>
      </w:r>
      <w:r>
        <w:rPr>
          <w:rFonts w:ascii="Arial" w:cs="Arial" w:eastAsia="Arial" w:hAnsi="Arial"/>
          <w:sz w:val="18"/>
          <w:szCs w:val="18"/>
          <w:color w:val="32406B"/>
        </w:rPr>
        <w:t>. In the event there is a specified type of change in our capital structure, such as a stock split, reverse stock split, or</w:t>
      </w:r>
      <w:r>
        <w:rPr>
          <w:rFonts w:ascii="Arial" w:cs="Arial" w:eastAsia="Arial" w:hAnsi="Arial"/>
          <w:sz w:val="18"/>
          <w:szCs w:val="18"/>
          <w:i w:val="1"/>
          <w:iCs w:val="1"/>
          <w:color w:val="32406B"/>
        </w:rPr>
        <w:t xml:space="preserve"> </w:t>
      </w:r>
      <w:r>
        <w:rPr>
          <w:rFonts w:ascii="Arial" w:cs="Arial" w:eastAsia="Arial" w:hAnsi="Arial"/>
          <w:sz w:val="18"/>
          <w:szCs w:val="18"/>
          <w:color w:val="32406B"/>
        </w:rPr>
        <w:t>recapitalization, appropriate adjustments will be made to (1) the class and maximum number of shares reserved for issuance under the 2019 Plan, (2) the class and maximum number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32406B"/>
        </w:rPr>
        <w:t>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2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32406B"/>
        </w:rPr>
        <w:t>Corporate Transactions</w:t>
      </w:r>
      <w:r>
        <w:rPr>
          <w:rFonts w:ascii="Arial" w:cs="Arial" w:eastAsia="Arial" w:hAnsi="Arial"/>
          <w:sz w:val="18"/>
          <w:szCs w:val="18"/>
          <w:color w:val="32406B"/>
        </w:rPr>
        <w:t>. The following applies to stock awards under the 2019 Plan in the event of a corporate transaction (as defined in the 2019</w:t>
      </w:r>
      <w:r>
        <w:rPr>
          <w:rFonts w:ascii="Arial" w:cs="Arial" w:eastAsia="Arial" w:hAnsi="Arial"/>
          <w:sz w:val="18"/>
          <w:szCs w:val="18"/>
          <w:i w:val="1"/>
          <w:iCs w:val="1"/>
          <w:color w:val="32406B"/>
        </w:rPr>
        <w:t xml:space="preserve"> </w:t>
      </w:r>
      <w:r>
        <w:rPr>
          <w:rFonts w:ascii="Arial" w:cs="Arial" w:eastAsia="Arial" w:hAnsi="Arial"/>
          <w:sz w:val="18"/>
          <w:szCs w:val="18"/>
          <w:color w:val="32406B"/>
        </w:rPr>
        <w:t>Plan), unless otherwise provided in a participant’s stock award agreement or other written agreement with us or one of our affiliates or unless otherwise expressly provided by the plan administrator at the time of grant.</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32406B"/>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 holdback, earn out or similar provisions in the definitive agreement for the corporate transaction may apply to such payment to the same extent and in the same manner as such provisions apply to the holders of Class A common stock.</w:t>
      </w:r>
    </w:p>
    <w:p>
      <w:pPr>
        <w:spacing w:after="0" w:line="19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32406B"/>
        </w:rPr>
        <w:t>Under the 2019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32406B"/>
        </w:rPr>
        <w:t>Change in Control</w:t>
      </w:r>
      <w:r>
        <w:rPr>
          <w:rFonts w:ascii="Arial" w:cs="Arial" w:eastAsia="Arial" w:hAnsi="Arial"/>
          <w:sz w:val="16"/>
          <w:szCs w:val="16"/>
          <w:color w:val="32406B"/>
        </w:rPr>
        <w:t>. Awards granted under the 2019 Plan may be subject to acceleration of vesting and exercisability upon or after a change in</w:t>
      </w:r>
      <w:r>
        <w:rPr>
          <w:rFonts w:ascii="Arial" w:cs="Arial" w:eastAsia="Arial" w:hAnsi="Arial"/>
          <w:sz w:val="16"/>
          <w:szCs w:val="16"/>
          <w:i w:val="1"/>
          <w:iCs w:val="1"/>
          <w:color w:val="32406B"/>
        </w:rPr>
        <w:t xml:space="preserve"> </w:t>
      </w:r>
      <w:r>
        <w:rPr>
          <w:rFonts w:ascii="Arial" w:cs="Arial" w:eastAsia="Arial" w:hAnsi="Arial"/>
          <w:sz w:val="16"/>
          <w:szCs w:val="16"/>
          <w:color w:val="32406B"/>
        </w:rPr>
        <w:t>control as may be provided in the applicable stock award agreement or in any other written agreement between us or any affiliate and the participant, but in the absence of such provision, no such acceleration will automatically occur. Under the 2019 Plan, a change in control is generally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stockholder approval of a complete dissolution or liquidation,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112</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32406B"/>
        </w:rPr>
        <w:t>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32406B"/>
        </w:rPr>
        <w:t>Plan Amendment or Termination</w:t>
      </w:r>
      <w:r>
        <w:rPr>
          <w:rFonts w:ascii="Arial" w:cs="Arial" w:eastAsia="Arial" w:hAnsi="Arial"/>
          <w:sz w:val="18"/>
          <w:szCs w:val="18"/>
          <w:color w:val="32406B"/>
        </w:rPr>
        <w:t>. Our board of directors has the authority to amend, suspend, or terminate our 2019 Plan, provided that such</w:t>
      </w:r>
      <w:r>
        <w:rPr>
          <w:rFonts w:ascii="Arial" w:cs="Arial" w:eastAsia="Arial" w:hAnsi="Arial"/>
          <w:sz w:val="18"/>
          <w:szCs w:val="18"/>
          <w:i w:val="1"/>
          <w:iCs w:val="1"/>
          <w:color w:val="32406B"/>
        </w:rPr>
        <w:t xml:space="preserve"> </w:t>
      </w:r>
      <w:r>
        <w:rPr>
          <w:rFonts w:ascii="Arial" w:cs="Arial" w:eastAsia="Arial" w:hAnsi="Arial"/>
          <w:sz w:val="18"/>
          <w:szCs w:val="18"/>
          <w:color w:val="32406B"/>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2019 Employee Stock Purchase Plan</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Our board of directors adopted, and our stockholders approved, our ESPP in April 2019.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i w:val="1"/>
          <w:iCs w:val="1"/>
          <w:color w:val="32406B"/>
        </w:rPr>
        <w:t>Share Reserve</w:t>
      </w:r>
      <w:r>
        <w:rPr>
          <w:rFonts w:ascii="Arial" w:cs="Arial" w:eastAsia="Arial" w:hAnsi="Arial"/>
          <w:sz w:val="16"/>
          <w:szCs w:val="16"/>
          <w:color w:val="32406B"/>
        </w:rPr>
        <w:t>. Following this offering, the ESPP authorizes the issuance of 9,000,000 shares of our Class A common stock under purchase rights</w:t>
      </w:r>
      <w:r>
        <w:rPr>
          <w:rFonts w:ascii="Arial" w:cs="Arial" w:eastAsia="Arial" w:hAnsi="Arial"/>
          <w:sz w:val="16"/>
          <w:szCs w:val="16"/>
          <w:i w:val="1"/>
          <w:iCs w:val="1"/>
          <w:color w:val="32406B"/>
        </w:rPr>
        <w:t xml:space="preserve"> </w:t>
      </w:r>
      <w:r>
        <w:rPr>
          <w:rFonts w:ascii="Arial" w:cs="Arial" w:eastAsia="Arial" w:hAnsi="Arial"/>
          <w:sz w:val="16"/>
          <w:szCs w:val="16"/>
          <w:color w:val="32406B"/>
        </w:rPr>
        <w:t>granted to our employees or to employees of any of our designated affiliates.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 As of the date hereof, no shares of our Class A common stock have been purchased under the ESPP.</w:t>
      </w:r>
    </w:p>
    <w:p>
      <w:pPr>
        <w:spacing w:after="0" w:line="16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32406B"/>
        </w:rPr>
        <w:t>Administration</w:t>
      </w:r>
      <w:r>
        <w:rPr>
          <w:rFonts w:ascii="Arial" w:cs="Arial" w:eastAsia="Arial" w:hAnsi="Arial"/>
          <w:sz w:val="18"/>
          <w:szCs w:val="18"/>
          <w:color w:val="32406B"/>
        </w:rPr>
        <w:t>. Our board of directors administers the ESPP and may delegate its authority to administer the ESPP to our compensation</w:t>
      </w:r>
      <w:r>
        <w:rPr>
          <w:rFonts w:ascii="Arial" w:cs="Arial" w:eastAsia="Arial" w:hAnsi="Arial"/>
          <w:sz w:val="18"/>
          <w:szCs w:val="18"/>
          <w:i w:val="1"/>
          <w:iCs w:val="1"/>
          <w:color w:val="32406B"/>
        </w:rPr>
        <w:t xml:space="preserve"> </w:t>
      </w:r>
      <w:r>
        <w:rPr>
          <w:rFonts w:ascii="Arial" w:cs="Arial" w:eastAsia="Arial" w:hAnsi="Arial"/>
          <w:sz w:val="18"/>
          <w:szCs w:val="18"/>
          <w:color w:val="32406B"/>
        </w:rPr>
        <w:t>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32406B"/>
        </w:rPr>
        <w:t>Payroll Deductions</w:t>
      </w:r>
      <w:r>
        <w:rPr>
          <w:rFonts w:ascii="Arial" w:cs="Arial" w:eastAsia="Arial" w:hAnsi="Arial"/>
          <w:sz w:val="18"/>
          <w:szCs w:val="18"/>
          <w:color w:val="32406B"/>
        </w:rPr>
        <w:t>. Generally, all regular employees, including executive officers, employed by us or by any of our designated affiliates, may</w:t>
      </w:r>
      <w:r>
        <w:rPr>
          <w:rFonts w:ascii="Arial" w:cs="Arial" w:eastAsia="Arial" w:hAnsi="Arial"/>
          <w:sz w:val="18"/>
          <w:szCs w:val="18"/>
          <w:i w:val="1"/>
          <w:iCs w:val="1"/>
          <w:color w:val="32406B"/>
        </w:rPr>
        <w:t xml:space="preserve"> </w:t>
      </w:r>
      <w:r>
        <w:rPr>
          <w:rFonts w:ascii="Arial" w:cs="Arial" w:eastAsia="Arial" w:hAnsi="Arial"/>
          <w:sz w:val="18"/>
          <w:szCs w:val="18"/>
          <w:color w:val="32406B"/>
        </w:rPr>
        <w:t>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193"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i w:val="1"/>
          <w:iCs w:val="1"/>
          <w:color w:val="32406B"/>
        </w:rPr>
        <w:t>Limitations</w:t>
      </w:r>
      <w:r>
        <w:rPr>
          <w:rFonts w:ascii="Arial" w:cs="Arial" w:eastAsia="Arial" w:hAnsi="Arial"/>
          <w:sz w:val="16"/>
          <w:szCs w:val="16"/>
          <w:color w:val="32406B"/>
        </w:rPr>
        <w:t>. Employees may have to satisfy one or more of the following service requirements before participating in the ESPP, as determined by</w:t>
      </w:r>
      <w:r>
        <w:rPr>
          <w:rFonts w:ascii="Arial" w:cs="Arial" w:eastAsia="Arial" w:hAnsi="Arial"/>
          <w:sz w:val="16"/>
          <w:szCs w:val="16"/>
          <w:i w:val="1"/>
          <w:iCs w:val="1"/>
          <w:color w:val="32406B"/>
        </w:rPr>
        <w:t xml:space="preserve"> </w:t>
      </w:r>
      <w:r>
        <w:rPr>
          <w:rFonts w:ascii="Arial" w:cs="Arial" w:eastAsia="Arial" w:hAnsi="Arial"/>
          <w:sz w:val="16"/>
          <w:szCs w:val="16"/>
          <w:color w:val="32406B"/>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32406B"/>
        </w:rPr>
        <w:t>employee may purchase shares under the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32406B"/>
        </w:rPr>
        <w:t>Changes to Capital Structure</w:t>
      </w:r>
      <w:r>
        <w:rPr>
          <w:rFonts w:ascii="Arial" w:cs="Arial" w:eastAsia="Arial" w:hAnsi="Arial"/>
          <w:sz w:val="16"/>
          <w:szCs w:val="16"/>
          <w:color w:val="32406B"/>
        </w:rPr>
        <w:t>. In the event that there occurs a change in our capital structure through such actions as a stock split, merger,</w:t>
      </w:r>
      <w:r>
        <w:rPr>
          <w:rFonts w:ascii="Arial" w:cs="Arial" w:eastAsia="Arial" w:hAnsi="Arial"/>
          <w:sz w:val="16"/>
          <w:szCs w:val="16"/>
          <w:i w:val="1"/>
          <w:iCs w:val="1"/>
          <w:color w:val="32406B"/>
        </w:rPr>
        <w:t xml:space="preserve"> </w:t>
      </w:r>
      <w:r>
        <w:rPr>
          <w:rFonts w:ascii="Arial" w:cs="Arial" w:eastAsia="Arial" w:hAnsi="Arial"/>
          <w:sz w:val="16"/>
          <w:szCs w:val="16"/>
          <w:color w:val="32406B"/>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32406B"/>
        </w:rPr>
        <w:t>Corporate Transactions</w:t>
      </w:r>
      <w:r>
        <w:rPr>
          <w:rFonts w:ascii="Arial" w:cs="Arial" w:eastAsia="Arial" w:hAnsi="Arial"/>
          <w:sz w:val="18"/>
          <w:szCs w:val="18"/>
          <w:color w:val="32406B"/>
        </w:rPr>
        <w:t>. In the event of certain significant corporate transactions, any then-outstanding rights to purchase our stock under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32406B"/>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32406B"/>
        </w:rPr>
        <w:t>ESPP Amendment or Termination</w:t>
      </w:r>
      <w:r>
        <w:rPr>
          <w:rFonts w:ascii="Arial" w:cs="Arial" w:eastAsia="Arial" w:hAnsi="Arial"/>
          <w:sz w:val="18"/>
          <w:szCs w:val="18"/>
          <w:color w:val="32406B"/>
        </w:rPr>
        <w:t>. Our board of directors has the authority to amend or terminate our ESPP, provided that except in certain</w:t>
      </w:r>
      <w:r>
        <w:rPr>
          <w:rFonts w:ascii="Arial" w:cs="Arial" w:eastAsia="Arial" w:hAnsi="Arial"/>
          <w:sz w:val="18"/>
          <w:szCs w:val="18"/>
          <w:i w:val="1"/>
          <w:iCs w:val="1"/>
          <w:color w:val="32406B"/>
        </w:rPr>
        <w:t xml:space="preserve"> </w:t>
      </w:r>
      <w:r>
        <w:rPr>
          <w:rFonts w:ascii="Arial" w:cs="Arial" w:eastAsia="Arial" w:hAnsi="Arial"/>
          <w:sz w:val="18"/>
          <w:szCs w:val="18"/>
          <w:color w:val="32406B"/>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Limitations of Liability and Indemnification Matters</w:t>
      </w:r>
    </w:p>
    <w:p>
      <w:pPr>
        <w:spacing w:after="0" w:line="12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32406B"/>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any breach of the director’s duty of loyalty to the corporation or its stockholders;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any act or omission not in good faith or that involves intentional misconduct or a knowing violation of law;</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unlawful payments of dividends or unlawful stock repurchases or redemptions; or</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any transaction from which the director derived an improper personal benefit.</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32406B"/>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Our amended and restated certificate of incorporation that will be in effect upon the completion of this offering will authorize us to indemnify our directors, officers, employees and other agents to the fullest extent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114</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32406B"/>
        </w:rPr>
        <w:t>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32406B"/>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32406B"/>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115</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CERTAIN RELATIONSHIPS AND RELATED PARTY TRANSACTIONS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76"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we have been or are to be a participant;</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amounts involved exceeded or will exceed $120,000; and</w:t>
      </w:r>
    </w:p>
    <w:p>
      <w:pPr>
        <w:spacing w:after="0" w:line="130" w:lineRule="exact"/>
        <w:rPr>
          <w:rFonts w:ascii="Arial" w:cs="Arial" w:eastAsia="Arial" w:hAnsi="Arial"/>
          <w:sz w:val="18"/>
          <w:szCs w:val="18"/>
          <w:color w:val="32406B"/>
        </w:rPr>
      </w:pPr>
    </w:p>
    <w:p>
      <w:pPr>
        <w:ind w:left="1060" w:right="100" w:hanging="424"/>
        <w:spacing w:after="0" w:line="308" w:lineRule="auto"/>
        <w:tabs>
          <w:tab w:leader="none" w:pos="1060" w:val="left"/>
        </w:tabs>
        <w:numPr>
          <w:ilvl w:val="0"/>
          <w:numId w:val="74"/>
        </w:numPr>
        <w:rPr>
          <w:rFonts w:ascii="Arial" w:cs="Arial" w:eastAsia="Arial" w:hAnsi="Arial"/>
          <w:sz w:val="17"/>
          <w:szCs w:val="17"/>
          <w:color w:val="32406B"/>
        </w:rPr>
      </w:pPr>
      <w:r>
        <w:rPr>
          <w:rFonts w:ascii="Arial" w:cs="Arial" w:eastAsia="Arial" w:hAnsi="Arial"/>
          <w:sz w:val="17"/>
          <w:szCs w:val="17"/>
          <w:color w:val="32406B"/>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Equity Financing</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32406B"/>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4800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 xml:space="preserve">Entities affiliated with Sequoia Capital </w:t>
      </w:r>
      <w:r>
        <w:rPr>
          <w:rFonts w:ascii="Arial" w:cs="Arial" w:eastAsia="Arial" w:hAnsi="Arial"/>
          <w:sz w:val="13"/>
          <w:szCs w:val="13"/>
          <w:color w:val="32406B"/>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9770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EZP Opportunity, L.P.</w:t>
      </w:r>
      <w:r>
        <w:rPr>
          <w:rFonts w:ascii="Arial" w:cs="Arial" w:eastAsia="Arial" w:hAnsi="Arial"/>
          <w:sz w:val="15"/>
          <w:szCs w:val="15"/>
          <w:color w:val="32406B"/>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4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32406B"/>
                <w:w w:val="87"/>
              </w:rPr>
              <w:t>Shares of</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2"/>
              </w:rPr>
              <w:t>Series D</w:t>
            </w:r>
          </w:p>
        </w:tc>
        <w:tc>
          <w:tcPr>
            <w:tcW w:w="3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5"/>
              </w:rPr>
              <w:t>Total</w:t>
            </w: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3"/>
              </w:rPr>
              <w:t>Convertible</w:t>
            </w: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6"/>
              </w:rPr>
              <w:t>Preferred</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8"/>
              </w:rPr>
              <w:t>Purchase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4"/>
              </w:rPr>
              <w:t>Stock</w:t>
            </w:r>
          </w:p>
        </w:tc>
        <w:tc>
          <w:tcPr>
            <w:tcW w:w="3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3"/>
              </w:rPr>
              <w:t>Price</w:t>
            </w:r>
          </w:p>
        </w:tc>
        <w:tc>
          <w:tcPr>
            <w:tcW w:w="0" w:type="dxa"/>
            <w:vAlign w:val="bottom"/>
          </w:tcPr>
          <w:p>
            <w:pPr>
              <w:spacing w:after="0"/>
              <w:rPr>
                <w:sz w:val="1"/>
                <w:szCs w:val="1"/>
                <w:color w:val="auto"/>
              </w:rPr>
            </w:pPr>
          </w:p>
        </w:tc>
      </w:tr>
      <w:tr>
        <w:trPr>
          <w:trHeight w:val="195"/>
        </w:trPr>
        <w:tc>
          <w:tcPr>
            <w:tcW w:w="920" w:type="dxa"/>
            <w:vAlign w:val="bottom"/>
          </w:tcPr>
          <w:p>
            <w:pPr>
              <w:jc w:val="right"/>
              <w:spacing w:after="0" w:line="195" w:lineRule="exact"/>
              <w:rPr>
                <w:sz w:val="20"/>
                <w:szCs w:val="20"/>
                <w:color w:val="auto"/>
              </w:rPr>
            </w:pPr>
            <w:r>
              <w:rPr>
                <w:rFonts w:ascii="Arial" w:cs="Arial" w:eastAsia="Arial" w:hAnsi="Arial"/>
                <w:sz w:val="18"/>
                <w:szCs w:val="18"/>
                <w:color w:val="32406B"/>
                <w:w w:val="99"/>
              </w:rPr>
              <w:t>26,727,064</w:t>
            </w:r>
          </w:p>
        </w:tc>
        <w:tc>
          <w:tcPr>
            <w:tcW w:w="38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32406B"/>
                <w:w w:val="91"/>
              </w:rPr>
              <w:t>$ 99,999,978</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32406B"/>
              </w:rPr>
              <w:t>2,850,724</w:t>
            </w:r>
          </w:p>
        </w:tc>
        <w:tc>
          <w:tcPr>
            <w:tcW w:w="1340" w:type="dxa"/>
            <w:vAlign w:val="bottom"/>
            <w:gridSpan w:val="2"/>
          </w:tcPr>
          <w:p>
            <w:pPr>
              <w:jc w:val="center"/>
              <w:ind w:left="290"/>
              <w:spacing w:after="0"/>
              <w:rPr>
                <w:sz w:val="20"/>
                <w:szCs w:val="20"/>
                <w:color w:val="auto"/>
              </w:rPr>
            </w:pPr>
            <w:r>
              <w:rPr>
                <w:rFonts w:ascii="Arial" w:cs="Arial" w:eastAsia="Arial" w:hAnsi="Arial"/>
                <w:sz w:val="18"/>
                <w:szCs w:val="18"/>
                <w:color w:val="32406B"/>
                <w:w w:val="91"/>
              </w:rPr>
              <w:t>$ 10,666,055</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8180" w:space="720"/>
            <w:col w:w="2320"/>
          </w:cols>
          <w:pgMar w:left="240" w:top="459" w:right="439" w:bottom="1440" w:gutter="0" w:footer="0" w:header="0"/>
          <w:type w:val="continuous"/>
        </w:sectPr>
      </w:pPr>
    </w:p>
    <w:p>
      <w:pPr>
        <w:jc w:val="both"/>
        <w:ind w:left="640" w:right="40" w:hanging="436"/>
        <w:spacing w:after="0" w:line="256" w:lineRule="auto"/>
        <w:tabs>
          <w:tab w:leader="none" w:pos="64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ind w:left="640" w:hanging="436"/>
        <w:spacing w:after="0"/>
        <w:tabs>
          <w:tab w:leader="none" w:pos="64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Carl Eschenbach, a member of our board of directors, is a General Partner at Sequoia Capital.</w:t>
      </w:r>
    </w:p>
    <w:p>
      <w:pPr>
        <w:spacing w:after="0" w:line="9" w:lineRule="exact"/>
        <w:rPr>
          <w:rFonts w:ascii="Arial" w:cs="Arial" w:eastAsia="Arial" w:hAnsi="Arial"/>
          <w:sz w:val="18"/>
          <w:szCs w:val="18"/>
          <w:color w:val="32406B"/>
        </w:rPr>
      </w:pPr>
    </w:p>
    <w:p>
      <w:pPr>
        <w:ind w:left="640" w:hanging="436"/>
        <w:spacing w:after="0"/>
        <w:tabs>
          <w:tab w:leader="none" w:pos="64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Santiago Subotovsky, a member of our board of directors, is a General Partner at Emergence Capital Partners.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Transactions with Digital Mobile Venture Limited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Common Stock Transfer Agreement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8"/>
          <w:szCs w:val="18"/>
          <w:color w:val="32406B"/>
        </w:rPr>
        <w:t>116</w:t>
      </w:r>
    </w:p>
    <w:p>
      <w:pPr>
        <w:sectPr>
          <w:pgSz w:w="11900" w:h="16838" w:orient="portrait"/>
          <w:cols w:equalWidth="0" w:num="1">
            <w:col w:w="11220"/>
          </w:cols>
          <w:pgMar w:left="240" w:top="459" w:right="4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Preferred Stock Repurchase</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In December 2016, we entered into a repurchase agreement with Digital Mobile pursuant to which we repurchased 4,000,000 shares of our Series A convertible preferred stock for an aggregate purchase price of approximately $15.0 million.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Partnership Agreement</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32406B"/>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Investors’ Rights Agreement</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We are party to an amended and restated investors’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As of January 31, 2019, the holders of up to 209,264,532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Right of First Refusal</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32406B"/>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and Selling Stockholders” for additional information regarding beneficial ownership of our capital stock.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Loan to Executive Officer</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32406B"/>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Transactions with Veeva Systems Inc.</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32406B"/>
        </w:rPr>
        <w:t>In September 2016, we entered into a service agreement with Veeva Systems Inc. (Veeva), a cloud-based business solutions company. The chief executive officer of Veeva serves as one of our directors. Revenue recognized from Veeva was $0.3 million. $1.4 million and $1.3 million for the fiscal years ended January 31, 2017, 2018 and 2019, respectively.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Indemnification Agreements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32406B"/>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Policies and Procedures for Related Person Transactions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32406B"/>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118</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PRINCIPAL AND SELLING STOCKHOLDERS</w:t>
      </w:r>
    </w:p>
    <w:p>
      <w:pPr>
        <w:spacing w:after="0" w:line="12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32406B"/>
        </w:rPr>
        <w:t>The following table sets forth information with respect to the beneficial ownership of our capital stock as of March 31, 2019, and as adjusted to reflect the sale of our Class A common stock offered by us and the selling stockholders in this offering and the concurrent private placement assuming no exercise of the underwriters’ option to purchase additional shares, for:</w:t>
      </w:r>
    </w:p>
    <w:p>
      <w:pPr>
        <w:spacing w:after="0" w:line="87" w:lineRule="exact"/>
        <w:rPr>
          <w:sz w:val="20"/>
          <w:szCs w:val="20"/>
          <w:color w:val="auto"/>
        </w:rPr>
      </w:pPr>
    </w:p>
    <w:p>
      <w:pPr>
        <w:ind w:left="1060" w:hanging="163"/>
        <w:spacing w:after="0"/>
        <w:tabs>
          <w:tab w:leader="none" w:pos="106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each of our named executive officers;</w:t>
      </w:r>
    </w:p>
    <w:p>
      <w:pPr>
        <w:spacing w:after="0" w:line="130" w:lineRule="exact"/>
        <w:rPr>
          <w:rFonts w:ascii="Arial" w:cs="Arial" w:eastAsia="Arial" w:hAnsi="Arial"/>
          <w:sz w:val="18"/>
          <w:szCs w:val="18"/>
          <w:color w:val="32406B"/>
        </w:rPr>
      </w:pPr>
    </w:p>
    <w:p>
      <w:pPr>
        <w:ind w:left="1060" w:hanging="163"/>
        <w:spacing w:after="0"/>
        <w:tabs>
          <w:tab w:leader="none" w:pos="106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each of our directors;</w:t>
      </w:r>
    </w:p>
    <w:p>
      <w:pPr>
        <w:spacing w:after="0" w:line="130" w:lineRule="exact"/>
        <w:rPr>
          <w:rFonts w:ascii="Arial" w:cs="Arial" w:eastAsia="Arial" w:hAnsi="Arial"/>
          <w:sz w:val="18"/>
          <w:szCs w:val="18"/>
          <w:color w:val="32406B"/>
        </w:rPr>
      </w:pPr>
    </w:p>
    <w:p>
      <w:pPr>
        <w:ind w:left="1060" w:hanging="163"/>
        <w:spacing w:after="0"/>
        <w:tabs>
          <w:tab w:leader="none" w:pos="106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all of our executive officers and directors as a group;</w:t>
      </w:r>
    </w:p>
    <w:p>
      <w:pPr>
        <w:spacing w:after="0" w:line="130" w:lineRule="exact"/>
        <w:rPr>
          <w:rFonts w:ascii="Arial" w:cs="Arial" w:eastAsia="Arial" w:hAnsi="Arial"/>
          <w:sz w:val="18"/>
          <w:szCs w:val="18"/>
          <w:color w:val="32406B"/>
        </w:rPr>
      </w:pPr>
    </w:p>
    <w:p>
      <w:pPr>
        <w:ind w:left="1060" w:hanging="163"/>
        <w:spacing w:after="0"/>
        <w:tabs>
          <w:tab w:leader="none" w:pos="1060" w:val="left"/>
        </w:tabs>
        <w:numPr>
          <w:ilvl w:val="0"/>
          <w:numId w:val="76"/>
        </w:numPr>
        <w:rPr>
          <w:rFonts w:ascii="Arial" w:cs="Arial" w:eastAsia="Arial" w:hAnsi="Arial"/>
          <w:sz w:val="17"/>
          <w:szCs w:val="17"/>
          <w:color w:val="32406B"/>
        </w:rPr>
      </w:pPr>
      <w:r>
        <w:rPr>
          <w:rFonts w:ascii="Arial" w:cs="Arial" w:eastAsia="Arial" w:hAnsi="Arial"/>
          <w:sz w:val="17"/>
          <w:szCs w:val="17"/>
          <w:color w:val="32406B"/>
        </w:rPr>
        <w:t>each person or group of affiliated persons known by us to beneficially own more than 5% of our Class A or Class B common stock; and</w:t>
      </w:r>
    </w:p>
    <w:p>
      <w:pPr>
        <w:spacing w:after="0" w:line="142" w:lineRule="exact"/>
        <w:rPr>
          <w:rFonts w:ascii="Arial" w:cs="Arial" w:eastAsia="Arial" w:hAnsi="Arial"/>
          <w:sz w:val="17"/>
          <w:szCs w:val="17"/>
          <w:color w:val="32406B"/>
        </w:rPr>
      </w:pPr>
    </w:p>
    <w:p>
      <w:pPr>
        <w:ind w:left="1060" w:hanging="163"/>
        <w:spacing w:after="0"/>
        <w:tabs>
          <w:tab w:leader="none" w:pos="106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each of the selling stockholders.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32406B"/>
        </w:rPr>
        <w:t>Applicable percentage ownership before the offering and the concurrent private placement is based on 6,665,108 shares of Class A common stock and 249,364,915 shares of Class B common stock outstanding as of March 31, 2019, assuming the automatic conversion of all outstanding shares of preferred stock into shares of Class B common stock upon the completion of this offering and the concurrent private placement. Applicable percentage ownership after the offering and the concurrent private placement is based on 24,072,450 shares of Class A common stock and 232,318,285 shares of Class B common stock outstanding immediately after the completion of this offering and the concurrent private placement, assuming no exercise by 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March 31, 2019. However, except as described above, we did not deem such shares outstanding for the purpose of computing the percentage ownership of any other person.</w:t>
      </w:r>
    </w:p>
    <w:p>
      <w:pPr>
        <w:spacing w:after="0" w:line="19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Unless otherwise indicated, the address of each beneficial owner listed below is c/o Zoom Video Communications, Inc., 55 Almaden Boulevard, 6</w:t>
      </w:r>
      <w:r>
        <w:rPr>
          <w:rFonts w:ascii="Arial" w:cs="Arial" w:eastAsia="Arial" w:hAnsi="Arial"/>
          <w:sz w:val="15"/>
          <w:szCs w:val="15"/>
          <w:color w:val="32406B"/>
        </w:rPr>
        <w:t>th</w:t>
      </w:r>
      <w:r>
        <w:rPr>
          <w:rFonts w:ascii="Arial" w:cs="Arial" w:eastAsia="Arial" w:hAnsi="Arial"/>
          <w:sz w:val="18"/>
          <w:szCs w:val="18"/>
          <w:color w:val="32406B"/>
        </w:rPr>
        <w:t xml:space="preserve"> Floor, San Jose, California 95113.</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gridSpan w:val="8"/>
          </w:tcPr>
          <w:p>
            <w:pPr>
              <w:jc w:val="right"/>
              <w:spacing w:after="0"/>
              <w:rPr>
                <w:sz w:val="20"/>
                <w:szCs w:val="20"/>
                <w:color w:val="auto"/>
              </w:rPr>
            </w:pPr>
            <w:r>
              <w:rPr>
                <w:rFonts w:ascii="Arial" w:cs="Arial" w:eastAsia="Arial" w:hAnsi="Arial"/>
                <w:sz w:val="14"/>
                <w:szCs w:val="14"/>
                <w:b w:val="1"/>
                <w:bCs w:val="1"/>
                <w:color w:val="32406B"/>
              </w:rPr>
              <w:t>Shares Beneficially Owned Prior to Offering</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32406B"/>
                <w:w w:val="93"/>
              </w:rPr>
              <w:t>Shares Beneficially Owned After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32406B"/>
              </w:rPr>
              <w:t>and Concurrent Private Placement</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32406B"/>
              </w:rPr>
              <w:t>Offering and Concurrent Private Placement</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32406B"/>
                <w:w w:val="93"/>
              </w:rPr>
              <w:t>Class A</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32406B"/>
                <w:w w:val="91"/>
              </w:rPr>
              <w:t>Class B Common</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 of</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32406B"/>
              </w:rPr>
              <w:t>Class A</w:t>
            </w:r>
          </w:p>
        </w:tc>
        <w:tc>
          <w:tcPr>
            <w:tcW w:w="16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32406B"/>
                <w:w w:val="91"/>
              </w:rPr>
              <w:t>Class B Common</w:t>
            </w:r>
          </w:p>
        </w:tc>
        <w:tc>
          <w:tcPr>
            <w:tcW w:w="2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32406B"/>
                <w:w w:val="89"/>
              </w:rPr>
              <w:t>Total</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32406B"/>
                <w:w w:val="88"/>
              </w:rPr>
              <w:t># of</w:t>
            </w:r>
          </w:p>
        </w:tc>
        <w:tc>
          <w:tcPr>
            <w:tcW w:w="1560" w:type="dxa"/>
            <w:vAlign w:val="bottom"/>
            <w:gridSpan w:val="4"/>
            <w:vMerge w:val="continue"/>
          </w:tcPr>
          <w:p>
            <w:pPr>
              <w:spacing w:after="0"/>
              <w:rPr>
                <w:sz w:val="7"/>
                <w:szCs w:val="7"/>
                <w:color w:val="auto"/>
              </w:rPr>
            </w:pPr>
          </w:p>
        </w:tc>
        <w:tc>
          <w:tcPr>
            <w:tcW w:w="1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32406B"/>
                <w:w w:val="95"/>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5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32406B"/>
              </w:rPr>
              <w:t>Common Stock</w:t>
            </w:r>
          </w:p>
        </w:tc>
        <w:tc>
          <w:tcPr>
            <w:tcW w:w="1000" w:type="dxa"/>
            <w:vAlign w:val="bottom"/>
            <w:gridSpan w:val="2"/>
            <w:vMerge w:val="restart"/>
          </w:tcPr>
          <w:p>
            <w:pPr>
              <w:jc w:val="center"/>
              <w:ind w:left="292"/>
              <w:spacing w:after="0"/>
              <w:rPr>
                <w:sz w:val="20"/>
                <w:szCs w:val="20"/>
                <w:color w:val="auto"/>
              </w:rPr>
            </w:pPr>
            <w:r>
              <w:rPr>
                <w:rFonts w:ascii="Arial" w:cs="Arial" w:eastAsia="Arial" w:hAnsi="Arial"/>
                <w:sz w:val="14"/>
                <w:szCs w:val="14"/>
                <w:b w:val="1"/>
                <w:bCs w:val="1"/>
                <w:color w:val="32406B"/>
                <w:w w:val="89"/>
              </w:rPr>
              <w:t>Stock</w:t>
            </w: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5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32406B"/>
              </w:rPr>
              <w:t>Common Stock</w:t>
            </w:r>
          </w:p>
        </w:tc>
        <w:tc>
          <w:tcPr>
            <w:tcW w:w="980" w:type="dxa"/>
            <w:vAlign w:val="bottom"/>
            <w:gridSpan w:val="2"/>
            <w:vMerge w:val="restart"/>
          </w:tcPr>
          <w:p>
            <w:pPr>
              <w:jc w:val="center"/>
              <w:ind w:left="272"/>
              <w:spacing w:after="0"/>
              <w:rPr>
                <w:sz w:val="20"/>
                <w:szCs w:val="20"/>
                <w:color w:val="auto"/>
              </w:rPr>
            </w:pPr>
            <w:r>
              <w:rPr>
                <w:rFonts w:ascii="Arial" w:cs="Arial" w:eastAsia="Arial" w:hAnsi="Arial"/>
                <w:sz w:val="14"/>
                <w:szCs w:val="14"/>
                <w:b w:val="1"/>
                <w:bCs w:val="1"/>
                <w:color w:val="32406B"/>
                <w:w w:val="89"/>
              </w:rPr>
              <w:t>Stock</w:t>
            </w: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32406B"/>
                <w:w w:val="96"/>
              </w:rPr>
              <w:t>Voting</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32406B"/>
                <w:w w:val="89"/>
              </w:rPr>
              <w:t>Shares</w:t>
            </w:r>
          </w:p>
        </w:tc>
        <w:tc>
          <w:tcPr>
            <w:tcW w:w="1560" w:type="dxa"/>
            <w:vAlign w:val="bottom"/>
            <w:gridSpan w:val="4"/>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32406B"/>
                <w:w w:val="91"/>
              </w:rPr>
              <w:t>Voting</w:t>
            </w:r>
          </w:p>
        </w:tc>
        <w:tc>
          <w:tcPr>
            <w:tcW w:w="0" w:type="dxa"/>
            <w:vAlign w:val="bottom"/>
          </w:tcPr>
          <w:p>
            <w:pPr>
              <w:spacing w:after="0"/>
              <w:rPr>
                <w:sz w:val="1"/>
                <w:szCs w:val="1"/>
                <w:color w:val="auto"/>
              </w:rPr>
            </w:pPr>
          </w:p>
        </w:tc>
      </w:tr>
      <w:tr>
        <w:trPr>
          <w:trHeight w:val="25"/>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 of Beneficial Owner</w:t>
            </w:r>
          </w:p>
        </w:tc>
        <w:tc>
          <w:tcPr>
            <w:tcW w:w="9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32406B"/>
              </w:rPr>
              <w:t>Shares</w:t>
            </w:r>
          </w:p>
        </w:tc>
        <w:tc>
          <w:tcPr>
            <w:tcW w:w="3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32406B"/>
              </w:rPr>
              <w:t>%</w:t>
            </w:r>
          </w:p>
        </w:tc>
        <w:tc>
          <w:tcPr>
            <w:tcW w:w="260" w:type="dxa"/>
            <w:vAlign w:val="bottom"/>
          </w:tcPr>
          <w:p>
            <w:pPr>
              <w:spacing w:after="0"/>
              <w:rPr>
                <w:sz w:val="2"/>
                <w:szCs w:val="2"/>
                <w:color w:val="auto"/>
              </w:rPr>
            </w:pPr>
          </w:p>
        </w:tc>
        <w:tc>
          <w:tcPr>
            <w:tcW w:w="100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32406B"/>
              </w:rPr>
              <w:t>Shares</w:t>
            </w:r>
          </w:p>
        </w:tc>
        <w:tc>
          <w:tcPr>
            <w:tcW w:w="3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32406B"/>
              </w:rPr>
              <w:t>%</w:t>
            </w:r>
          </w:p>
        </w:tc>
        <w:tc>
          <w:tcPr>
            <w:tcW w:w="2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32406B"/>
              </w:rPr>
              <w:t>Shares</w:t>
            </w:r>
          </w:p>
        </w:tc>
        <w:tc>
          <w:tcPr>
            <w:tcW w:w="500" w:type="dxa"/>
            <w:vAlign w:val="bottom"/>
            <w:tcBorders>
              <w:top w:val="single" w:sz="8" w:color="auto"/>
            </w:tcBorders>
            <w:gridSpan w:val="2"/>
            <w:vMerge w:val="restart"/>
          </w:tcPr>
          <w:p>
            <w:pPr>
              <w:jc w:val="right"/>
              <w:ind w:right="50"/>
              <w:spacing w:after="0"/>
              <w:rPr>
                <w:sz w:val="20"/>
                <w:szCs w:val="20"/>
                <w:color w:val="auto"/>
              </w:rPr>
            </w:pPr>
            <w:r>
              <w:rPr>
                <w:rFonts w:ascii="Arial" w:cs="Arial" w:eastAsia="Arial" w:hAnsi="Arial"/>
                <w:sz w:val="14"/>
                <w:szCs w:val="14"/>
                <w:b w:val="1"/>
                <w:bCs w:val="1"/>
                <w:color w:val="32406B"/>
              </w:rPr>
              <w:t>%</w:t>
            </w:r>
          </w:p>
        </w:tc>
        <w:tc>
          <w:tcPr>
            <w:tcW w:w="260" w:type="dxa"/>
            <w:vAlign w:val="bottom"/>
          </w:tcPr>
          <w:p>
            <w:pPr>
              <w:spacing w:after="0"/>
              <w:rPr>
                <w:sz w:val="2"/>
                <w:szCs w:val="2"/>
                <w:color w:val="auto"/>
              </w:rPr>
            </w:pPr>
          </w:p>
        </w:tc>
        <w:tc>
          <w:tcPr>
            <w:tcW w:w="9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32406B"/>
              </w:rPr>
              <w:t>Shares</w:t>
            </w:r>
          </w:p>
        </w:tc>
        <w:tc>
          <w:tcPr>
            <w:tcW w:w="3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32406B"/>
              </w:rPr>
              <w:t>%</w:t>
            </w: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34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32406B"/>
                <w:w w:val="92"/>
              </w:rPr>
              <w:t>Power†</w:t>
            </w: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32406B"/>
                <w:w w:val="92"/>
              </w:rPr>
              <w:t>being Sold</w:t>
            </w:r>
          </w:p>
        </w:tc>
        <w:tc>
          <w:tcPr>
            <w:tcW w:w="80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32406B"/>
                <w:w w:val="92"/>
              </w:rPr>
              <w:t>Power†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32406B"/>
              </w:rPr>
              <w:t>5% Stockholders</w:t>
            </w:r>
          </w:p>
        </w:tc>
        <w:tc>
          <w:tcPr>
            <w:tcW w:w="7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32406B"/>
              </w:rPr>
              <w:t>Entities affiliated with</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32406B"/>
              </w:rPr>
              <w:t>Emergence Capital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32406B"/>
              </w:rPr>
              <w:t>Partners</w:t>
            </w:r>
            <w:r>
              <w:rPr>
                <w:rFonts w:ascii="Arial" w:cs="Arial" w:eastAsia="Arial" w:hAnsi="Arial"/>
                <w:sz w:val="15"/>
                <w:szCs w:val="15"/>
                <w:color w:val="32406B"/>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w w:val="93"/>
              </w:rPr>
              <w:t>30,400,851</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12.2%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12.2%</w:t>
            </w:r>
          </w:p>
        </w:tc>
        <w:tc>
          <w:tcPr>
            <w:tcW w:w="780" w:type="dxa"/>
            <w:vAlign w:val="bottom"/>
          </w:tcPr>
          <w:p>
            <w:pPr>
              <w:jc w:val="right"/>
              <w:spacing w:after="0"/>
              <w:rPr>
                <w:sz w:val="20"/>
                <w:szCs w:val="20"/>
                <w:color w:val="auto"/>
              </w:rPr>
            </w:pPr>
            <w:r>
              <w:rPr>
                <w:rFonts w:ascii="Arial" w:cs="Arial" w:eastAsia="Arial" w:hAnsi="Arial"/>
                <w:sz w:val="18"/>
                <w:szCs w:val="18"/>
                <w:color w:val="32406B"/>
              </w:rPr>
              <w:t>912,026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w w:val="93"/>
              </w:rPr>
              <w:t>29,488,825</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12.7%</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w w:val="96"/>
              </w:rPr>
              <w:t>Entities affiliated with Sequoia</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Capital</w:t>
            </w:r>
            <w:r>
              <w:rPr>
                <w:rFonts w:ascii="Arial" w:cs="Arial" w:eastAsia="Arial" w:hAnsi="Arial"/>
                <w:sz w:val="15"/>
                <w:szCs w:val="15"/>
                <w:color w:val="32406B"/>
              </w:rPr>
              <w:t>(2)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27,614,576</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7"/>
              </w:rPr>
              <w:t>11.1%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828,437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26,786,139</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7"/>
              </w:rPr>
              <w:t>11.5%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Digital Mobile Venture Ltd.</w:t>
            </w:r>
            <w:r>
              <w:rPr>
                <w:rFonts w:ascii="Arial" w:cs="Arial" w:eastAsia="Arial" w:hAnsi="Arial"/>
                <w:sz w:val="15"/>
                <w:szCs w:val="15"/>
                <w:color w:val="32406B"/>
              </w:rPr>
              <w:t>(3)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w w:val="93"/>
              </w:rPr>
              <w:t>21,273,357</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rPr>
              <w:t>8.5%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8.5%</w:t>
            </w:r>
          </w:p>
        </w:tc>
        <w:tc>
          <w:tcPr>
            <w:tcW w:w="780" w:type="dxa"/>
            <w:vAlign w:val="bottom"/>
          </w:tcPr>
          <w:p>
            <w:pPr>
              <w:jc w:val="right"/>
              <w:spacing w:after="0"/>
              <w:rPr>
                <w:sz w:val="20"/>
                <w:szCs w:val="20"/>
                <w:color w:val="auto"/>
              </w:rPr>
            </w:pPr>
            <w:r>
              <w:rPr>
                <w:rFonts w:ascii="Arial" w:cs="Arial" w:eastAsia="Arial" w:hAnsi="Arial"/>
                <w:sz w:val="18"/>
                <w:szCs w:val="18"/>
                <w:color w:val="32406B"/>
              </w:rPr>
              <w:t>600,000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w w:val="93"/>
              </w:rPr>
              <w:t>20,673,357</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rPr>
              <w:t>8.9%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Bucantini Enterprises</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Limited</w:t>
            </w:r>
            <w:r>
              <w:rPr>
                <w:rFonts w:ascii="Arial" w:cs="Arial" w:eastAsia="Arial" w:hAnsi="Arial"/>
                <w:sz w:val="15"/>
                <w:szCs w:val="15"/>
                <w:color w:val="32406B"/>
              </w:rPr>
              <w:t>(4)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14,715,641</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507,243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14,208,398</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6.1%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32406B"/>
              </w:rPr>
              <w:t>Entities affiliated with Bin</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32406B"/>
              </w:rPr>
              <w:t>Yuan</w:t>
            </w:r>
            <w:r>
              <w:rPr>
                <w:rFonts w:ascii="Arial" w:cs="Arial" w:eastAsia="Arial" w:hAnsi="Arial"/>
                <w:sz w:val="15"/>
                <w:szCs w:val="15"/>
                <w:color w:val="32406B"/>
              </w:rPr>
              <w:t>(5)</w:t>
            </w:r>
          </w:p>
        </w:tc>
        <w:tc>
          <w:tcPr>
            <w:tcW w:w="780" w:type="dxa"/>
            <w:vAlign w:val="bottom"/>
          </w:tcPr>
          <w:p>
            <w:pPr>
              <w:jc w:val="right"/>
              <w:spacing w:after="0"/>
              <w:rPr>
                <w:sz w:val="20"/>
                <w:szCs w:val="20"/>
                <w:color w:val="auto"/>
              </w:rPr>
            </w:pPr>
            <w:r>
              <w:rPr>
                <w:rFonts w:ascii="Arial" w:cs="Arial" w:eastAsia="Arial" w:hAnsi="Arial"/>
                <w:sz w:val="18"/>
                <w:szCs w:val="18"/>
                <w:color w:val="32406B"/>
                <w:w w:val="94"/>
              </w:rPr>
              <w:t>5,940,000</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89.1%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999,999</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w w:val="94"/>
              </w:rPr>
              <w:t>4,940,001</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32406B"/>
              </w:rPr>
              <w:t>20.5%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32406B"/>
              </w:rPr>
              <w:t>Directors and Named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32406B"/>
              </w:rPr>
              <w:t>Executive Officers</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Eric S. Yuan</w:t>
            </w:r>
            <w:r>
              <w:rPr>
                <w:rFonts w:ascii="Arial" w:cs="Arial" w:eastAsia="Arial" w:hAnsi="Arial"/>
                <w:sz w:val="15"/>
                <w:szCs w:val="15"/>
                <w:color w:val="32406B"/>
              </w:rPr>
              <w:t>(6)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w w:val="93"/>
              </w:rPr>
              <w:t>47,265,849</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18.9%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18.9%</w:t>
            </w:r>
          </w:p>
        </w:tc>
        <w:tc>
          <w:tcPr>
            <w:tcW w:w="780" w:type="dxa"/>
            <w:vAlign w:val="bottom"/>
          </w:tcPr>
          <w:p>
            <w:pPr>
              <w:jc w:val="right"/>
              <w:spacing w:after="0"/>
              <w:rPr>
                <w:sz w:val="20"/>
                <w:szCs w:val="20"/>
                <w:color w:val="auto"/>
              </w:rPr>
            </w:pPr>
            <w:r>
              <w:rPr>
                <w:rFonts w:ascii="Arial" w:cs="Arial" w:eastAsia="Arial" w:hAnsi="Arial"/>
                <w:sz w:val="18"/>
                <w:szCs w:val="18"/>
                <w:color w:val="32406B"/>
              </w:rPr>
              <w:t>587,787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w w:val="93"/>
              </w:rPr>
              <w:t>46,678,062</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20.1%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Jonathan Chadwick</w:t>
            </w:r>
            <w:r>
              <w:rPr>
                <w:rFonts w:ascii="Arial" w:cs="Arial" w:eastAsia="Arial" w:hAnsi="Arial"/>
                <w:sz w:val="15"/>
                <w:szCs w:val="15"/>
                <w:color w:val="32406B"/>
              </w:rPr>
              <w:t>(7)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Carl Eschenbach</w:t>
            </w:r>
            <w:r>
              <w:rPr>
                <w:rFonts w:ascii="Arial" w:cs="Arial" w:eastAsia="Arial" w:hAnsi="Arial"/>
                <w:sz w:val="15"/>
                <w:szCs w:val="15"/>
                <w:color w:val="32406B"/>
              </w:rPr>
              <w:t>(8)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Peter Gassner</w:t>
            </w:r>
            <w:r>
              <w:rPr>
                <w:rFonts w:ascii="Arial" w:cs="Arial" w:eastAsia="Arial" w:hAnsi="Arial"/>
                <w:sz w:val="15"/>
                <w:szCs w:val="15"/>
                <w:color w:val="32406B"/>
              </w:rPr>
              <w:t>(9)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1,202,720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1,202,720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Kimberly L. Hammonds</w:t>
            </w:r>
            <w:r>
              <w:rPr>
                <w:rFonts w:ascii="Arial" w:cs="Arial" w:eastAsia="Arial" w:hAnsi="Arial"/>
                <w:sz w:val="15"/>
                <w:szCs w:val="15"/>
                <w:color w:val="32406B"/>
              </w:rPr>
              <w:t>(10)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166,797</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166,797</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Dan Scheinman</w:t>
            </w:r>
            <w:r>
              <w:rPr>
                <w:rFonts w:ascii="Arial" w:cs="Arial" w:eastAsia="Arial" w:hAnsi="Arial"/>
                <w:sz w:val="15"/>
                <w:szCs w:val="15"/>
                <w:color w:val="32406B"/>
              </w:rPr>
              <w:t>(11)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2,846,372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2,846,372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Santiago Subotovsky</w:t>
            </w:r>
            <w:r>
              <w:rPr>
                <w:rFonts w:ascii="Arial" w:cs="Arial" w:eastAsia="Arial" w:hAnsi="Arial"/>
                <w:sz w:val="15"/>
                <w:szCs w:val="15"/>
                <w:color w:val="32406B"/>
              </w:rPr>
              <w:t>(12)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w w:val="93"/>
              </w:rPr>
              <w:t>30,400,851</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12.2%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12.2%</w:t>
            </w:r>
          </w:p>
        </w:tc>
        <w:tc>
          <w:tcPr>
            <w:tcW w:w="780" w:type="dxa"/>
            <w:vAlign w:val="bottom"/>
          </w:tcPr>
          <w:p>
            <w:pPr>
              <w:jc w:val="right"/>
              <w:spacing w:after="0"/>
              <w:rPr>
                <w:sz w:val="20"/>
                <w:szCs w:val="20"/>
                <w:color w:val="auto"/>
              </w:rPr>
            </w:pPr>
            <w:r>
              <w:rPr>
                <w:rFonts w:ascii="Arial" w:cs="Arial" w:eastAsia="Arial" w:hAnsi="Arial"/>
                <w:sz w:val="18"/>
                <w:szCs w:val="18"/>
                <w:color w:val="32406B"/>
              </w:rPr>
              <w:t>912,026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w w:val="93"/>
              </w:rPr>
              <w:t>29,488,825</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12.7%</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Bart Swanson</w:t>
            </w:r>
            <w:r>
              <w:rPr>
                <w:rFonts w:ascii="Arial" w:cs="Arial" w:eastAsia="Arial" w:hAnsi="Arial"/>
                <w:sz w:val="15"/>
                <w:szCs w:val="15"/>
                <w:color w:val="32406B"/>
              </w:rPr>
              <w:t>(13)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130,556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130,556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Gregory Holmes</w:t>
            </w:r>
            <w:r>
              <w:rPr>
                <w:rFonts w:ascii="Arial" w:cs="Arial" w:eastAsia="Arial" w:hAnsi="Arial"/>
                <w:sz w:val="15"/>
                <w:szCs w:val="15"/>
                <w:color w:val="32406B"/>
              </w:rPr>
              <w:t>(14)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1,910,000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360,000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1,550,000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Janine Pelosi</w:t>
            </w:r>
            <w:r>
              <w:rPr>
                <w:rFonts w:ascii="Arial" w:cs="Arial" w:eastAsia="Arial" w:hAnsi="Arial"/>
                <w:sz w:val="15"/>
                <w:szCs w:val="15"/>
                <w:color w:val="32406B"/>
              </w:rPr>
              <w:t>(15)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493,750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81,668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412,082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Aparna Bawa</w:t>
            </w:r>
            <w:r>
              <w:rPr>
                <w:rFonts w:ascii="Arial" w:cs="Arial" w:eastAsia="Arial" w:hAnsi="Arial"/>
                <w:sz w:val="15"/>
                <w:szCs w:val="15"/>
                <w:color w:val="32406B"/>
              </w:rPr>
              <w:t>(16)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360,000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360,000</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All directors and executive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officers as a group</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(11 persons)</w:t>
            </w:r>
            <w:r>
              <w:rPr>
                <w:rFonts w:ascii="Arial" w:cs="Arial" w:eastAsia="Arial" w:hAnsi="Arial"/>
                <w:sz w:val="15"/>
                <w:szCs w:val="15"/>
                <w:color w:val="32406B"/>
              </w:rPr>
              <w:t>(17)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84,626,895</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7"/>
              </w:rPr>
              <w:t>33.7%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1,581,481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83,045,414</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7"/>
              </w:rPr>
              <w:t>35.5%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i w:val="1"/>
                <w:iCs w:val="1"/>
                <w:color w:val="32406B"/>
                <w:w w:val="99"/>
              </w:rPr>
              <w:t>Other Selling Stockholders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National Philanthropic</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Trust</w:t>
            </w:r>
            <w:r>
              <w:rPr>
                <w:rFonts w:ascii="Arial" w:cs="Arial" w:eastAsia="Arial" w:hAnsi="Arial"/>
                <w:sz w:val="15"/>
                <w:szCs w:val="15"/>
                <w:color w:val="32406B"/>
              </w:rPr>
              <w:t>(18)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300,000</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300,000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w w:val="96"/>
              </w:rPr>
              <w:t>AME Cloud Ventures, LLC</w:t>
            </w:r>
            <w:r>
              <w:rPr>
                <w:rFonts w:ascii="Arial" w:cs="Arial" w:eastAsia="Arial" w:hAnsi="Arial"/>
                <w:sz w:val="15"/>
                <w:szCs w:val="15"/>
                <w:color w:val="32406B"/>
                <w:w w:val="96"/>
              </w:rPr>
              <w:t>(19)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5,272,588</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rPr>
              <w:t>2.1%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2.1%</w:t>
            </w:r>
          </w:p>
        </w:tc>
        <w:tc>
          <w:tcPr>
            <w:tcW w:w="780" w:type="dxa"/>
            <w:vAlign w:val="bottom"/>
          </w:tcPr>
          <w:p>
            <w:pPr>
              <w:jc w:val="right"/>
              <w:spacing w:after="0"/>
              <w:rPr>
                <w:sz w:val="20"/>
                <w:szCs w:val="20"/>
                <w:color w:val="auto"/>
              </w:rPr>
            </w:pPr>
            <w:r>
              <w:rPr>
                <w:rFonts w:ascii="Arial" w:cs="Arial" w:eastAsia="Arial" w:hAnsi="Arial"/>
                <w:sz w:val="18"/>
                <w:szCs w:val="18"/>
                <w:color w:val="32406B"/>
                <w:w w:val="94"/>
              </w:rPr>
              <w:t>1,054,518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4,218,070</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rPr>
              <w:t>1.8%</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Puccini World Limited</w:t>
            </w:r>
            <w:r>
              <w:rPr>
                <w:rFonts w:ascii="Arial" w:cs="Arial" w:eastAsia="Arial" w:hAnsi="Arial"/>
                <w:sz w:val="15"/>
                <w:szCs w:val="15"/>
                <w:color w:val="32406B"/>
              </w:rPr>
              <w:t>(20)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9,629,939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223,124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9,406,815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32406B"/>
              </w:rPr>
              <w:t>Entities affiliated with</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32406B"/>
              </w:rPr>
              <w:t>QUALCOMM</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32406B"/>
              </w:rPr>
              <w:t>Incorporated</w:t>
            </w:r>
            <w:r>
              <w:rPr>
                <w:rFonts w:ascii="Arial" w:cs="Arial" w:eastAsia="Arial" w:hAnsi="Arial"/>
                <w:sz w:val="15"/>
                <w:szCs w:val="15"/>
                <w:color w:val="32406B"/>
              </w:rPr>
              <w:t>(21)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4,244,384</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rPr>
              <w:t>1.7%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1.7%</w:t>
            </w:r>
          </w:p>
        </w:tc>
        <w:tc>
          <w:tcPr>
            <w:tcW w:w="780" w:type="dxa"/>
            <w:vAlign w:val="bottom"/>
          </w:tcPr>
          <w:p>
            <w:pPr>
              <w:jc w:val="right"/>
              <w:spacing w:after="0"/>
              <w:rPr>
                <w:sz w:val="20"/>
                <w:szCs w:val="20"/>
                <w:color w:val="auto"/>
              </w:rPr>
            </w:pPr>
            <w:r>
              <w:rPr>
                <w:rFonts w:ascii="Arial" w:cs="Arial" w:eastAsia="Arial" w:hAnsi="Arial"/>
                <w:sz w:val="18"/>
                <w:szCs w:val="18"/>
                <w:color w:val="32406B"/>
              </w:rPr>
              <w:t>848,877</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3,395,507</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rPr>
              <w:t>1.5%</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David Berman</w:t>
            </w:r>
            <w:r>
              <w:rPr>
                <w:rFonts w:ascii="Arial" w:cs="Arial" w:eastAsia="Arial" w:hAnsi="Arial"/>
                <w:sz w:val="15"/>
                <w:szCs w:val="15"/>
                <w:color w:val="32406B"/>
              </w:rPr>
              <w:t>(22)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3,075,000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2,825,000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Xiaoke Liu</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833,333</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50,000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783,333</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Changbin Wang</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3,581,348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1,100,000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2,481,348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32406B"/>
              </w:rPr>
              <w:t>Long Wang</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1,666,666</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60,000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1,606,666</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Huipin Zhang</w:t>
            </w:r>
            <w:r>
              <w:rPr>
                <w:rFonts w:ascii="Arial" w:cs="Arial" w:eastAsia="Arial" w:hAnsi="Arial"/>
                <w:sz w:val="15"/>
                <w:szCs w:val="15"/>
                <w:color w:val="32406B"/>
              </w:rPr>
              <w:t>(23)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2,572,500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250,000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2,322,500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273"/>
              <w:spacing w:after="0"/>
              <w:rPr>
                <w:sz w:val="20"/>
                <w:szCs w:val="20"/>
                <w:color w:val="auto"/>
              </w:rPr>
            </w:pPr>
            <w:r>
              <w:rPr>
                <w:rFonts w:ascii="Arial" w:cs="Arial" w:eastAsia="Arial" w:hAnsi="Arial"/>
                <w:sz w:val="18"/>
                <w:szCs w:val="18"/>
                <w:color w:val="32406B"/>
              </w:rPr>
              <w:t>120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0" w:type="dxa"/>
            <w:vAlign w:val="bottom"/>
            <w:gridSpan w:val="10"/>
          </w:tcPr>
          <w:p>
            <w:pPr>
              <w:jc w:val="center"/>
              <w:spacing w:after="0"/>
              <w:rPr>
                <w:sz w:val="20"/>
                <w:szCs w:val="20"/>
                <w:color w:val="auto"/>
              </w:rPr>
            </w:pPr>
            <w:r>
              <w:rPr>
                <w:rFonts w:ascii="Arial" w:cs="Arial" w:eastAsia="Arial" w:hAnsi="Arial"/>
                <w:sz w:val="14"/>
                <w:szCs w:val="14"/>
                <w:b w:val="1"/>
                <w:bCs w:val="1"/>
                <w:color w:val="32406B"/>
                <w:w w:val="94"/>
              </w:rPr>
              <w:t>Shares Beneficially Owned Prior to Offering</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8"/>
          </w:tcPr>
          <w:p>
            <w:pPr>
              <w:jc w:val="center"/>
              <w:spacing w:after="0"/>
              <w:rPr>
                <w:sz w:val="20"/>
                <w:szCs w:val="20"/>
                <w:color w:val="auto"/>
              </w:rPr>
            </w:pPr>
            <w:r>
              <w:rPr>
                <w:rFonts w:ascii="Arial" w:cs="Arial" w:eastAsia="Arial" w:hAnsi="Arial"/>
                <w:sz w:val="14"/>
                <w:szCs w:val="14"/>
                <w:b w:val="1"/>
                <w:bCs w:val="1"/>
                <w:color w:val="32406B"/>
                <w:w w:val="93"/>
              </w:rPr>
              <w:t>Shares Beneficially Owned After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0" w:type="dxa"/>
            <w:vAlign w:val="bottom"/>
            <w:gridSpan w:val="10"/>
          </w:tcPr>
          <w:p>
            <w:pPr>
              <w:jc w:val="center"/>
              <w:spacing w:after="0"/>
              <w:rPr>
                <w:sz w:val="20"/>
                <w:szCs w:val="20"/>
                <w:color w:val="auto"/>
              </w:rPr>
            </w:pPr>
            <w:r>
              <w:rPr>
                <w:rFonts w:ascii="Arial" w:cs="Arial" w:eastAsia="Arial" w:hAnsi="Arial"/>
                <w:sz w:val="14"/>
                <w:szCs w:val="14"/>
                <w:b w:val="1"/>
                <w:bCs w:val="1"/>
                <w:color w:val="32406B"/>
                <w:w w:val="93"/>
              </w:rPr>
              <w:t>and Concurrent Private Placement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11"/>
          </w:tcPr>
          <w:p>
            <w:pPr>
              <w:jc w:val="center"/>
              <w:ind w:right="100"/>
              <w:spacing w:after="0"/>
              <w:rPr>
                <w:sz w:val="20"/>
                <w:szCs w:val="20"/>
                <w:color w:val="auto"/>
              </w:rPr>
            </w:pPr>
            <w:r>
              <w:rPr>
                <w:rFonts w:ascii="Arial" w:cs="Arial" w:eastAsia="Arial" w:hAnsi="Arial"/>
                <w:sz w:val="14"/>
                <w:szCs w:val="14"/>
                <w:b w:val="1"/>
                <w:bCs w:val="1"/>
                <w:color w:val="32406B"/>
                <w:w w:val="94"/>
              </w:rPr>
              <w:t>Offering and Concurrent Private Placement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60" w:type="dxa"/>
            <w:vAlign w:val="bottom"/>
            <w:tcBorders>
              <w:top w:val="single" w:sz="8" w:color="auto"/>
            </w:tcBorders>
            <w:gridSpan w:val="3"/>
            <w:vMerge w:val="restart"/>
          </w:tcPr>
          <w:p>
            <w:pPr>
              <w:ind w:left="260"/>
              <w:spacing w:after="0"/>
              <w:rPr>
                <w:sz w:val="20"/>
                <w:szCs w:val="20"/>
                <w:color w:val="auto"/>
              </w:rPr>
            </w:pPr>
            <w:r>
              <w:rPr>
                <w:rFonts w:ascii="Arial" w:cs="Arial" w:eastAsia="Arial" w:hAnsi="Arial"/>
                <w:sz w:val="14"/>
                <w:szCs w:val="14"/>
                <w:b w:val="1"/>
                <w:bCs w:val="1"/>
                <w:color w:val="32406B"/>
                <w:w w:val="93"/>
              </w:rPr>
              <w:t>Class A</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32406B"/>
                <w:w w:val="91"/>
              </w:rPr>
              <w:t>Class B Common</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 of</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5"/>
            <w:vMerge w:val="restart"/>
          </w:tcPr>
          <w:p>
            <w:pPr>
              <w:ind w:left="280"/>
              <w:spacing w:after="0"/>
              <w:rPr>
                <w:sz w:val="20"/>
                <w:szCs w:val="20"/>
                <w:color w:val="auto"/>
              </w:rPr>
            </w:pPr>
            <w:r>
              <w:rPr>
                <w:rFonts w:ascii="Arial" w:cs="Arial" w:eastAsia="Arial" w:hAnsi="Arial"/>
                <w:sz w:val="14"/>
                <w:szCs w:val="14"/>
                <w:b w:val="1"/>
                <w:bCs w:val="1"/>
                <w:color w:val="32406B"/>
              </w:rPr>
              <w:t>Class A</w:t>
            </w:r>
          </w:p>
        </w:tc>
        <w:tc>
          <w:tcPr>
            <w:tcW w:w="1340" w:type="dxa"/>
            <w:vAlign w:val="bottom"/>
            <w:tcBorders>
              <w:top w:val="single" w:sz="8" w:color="auto"/>
            </w:tcBorders>
            <w:gridSpan w:val="4"/>
            <w:vMerge w:val="restart"/>
          </w:tcPr>
          <w:p>
            <w:pPr>
              <w:jc w:val="center"/>
              <w:ind w:right="180"/>
              <w:spacing w:after="0"/>
              <w:rPr>
                <w:sz w:val="20"/>
                <w:szCs w:val="20"/>
                <w:color w:val="auto"/>
              </w:rPr>
            </w:pPr>
            <w:r>
              <w:rPr>
                <w:rFonts w:ascii="Arial" w:cs="Arial" w:eastAsia="Arial" w:hAnsi="Arial"/>
                <w:sz w:val="14"/>
                <w:szCs w:val="14"/>
                <w:b w:val="1"/>
                <w:bCs w:val="1"/>
                <w:color w:val="32406B"/>
                <w:w w:val="93"/>
              </w:rPr>
              <w:t>Class B Common</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 of</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32406B"/>
                <w:w w:val="95"/>
              </w:rPr>
              <w:t>Total</w:t>
            </w:r>
          </w:p>
        </w:tc>
        <w:tc>
          <w:tcPr>
            <w:tcW w:w="160" w:type="dxa"/>
            <w:vAlign w:val="bottom"/>
          </w:tcPr>
          <w:p>
            <w:pPr>
              <w:spacing w:after="0"/>
              <w:rPr>
                <w:sz w:val="7"/>
                <w:szCs w:val="7"/>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32406B"/>
                <w:w w:val="96"/>
              </w:rPr>
              <w:t># of</w:t>
            </w:r>
          </w:p>
        </w:tc>
        <w:tc>
          <w:tcPr>
            <w:tcW w:w="120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6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32406B"/>
                <w:w w:val="95"/>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32406B"/>
              </w:rPr>
              <w:t>Common Stock</w:t>
            </w:r>
          </w:p>
        </w:tc>
        <w:tc>
          <w:tcPr>
            <w:tcW w:w="1000" w:type="dxa"/>
            <w:vAlign w:val="bottom"/>
            <w:gridSpan w:val="2"/>
            <w:vMerge w:val="restart"/>
          </w:tcPr>
          <w:p>
            <w:pPr>
              <w:jc w:val="center"/>
              <w:ind w:left="54"/>
              <w:spacing w:after="0"/>
              <w:rPr>
                <w:sz w:val="20"/>
                <w:szCs w:val="20"/>
                <w:color w:val="auto"/>
              </w:rPr>
            </w:pPr>
            <w:r>
              <w:rPr>
                <w:rFonts w:ascii="Arial" w:cs="Arial" w:eastAsia="Arial" w:hAnsi="Arial"/>
                <w:sz w:val="14"/>
                <w:szCs w:val="14"/>
                <w:b w:val="1"/>
                <w:bCs w:val="1"/>
                <w:color w:val="32406B"/>
                <w:w w:val="89"/>
              </w:rPr>
              <w:t>Stock</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32406B"/>
              </w:rPr>
              <w:t>Common Stock</w:t>
            </w:r>
          </w:p>
        </w:tc>
        <w:tc>
          <w:tcPr>
            <w:tcW w:w="1020" w:type="dxa"/>
            <w:vAlign w:val="bottom"/>
            <w:gridSpan w:val="2"/>
            <w:vMerge w:val="restart"/>
          </w:tcPr>
          <w:p>
            <w:pPr>
              <w:jc w:val="center"/>
              <w:ind w:left="54"/>
              <w:spacing w:after="0"/>
              <w:rPr>
                <w:sz w:val="20"/>
                <w:szCs w:val="20"/>
                <w:color w:val="auto"/>
              </w:rPr>
            </w:pPr>
            <w:r>
              <w:rPr>
                <w:rFonts w:ascii="Arial" w:cs="Arial" w:eastAsia="Arial" w:hAnsi="Arial"/>
                <w:sz w:val="14"/>
                <w:szCs w:val="14"/>
                <w:b w:val="1"/>
                <w:bCs w:val="1"/>
                <w:color w:val="32406B"/>
                <w:w w:val="94"/>
              </w:rPr>
              <w:t>Stock</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32406B"/>
                <w:w w:val="91"/>
              </w:rPr>
              <w:t>Voting</w:t>
            </w:r>
          </w:p>
        </w:tc>
        <w:tc>
          <w:tcPr>
            <w:tcW w:w="160" w:type="dxa"/>
            <w:vAlign w:val="bottom"/>
          </w:tcPr>
          <w:p>
            <w:pPr>
              <w:spacing w:after="0"/>
              <w:rPr>
                <w:sz w:val="9"/>
                <w:szCs w:val="9"/>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32406B"/>
                <w:w w:val="85"/>
              </w:rPr>
              <w:t>Shares</w:t>
            </w:r>
          </w:p>
        </w:tc>
        <w:tc>
          <w:tcPr>
            <w:tcW w:w="1200" w:type="dxa"/>
            <w:vAlign w:val="bottom"/>
            <w:gridSpan w:val="5"/>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32406B"/>
                <w:w w:val="91"/>
              </w:rPr>
              <w:t>Voting</w:t>
            </w:r>
          </w:p>
        </w:tc>
        <w:tc>
          <w:tcPr>
            <w:tcW w:w="0" w:type="dxa"/>
            <w:vAlign w:val="bottom"/>
          </w:tcPr>
          <w:p>
            <w:pPr>
              <w:spacing w:after="0"/>
              <w:rPr>
                <w:sz w:val="1"/>
                <w:szCs w:val="1"/>
                <w:color w:val="auto"/>
              </w:rPr>
            </w:pPr>
          </w:p>
        </w:tc>
      </w:tr>
      <w:tr>
        <w:trPr>
          <w:trHeight w:val="25"/>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Name of Beneficial Owner</w:t>
            </w:r>
          </w:p>
        </w:tc>
        <w:tc>
          <w:tcPr>
            <w:tcW w:w="7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32406B"/>
              </w:rPr>
              <w:t>Shares</w:t>
            </w:r>
          </w:p>
        </w:tc>
        <w:tc>
          <w:tcPr>
            <w:tcW w:w="2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32406B"/>
              </w:rPr>
              <w:t>%</w:t>
            </w:r>
          </w:p>
        </w:tc>
        <w:tc>
          <w:tcPr>
            <w:tcW w:w="160" w:type="dxa"/>
            <w:vAlign w:val="bottom"/>
          </w:tcPr>
          <w:p>
            <w:pPr>
              <w:spacing w:after="0"/>
              <w:rPr>
                <w:sz w:val="2"/>
                <w:szCs w:val="2"/>
                <w:color w:val="auto"/>
              </w:rPr>
            </w:pPr>
          </w:p>
        </w:tc>
        <w:tc>
          <w:tcPr>
            <w:tcW w:w="100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4"/>
                <w:szCs w:val="14"/>
                <w:b w:val="1"/>
                <w:bCs w:val="1"/>
                <w:color w:val="32406B"/>
              </w:rPr>
              <w:t>Shares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32406B"/>
                <w:w w:val="96"/>
              </w:rPr>
              <w:t>%</w:t>
            </w:r>
          </w:p>
        </w:tc>
        <w:tc>
          <w:tcPr>
            <w:tcW w:w="1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2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32406B"/>
                <w:w w:val="98"/>
              </w:rPr>
              <w:t>Shares</w:t>
            </w:r>
          </w:p>
        </w:tc>
        <w:tc>
          <w:tcPr>
            <w:tcW w:w="520" w:type="dxa"/>
            <w:vAlign w:val="bottom"/>
            <w:tcBorders>
              <w:top w:val="single" w:sz="8" w:color="auto"/>
            </w:tcBorders>
            <w:gridSpan w:val="3"/>
            <w:vMerge w:val="restart"/>
          </w:tcPr>
          <w:p>
            <w:pPr>
              <w:jc w:val="right"/>
              <w:ind w:right="10"/>
              <w:spacing w:after="0"/>
              <w:rPr>
                <w:sz w:val="20"/>
                <w:szCs w:val="20"/>
                <w:color w:val="auto"/>
              </w:rPr>
            </w:pPr>
            <w:r>
              <w:rPr>
                <w:rFonts w:ascii="Arial" w:cs="Arial" w:eastAsia="Arial" w:hAnsi="Arial"/>
                <w:sz w:val="14"/>
                <w:szCs w:val="14"/>
                <w:b w:val="1"/>
                <w:bCs w:val="1"/>
                <w:color w:val="32406B"/>
              </w:rPr>
              <w:t>%</w:t>
            </w:r>
          </w:p>
        </w:tc>
        <w:tc>
          <w:tcPr>
            <w:tcW w:w="160" w:type="dxa"/>
            <w:vAlign w:val="bottom"/>
          </w:tcPr>
          <w:p>
            <w:pPr>
              <w:spacing w:after="0"/>
              <w:rPr>
                <w:sz w:val="2"/>
                <w:szCs w:val="2"/>
                <w:color w:val="auto"/>
              </w:rPr>
            </w:pPr>
          </w:p>
        </w:tc>
        <w:tc>
          <w:tcPr>
            <w:tcW w:w="102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32406B"/>
              </w:rPr>
              <w:t>Shares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32406B"/>
                <w:w w:val="96"/>
              </w:rPr>
              <w:t>%</w:t>
            </w:r>
          </w:p>
        </w:tc>
        <w:tc>
          <w:tcPr>
            <w:tcW w:w="1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6"/>
              </w:rPr>
              <w:t>Power†</w:t>
            </w:r>
          </w:p>
        </w:tc>
        <w:tc>
          <w:tcPr>
            <w:tcW w:w="160" w:type="dxa"/>
            <w:vAlign w:val="bottom"/>
          </w:tcPr>
          <w:p>
            <w:pPr>
              <w:spacing w:after="0"/>
              <w:rPr>
                <w:sz w:val="13"/>
                <w:szCs w:val="13"/>
                <w:color w:val="auto"/>
              </w:rPr>
            </w:pPr>
          </w:p>
        </w:tc>
        <w:tc>
          <w:tcPr>
            <w:tcW w:w="8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32406B"/>
                <w:w w:val="89"/>
              </w:rPr>
              <w:t>being Sold</w:t>
            </w:r>
          </w:p>
        </w:tc>
        <w:tc>
          <w:tcPr>
            <w:tcW w:w="520" w:type="dxa"/>
            <w:vAlign w:val="bottom"/>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32406B"/>
                <w:w w:val="92"/>
              </w:rPr>
              <w:t>Power†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32406B"/>
              </w:rPr>
              <w:t>All Heads of Engineering Department</w:t>
            </w: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Employees</w:t>
            </w:r>
            <w:r>
              <w:rPr>
                <w:rFonts w:ascii="Arial" w:cs="Arial" w:eastAsia="Arial" w:hAnsi="Arial"/>
                <w:sz w:val="15"/>
                <w:szCs w:val="15"/>
                <w:color w:val="32406B"/>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1,906,108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253,000</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1,653,108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32406B"/>
              </w:rPr>
              <w:t>All Senior Manager Employees</w:t>
            </w:r>
            <w:r>
              <w:rPr>
                <w:rFonts w:ascii="Arial" w:cs="Arial" w:eastAsia="Arial" w:hAnsi="Arial"/>
                <w:sz w:val="15"/>
                <w:szCs w:val="15"/>
                <w:color w:val="32406B"/>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40" w:type="dxa"/>
            <w:vAlign w:val="bottom"/>
          </w:tcPr>
          <w:p>
            <w:pPr>
              <w:jc w:val="right"/>
              <w:spacing w:after="0"/>
              <w:rPr>
                <w:sz w:val="20"/>
                <w:szCs w:val="20"/>
                <w:color w:val="auto"/>
              </w:rPr>
            </w:pPr>
            <w:r>
              <w:rPr>
                <w:rFonts w:ascii="Arial" w:cs="Arial" w:eastAsia="Arial" w:hAnsi="Arial"/>
                <w:sz w:val="18"/>
                <w:szCs w:val="18"/>
                <w:color w:val="32406B"/>
                <w:w w:val="99"/>
              </w:rPr>
              <w:t>2,039,917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32406B"/>
              </w:rPr>
              <w:t>281,000</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1,758,917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All Senior Engineer Employees</w:t>
            </w:r>
            <w:r>
              <w:rPr>
                <w:rFonts w:ascii="Arial" w:cs="Arial" w:eastAsia="Arial" w:hAnsi="Arial"/>
                <w:sz w:val="15"/>
                <w:szCs w:val="15"/>
                <w:color w:val="32406B"/>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1,111,166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70,866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1,040,300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spacing w:after="0" w:line="201" w:lineRule="exact"/>
              <w:rPr>
                <w:sz w:val="20"/>
                <w:szCs w:val="20"/>
                <w:color w:val="auto"/>
              </w:rPr>
            </w:pPr>
            <w:r>
              <w:rPr>
                <w:rFonts w:ascii="Arial" w:cs="Arial" w:eastAsia="Arial" w:hAnsi="Arial"/>
                <w:sz w:val="18"/>
                <w:szCs w:val="18"/>
                <w:color w:val="32406B"/>
              </w:rPr>
              <w:t>All Engineering Operations Department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32406B"/>
              </w:rPr>
              <w:t>Employees</w:t>
            </w:r>
            <w:r>
              <w:rPr>
                <w:rFonts w:ascii="Arial" w:cs="Arial" w:eastAsia="Arial" w:hAnsi="Arial"/>
                <w:sz w:val="15"/>
                <w:szCs w:val="15"/>
                <w:color w:val="32406B"/>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40" w:type="dxa"/>
            <w:vAlign w:val="bottom"/>
          </w:tcPr>
          <w:p>
            <w:pPr>
              <w:jc w:val="right"/>
              <w:spacing w:after="0"/>
              <w:rPr>
                <w:sz w:val="20"/>
                <w:szCs w:val="20"/>
                <w:color w:val="auto"/>
              </w:rPr>
            </w:pPr>
            <w:r>
              <w:rPr>
                <w:rFonts w:ascii="Arial" w:cs="Arial" w:eastAsia="Arial" w:hAnsi="Arial"/>
                <w:sz w:val="18"/>
                <w:szCs w:val="18"/>
                <w:color w:val="32406B"/>
                <w:w w:val="99"/>
              </w:rPr>
              <w:t>2,243,458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32406B"/>
              </w:rPr>
              <w:t>303,750</w:t>
            </w:r>
          </w:p>
        </w:tc>
        <w:tc>
          <w:tcPr>
            <w:tcW w:w="18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1,939,708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All Other Engineer Employees</w:t>
            </w:r>
            <w:r>
              <w:rPr>
                <w:rFonts w:ascii="Arial" w:cs="Arial" w:eastAsia="Arial" w:hAnsi="Arial"/>
                <w:sz w:val="15"/>
                <w:szCs w:val="15"/>
                <w:color w:val="32406B"/>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1,837,334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25,542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1,793,918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32406B"/>
              </w:rPr>
              <w:t>All Other Sales Department Employees</w:t>
            </w:r>
            <w:r>
              <w:rPr>
                <w:rFonts w:ascii="Arial" w:cs="Arial" w:eastAsia="Arial" w:hAnsi="Arial"/>
                <w:sz w:val="15"/>
                <w:szCs w:val="15"/>
                <w:color w:val="32406B"/>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40" w:type="dxa"/>
            <w:vAlign w:val="bottom"/>
          </w:tcPr>
          <w:p>
            <w:pPr>
              <w:jc w:val="right"/>
              <w:spacing w:after="0"/>
              <w:rPr>
                <w:sz w:val="20"/>
                <w:szCs w:val="20"/>
                <w:color w:val="auto"/>
              </w:rPr>
            </w:pPr>
            <w:r>
              <w:rPr>
                <w:rFonts w:ascii="Arial" w:cs="Arial" w:eastAsia="Arial" w:hAnsi="Arial"/>
                <w:sz w:val="18"/>
                <w:szCs w:val="18"/>
                <w:color w:val="32406B"/>
              </w:rPr>
              <w:t>844,579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32406B"/>
              </w:rPr>
              <w:t>147,798</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696,781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All Other Technical Support Department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Employees</w:t>
            </w:r>
            <w:r>
              <w:rPr>
                <w:rFonts w:ascii="Arial" w:cs="Arial" w:eastAsia="Arial" w:hAnsi="Arial"/>
                <w:sz w:val="15"/>
                <w:szCs w:val="15"/>
                <w:color w:val="32406B"/>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210,571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77,517</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133,054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spacing w:after="0" w:line="201" w:lineRule="exact"/>
              <w:rPr>
                <w:sz w:val="20"/>
                <w:szCs w:val="20"/>
                <w:color w:val="auto"/>
              </w:rPr>
            </w:pPr>
            <w:r>
              <w:rPr>
                <w:rFonts w:ascii="Arial" w:cs="Arial" w:eastAsia="Arial" w:hAnsi="Arial"/>
                <w:sz w:val="18"/>
                <w:szCs w:val="18"/>
                <w:color w:val="32406B"/>
                <w:w w:val="96"/>
              </w:rPr>
              <w:t>All Professional Service Organization Department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2"/>
          </w:tcPr>
          <w:p>
            <w:pPr>
              <w:ind w:left="160"/>
              <w:spacing w:after="0"/>
              <w:rPr>
                <w:sz w:val="20"/>
                <w:szCs w:val="20"/>
                <w:color w:val="auto"/>
              </w:rPr>
            </w:pPr>
            <w:r>
              <w:rPr>
                <w:rFonts w:ascii="Arial" w:cs="Arial" w:eastAsia="Arial" w:hAnsi="Arial"/>
                <w:sz w:val="18"/>
                <w:szCs w:val="18"/>
                <w:color w:val="32406B"/>
              </w:rPr>
              <w:t>Employees</w:t>
            </w:r>
            <w:r>
              <w:rPr>
                <w:rFonts w:ascii="Arial" w:cs="Arial" w:eastAsia="Arial" w:hAnsi="Arial"/>
                <w:sz w:val="15"/>
                <w:szCs w:val="15"/>
                <w:color w:val="32406B"/>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40" w:type="dxa"/>
            <w:vAlign w:val="bottom"/>
          </w:tcPr>
          <w:p>
            <w:pPr>
              <w:jc w:val="right"/>
              <w:spacing w:after="0"/>
              <w:rPr>
                <w:sz w:val="20"/>
                <w:szCs w:val="20"/>
                <w:color w:val="auto"/>
              </w:rPr>
            </w:pPr>
            <w:r>
              <w:rPr>
                <w:rFonts w:ascii="Arial" w:cs="Arial" w:eastAsia="Arial" w:hAnsi="Arial"/>
                <w:sz w:val="18"/>
                <w:szCs w:val="18"/>
                <w:color w:val="32406B"/>
                <w:w w:val="99"/>
              </w:rPr>
              <w:t>2,117,499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32406B"/>
              </w:rPr>
              <w:t>160,500</w:t>
            </w:r>
          </w:p>
        </w:tc>
        <w:tc>
          <w:tcPr>
            <w:tcW w:w="18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1,956,999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All Other Current Employees</w:t>
            </w:r>
            <w:r>
              <w:rPr>
                <w:rFonts w:ascii="Arial" w:cs="Arial" w:eastAsia="Arial" w:hAnsi="Arial"/>
                <w:sz w:val="15"/>
                <w:szCs w:val="15"/>
                <w:color w:val="32406B"/>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1,828,065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99,777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1,728,288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32406B"/>
              </w:rPr>
              <w:t>All Other Former Employees</w:t>
            </w:r>
            <w:r>
              <w:rPr>
                <w:rFonts w:ascii="Arial" w:cs="Arial" w:eastAsia="Arial" w:hAnsi="Arial"/>
                <w:sz w:val="15"/>
                <w:szCs w:val="15"/>
                <w:color w:val="32406B"/>
              </w:rPr>
              <w:t>(24)</w:t>
            </w:r>
          </w:p>
        </w:tc>
        <w:tc>
          <w:tcPr>
            <w:tcW w:w="760" w:type="dxa"/>
            <w:vAlign w:val="bottom"/>
            <w:gridSpan w:val="3"/>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40" w:type="dxa"/>
            <w:vAlign w:val="bottom"/>
          </w:tcPr>
          <w:p>
            <w:pPr>
              <w:jc w:val="right"/>
              <w:spacing w:after="0"/>
              <w:rPr>
                <w:sz w:val="20"/>
                <w:szCs w:val="20"/>
                <w:color w:val="auto"/>
              </w:rPr>
            </w:pPr>
            <w:r>
              <w:rPr>
                <w:rFonts w:ascii="Arial" w:cs="Arial" w:eastAsia="Arial" w:hAnsi="Arial"/>
                <w:sz w:val="18"/>
                <w:szCs w:val="18"/>
                <w:color w:val="32406B"/>
              </w:rPr>
              <w:t>667,185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32406B"/>
              </w:rPr>
              <w:t>124,702</w:t>
            </w: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32406B"/>
              </w:rPr>
              <w:t>—</w:t>
            </w:r>
          </w:p>
        </w:tc>
        <w:tc>
          <w:tcPr>
            <w:tcW w:w="860" w:type="dxa"/>
            <w:vAlign w:val="bottom"/>
          </w:tcPr>
          <w:p>
            <w:pPr>
              <w:jc w:val="right"/>
              <w:spacing w:after="0"/>
              <w:rPr>
                <w:sz w:val="20"/>
                <w:szCs w:val="20"/>
                <w:color w:val="auto"/>
              </w:rPr>
            </w:pPr>
            <w:r>
              <w:rPr>
                <w:rFonts w:ascii="Arial" w:cs="Arial" w:eastAsia="Arial" w:hAnsi="Arial"/>
                <w:sz w:val="18"/>
                <w:szCs w:val="18"/>
                <w:color w:val="32406B"/>
              </w:rPr>
              <w:t>542,483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All Other Non-Employee Investors</w:t>
            </w:r>
            <w:r>
              <w:rPr>
                <w:rFonts w:ascii="Arial" w:cs="Arial" w:eastAsia="Arial" w:hAnsi="Arial"/>
                <w:sz w:val="15"/>
                <w:szCs w:val="15"/>
                <w:color w:val="32406B"/>
              </w:rPr>
              <w:t>(24)</w:t>
            </w:r>
          </w:p>
        </w:tc>
        <w:tc>
          <w:tcPr>
            <w:tcW w:w="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2,482,656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400,000</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32406B"/>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2,082,656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color w:val="32406B"/>
        </w:rPr>
      </w:pPr>
      <w:r>
        <w:rPr>
          <w:rFonts w:ascii="Arial" w:cs="Arial" w:eastAsia="Arial" w:hAnsi="Arial"/>
          <w:sz w:val="18"/>
          <w:szCs w:val="18"/>
          <w:color w:val="32406B"/>
        </w:rPr>
        <w:t>Represents beneficial ownership of less than 1%.</w:t>
      </w:r>
    </w:p>
    <w:p>
      <w:pPr>
        <w:spacing w:after="0" w:line="23" w:lineRule="exact"/>
        <w:rPr>
          <w:sz w:val="20"/>
          <w:szCs w:val="20"/>
          <w:color w:val="auto"/>
        </w:rPr>
      </w:pPr>
    </w:p>
    <w:p>
      <w:pPr>
        <w:ind w:left="640" w:right="120" w:hanging="436"/>
        <w:spacing w:after="0" w:line="295" w:lineRule="auto"/>
        <w:tabs>
          <w:tab w:leader="none" w:pos="640" w:val="left"/>
        </w:tabs>
        <w:numPr>
          <w:ilvl w:val="0"/>
          <w:numId w:val="78"/>
        </w:numPr>
        <w:rPr>
          <w:rFonts w:ascii="Arial" w:cs="Arial" w:eastAsia="Arial" w:hAnsi="Arial"/>
          <w:sz w:val="16"/>
          <w:szCs w:val="16"/>
          <w:color w:val="32406B"/>
        </w:rPr>
      </w:pPr>
      <w:r>
        <w:rPr>
          <w:rFonts w:ascii="Arial" w:cs="Arial" w:eastAsia="Arial" w:hAnsi="Arial"/>
          <w:sz w:val="16"/>
          <w:szCs w:val="16"/>
          <w:color w:val="32406B"/>
        </w:rPr>
        <w:t>Represents the voting power with respect to all shares of our Class A common stock and Class B common stock, voting together as a single class. Each share of Class A common stock will be entitled to one vote per share, and each share of Class B common stock will be entitled to 10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w:t>
      </w:r>
    </w:p>
    <w:p>
      <w:pPr>
        <w:spacing w:after="0" w:line="162" w:lineRule="exact"/>
        <w:rPr>
          <w:sz w:val="20"/>
          <w:szCs w:val="20"/>
          <w:color w:val="auto"/>
        </w:rPr>
      </w:pPr>
    </w:p>
    <w:p>
      <w:pPr>
        <w:ind w:left="640" w:right="20" w:hanging="436"/>
        <w:spacing w:after="0" w:line="252" w:lineRule="auto"/>
        <w:tabs>
          <w:tab w:leader="none" w:pos="640" w:val="left"/>
        </w:tabs>
        <w:numPr>
          <w:ilvl w:val="0"/>
          <w:numId w:val="79"/>
        </w:numPr>
        <w:rPr>
          <w:rFonts w:ascii="Arial" w:cs="Arial" w:eastAsia="Arial" w:hAnsi="Arial"/>
          <w:sz w:val="18"/>
          <w:szCs w:val="18"/>
          <w:color w:val="32406B"/>
        </w:rPr>
      </w:pPr>
      <w:r>
        <w:rPr>
          <w:rFonts w:ascii="Arial" w:cs="Arial" w:eastAsia="Arial" w:hAnsi="Arial"/>
          <w:sz w:val="18"/>
          <w:szCs w:val="18"/>
          <w:color w:val="32406B"/>
        </w:rPr>
        <w:t>Consists of (i) 26,908,848 shares of Class B common stock held of record by Emergence Capital Partners III, L.P. (Emergence), (ii) 3,277,836 shares of Class B common stock held of record by EZP Opportunity, L.P. (EZP) and (iii) 214,167 shares of Class B common stock held of record by Red Porphyry, LLC (Red Porphyry), and together with Emergence and EZP,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 The address for Red Porphyry is 635 Knight Way, Stanford, California 94305.</w:t>
      </w:r>
    </w:p>
    <w:p>
      <w:pPr>
        <w:spacing w:after="0" w:line="5" w:lineRule="exact"/>
        <w:rPr>
          <w:rFonts w:ascii="Arial" w:cs="Arial" w:eastAsia="Arial" w:hAnsi="Arial"/>
          <w:sz w:val="18"/>
          <w:szCs w:val="18"/>
          <w:color w:val="32406B"/>
        </w:rPr>
      </w:pPr>
    </w:p>
    <w:p>
      <w:pPr>
        <w:jc w:val="both"/>
        <w:ind w:left="640" w:right="60" w:hanging="436"/>
        <w:spacing w:after="0" w:line="255" w:lineRule="auto"/>
        <w:tabs>
          <w:tab w:leader="none" w:pos="640" w:val="left"/>
        </w:tabs>
        <w:numPr>
          <w:ilvl w:val="0"/>
          <w:numId w:val="79"/>
        </w:numPr>
        <w:rPr>
          <w:rFonts w:ascii="Arial" w:cs="Arial" w:eastAsia="Arial" w:hAnsi="Arial"/>
          <w:sz w:val="18"/>
          <w:szCs w:val="18"/>
          <w:color w:val="32406B"/>
        </w:rPr>
      </w:pPr>
      <w:r>
        <w:rPr>
          <w:rFonts w:ascii="Arial" w:cs="Arial" w:eastAsia="Arial" w:hAnsi="Arial"/>
          <w:sz w:val="18"/>
          <w:szCs w:val="18"/>
          <w:color w:val="32406B"/>
        </w:rPr>
        <w:t>Consists of: (i) 6,672,044 shares of Class B common stock held of record by Sequoia Capital Global Growth Fund II, L.P. (SC GGFII); (ii) 82,704 shares of Class B common stock held of record by Sequoia Capital Global Growth II Principals Fund, L.P. (SC GGFII PF); (iii) 194,538 shares of Class B common stock held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121</w:t>
      </w:r>
    </w:p>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83" w:lineRule="auto"/>
        <w:rPr>
          <w:sz w:val="20"/>
          <w:szCs w:val="20"/>
          <w:color w:val="auto"/>
        </w:rPr>
      </w:pPr>
      <w:r>
        <w:rPr>
          <w:rFonts w:ascii="Arial" w:cs="Arial" w:eastAsia="Arial" w:hAnsi="Arial"/>
          <w:sz w:val="16"/>
          <w:szCs w:val="16"/>
          <w:color w:val="32406B"/>
        </w:rPr>
        <w:t>of record by Sequoia Capital U.S. Growth Fund V, LP (SC US GFV); (iv) 19,402,643 shares of Class B common stock held of record by Sequoia Capital U.S. Growth Fund VII, LP (SC US GFVII); and (v) 1,262,647 shares of Class B common stock held of record by Sequoia U.S. Growth VII Principals Fund, LP (SC US GFVII PF). SC US (TTGP), Ltd. is (i) the general partner of SC Global Growth II Management, L.P., which is the general partner of each of SC GGFII and SC GGFII PF (collectively, the SC GGFII Funds), (ii) the general partner of SCGF V Management, L.P., which is the general partner of SC US GFV, and (iii) the general partner of SC U.S. Growth VII Management, L.P., which is the general partner of each of SC US GFVII and SC US GFVII PF (collectively, the SC US GFVII Funds). As a result, SC US (TTGP), Ltd. may be deemed to share voting and dispositive power with respect to the shares held by the SC GGFII Funds, SC US GFV and the SC US 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 Suite 101, Menlo Park, California 94025.</w:t>
      </w:r>
    </w:p>
    <w:p>
      <w:pPr>
        <w:spacing w:after="0" w:line="5" w:lineRule="exact"/>
        <w:rPr>
          <w:sz w:val="20"/>
          <w:szCs w:val="20"/>
          <w:color w:val="auto"/>
        </w:rPr>
      </w:pPr>
    </w:p>
    <w:p>
      <w:pPr>
        <w:ind w:left="640" w:right="20" w:hanging="436"/>
        <w:spacing w:after="0" w:line="265" w:lineRule="auto"/>
        <w:tabs>
          <w:tab w:leader="none" w:pos="64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Consists of 21,273,357 shares of Class B common stock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ind w:left="640" w:right="160" w:hanging="436"/>
        <w:spacing w:after="0" w:line="250" w:lineRule="auto"/>
        <w:tabs>
          <w:tab w:leader="none" w:pos="64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Consists of 14,715,641 shares of Class B common stock held of record by Bucantini Enterprises Limited (Bucantini). Bucantini is wholly owned by Prime Doyen Limited, which is wholly owned by Mayspin Management Limited (Mayspin). Mayspin is wholly owned by Mr. Li Ka-shing. The address for Bucantini is c/o 7/F, Cheung Kong Center, 2 Queen’s Road Central, Hong Kong.</w:t>
      </w:r>
    </w:p>
    <w:p>
      <w:pPr>
        <w:spacing w:after="0" w:line="1" w:lineRule="exact"/>
        <w:rPr>
          <w:rFonts w:ascii="Arial" w:cs="Arial" w:eastAsia="Arial" w:hAnsi="Arial"/>
          <w:sz w:val="18"/>
          <w:szCs w:val="18"/>
          <w:color w:val="32406B"/>
        </w:rPr>
      </w:pPr>
    </w:p>
    <w:p>
      <w:pPr>
        <w:ind w:left="640" w:hanging="436"/>
        <w:spacing w:after="0" w:line="265" w:lineRule="auto"/>
        <w:tabs>
          <w:tab w:leader="none" w:pos="64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Consists of (i) 1,980,000 shares of Class A common stock held of record by Bin Yuan, trustee of the Trust for Allen under the 2018 Yuan’s Children’s Irrevocable Trust (Allen Trust), (ii) 1,980,000 shares of Class A common stock held of record by Bin Yuan, trustee of the Trust for Callie under the 2018 Yuan’s Children’s Irrevocable Trust (Callie Trust), and (iii) 1,980,000 shares of Class A common stock held of record by Bin Yuan, trustee of the Trust for Roy under the 2018 Yuan’s Children’s Irrevocable Trust (Roy Trust). Bin Yuan, an immediate family member of Eric S. Yuan, holds voting and investment control over the shares held by Allen Trust, Callie Trust, and Roy Trust. 333,333 shares of Class A common stock are being offered by Allen Trust, 333,333 shares of Class A common stock are being offered by Callie Trust, and 333,333 shares of Class A common stock are being offered by Roy Trust.</w:t>
      </w:r>
    </w:p>
    <w:p>
      <w:pPr>
        <w:spacing w:after="0" w:line="1" w:lineRule="exact"/>
        <w:rPr>
          <w:rFonts w:ascii="Arial" w:cs="Arial" w:eastAsia="Arial" w:hAnsi="Arial"/>
          <w:sz w:val="17"/>
          <w:szCs w:val="17"/>
          <w:color w:val="32406B"/>
        </w:rPr>
      </w:pPr>
    </w:p>
    <w:p>
      <w:pPr>
        <w:ind w:left="640" w:right="20" w:hanging="436"/>
        <w:spacing w:after="0" w:line="281" w:lineRule="auto"/>
        <w:tabs>
          <w:tab w:leader="none" w:pos="640" w:val="left"/>
        </w:tabs>
        <w:numPr>
          <w:ilvl w:val="0"/>
          <w:numId w:val="80"/>
        </w:numPr>
        <w:rPr>
          <w:rFonts w:ascii="Arial" w:cs="Arial" w:eastAsia="Arial" w:hAnsi="Arial"/>
          <w:sz w:val="16"/>
          <w:szCs w:val="16"/>
          <w:color w:val="32406B"/>
        </w:rPr>
      </w:pPr>
      <w:r>
        <w:rPr>
          <w:rFonts w:ascii="Arial" w:cs="Arial" w:eastAsia="Arial" w:hAnsi="Arial"/>
          <w:sz w:val="16"/>
          <w:szCs w:val="16"/>
          <w:color w:val="32406B"/>
        </w:rPr>
        <w:t>Consists of (i) 26,852,864 shares of Class B common stock held of record by Mr. Yuan, (ii) 10,000,000 shares of Class B common stock held of record by Zheng Yuan and Hongyu Zhang, cotrustees of the Zheng Yuan 2019 Grantor Retained Annuity Trust, for which Mr. Yuan and his spouse serve as cotrustees, (iii) 10,000,000 shares of Class B common stock held of record by Zheng Yuan and Hongyu Zhang, cotrustees of the Hongyu Zhang 2019 Grantor Retained Annuity Trust, for which Mr. Yuan and his spouse serve as cotrustees, (iv) 8,000 shares of Class B common stock held pursuant to the proxies described below and (v) 404,985 shares of Class B common stock subject to options exercisable within 60 days of March 31, 2019, of which 83,334 shares of Class B common stock are vested as of such date. Each of Zilin Liu and Bin Yuan, immediate family members of Mr. Yuan, have granted Mr. Yuan a proxy to vote the shares held of record by them, which will terminate upon the earlier of (i) the expiration of the lock-up period following this offering, (ii) a liquidation event as defined in our amended and restated certificate of incorporation, (iii) the conversion of the shares held of record into shares of Class A Common Stock and (iv) the agreement of the parties. 583,787 shares of Class B common stock are being offered by Mr. Yuan and 4,000 shares of Class B common stock are being offered by Bin Yuan.</w:t>
      </w:r>
    </w:p>
    <w:p>
      <w:pPr>
        <w:spacing w:after="0" w:line="6" w:lineRule="exact"/>
        <w:rPr>
          <w:rFonts w:ascii="Arial" w:cs="Arial" w:eastAsia="Arial" w:hAnsi="Arial"/>
          <w:sz w:val="16"/>
          <w:szCs w:val="16"/>
          <w:color w:val="32406B"/>
        </w:rPr>
      </w:pPr>
    </w:p>
    <w:p>
      <w:pPr>
        <w:ind w:left="640" w:right="180" w:hanging="436"/>
        <w:spacing w:after="0" w:line="250" w:lineRule="auto"/>
        <w:tabs>
          <w:tab w:leader="none" w:pos="64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Consists of (i) 400,000 shares of Class B common stock held of record by Mr. Chadwick, of which 250,000 shares of Class B common stock are subject to repurchase by us at the original issue price as of March 31, 2019.</w:t>
      </w:r>
    </w:p>
    <w:p>
      <w:pPr>
        <w:ind w:left="640" w:right="740" w:hanging="436"/>
        <w:spacing w:after="0" w:line="265" w:lineRule="auto"/>
        <w:tabs>
          <w:tab w:leader="none" w:pos="64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Mr. Eschenbach, a member of our board of directors, is a general partner at Sequoia Capital Operations, LLC. Mr. Eschenbach disclaims beneficial ownership of all shares held by the Sequoia Capital entities referred to in footnote 2 above.</w:t>
      </w:r>
    </w:p>
    <w:p>
      <w:pPr>
        <w:ind w:left="640" w:right="420" w:hanging="436"/>
        <w:spacing w:after="0" w:line="261" w:lineRule="auto"/>
        <w:tabs>
          <w:tab w:leader="none" w:pos="64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Consists of 1,202,720 shares of Class B common stock held of record by Mr. Gassner, of which 180,408 shares of Class B common stock are subject to repurchase by us at the original issue price as of March 31, 2019.</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hanging="436"/>
        <w:spacing w:after="0" w:line="291" w:lineRule="auto"/>
        <w:tabs>
          <w:tab w:leader="none" w:pos="640" w:val="left"/>
        </w:tabs>
        <w:numPr>
          <w:ilvl w:val="0"/>
          <w:numId w:val="81"/>
        </w:numPr>
        <w:rPr>
          <w:rFonts w:ascii="Arial" w:cs="Arial" w:eastAsia="Arial" w:hAnsi="Arial"/>
          <w:sz w:val="16"/>
          <w:szCs w:val="16"/>
          <w:color w:val="32406B"/>
        </w:rPr>
      </w:pPr>
      <w:r>
        <w:rPr>
          <w:rFonts w:ascii="Arial" w:cs="Arial" w:eastAsia="Arial" w:hAnsi="Arial"/>
          <w:sz w:val="16"/>
          <w:szCs w:val="16"/>
          <w:color w:val="32406B"/>
        </w:rPr>
        <w:t>Consists of (i) 16,797 shares of Class B common stock held of record by Ms. Hammonds and (ii) 150,000 shares of Class B common stock subject to options exercisable within 60 days of March 31, 2019, of which 25,000 shares of Class B common stock are vested as of such date.</w:t>
      </w:r>
    </w:p>
    <w:p>
      <w:pPr>
        <w:ind w:left="640" w:right="20" w:hanging="436"/>
        <w:spacing w:after="0" w:line="281" w:lineRule="auto"/>
        <w:tabs>
          <w:tab w:leader="none" w:pos="640" w:val="left"/>
        </w:tabs>
        <w:numPr>
          <w:ilvl w:val="0"/>
          <w:numId w:val="81"/>
        </w:numPr>
        <w:rPr>
          <w:rFonts w:ascii="Arial" w:cs="Arial" w:eastAsia="Arial" w:hAnsi="Arial"/>
          <w:sz w:val="16"/>
          <w:szCs w:val="16"/>
          <w:color w:val="32406B"/>
        </w:rPr>
      </w:pPr>
      <w:r>
        <w:rPr>
          <w:rFonts w:ascii="Arial" w:cs="Arial" w:eastAsia="Arial" w:hAnsi="Arial"/>
          <w:sz w:val="16"/>
          <w:szCs w:val="16"/>
          <w:color w:val="32406B"/>
        </w:rPr>
        <w:t>Consists of (i) 1,056,960 shares of Class B common stock held of record by Dan &amp; Zoe Scheinman Trust Dated 2/23/01, for which Mr. Scheinman serves as trustee, (ii) 1,689,412 shares of Class B common stock held of record by The 2017 Scheinman Irrevocable Trust, for which</w:t>
      </w:r>
    </w:p>
    <w:p>
      <w:pPr>
        <w:spacing w:after="0" w:line="1" w:lineRule="exact"/>
        <w:rPr>
          <w:rFonts w:ascii="Arial" w:cs="Arial" w:eastAsia="Arial" w:hAnsi="Arial"/>
          <w:sz w:val="16"/>
          <w:szCs w:val="16"/>
          <w:color w:val="32406B"/>
        </w:rPr>
      </w:pPr>
    </w:p>
    <w:p>
      <w:pPr>
        <w:ind w:left="640" w:right="380"/>
        <w:spacing w:after="0" w:line="250" w:lineRule="auto"/>
        <w:rPr>
          <w:rFonts w:ascii="Arial" w:cs="Arial" w:eastAsia="Arial" w:hAnsi="Arial"/>
          <w:sz w:val="16"/>
          <w:szCs w:val="16"/>
          <w:color w:val="32406B"/>
        </w:rPr>
      </w:pPr>
      <w:r>
        <w:rPr>
          <w:rFonts w:ascii="Arial" w:cs="Arial" w:eastAsia="Arial" w:hAnsi="Arial"/>
          <w:sz w:val="18"/>
          <w:szCs w:val="18"/>
          <w:color w:val="32406B"/>
        </w:rPr>
        <w:t>Mr. Scheinman serves as trustee and (iii) 100,000 shares of Class B common stock subject to options exercisable within 60 days of March 31, 2019, of which 12,500 shares of Class B common stock are vested as of such date.</w:t>
      </w:r>
    </w:p>
    <w:p>
      <w:pPr>
        <w:ind w:left="640" w:right="10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the shares listed in footnote 1 above. Mr. Subotovsky is a member of EEP III and shares voting and investment control with respect to the shares held by the Emergence Entities.</w:t>
      </w:r>
    </w:p>
    <w:p>
      <w:pPr>
        <w:ind w:left="640" w:right="18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(i) 44,648 shares of Class B common stock held of record by Beyond Merits Limited, for which Mr. Swanson is a director and shareholder and shares voting and investment control with respect to such shares, and (ii) 85,908 shares of Class B common stock held of record by Mr. Swanson.</w:t>
      </w:r>
    </w:p>
    <w:p>
      <w:pPr>
        <w:spacing w:after="0" w:line="1" w:lineRule="exact"/>
        <w:rPr>
          <w:rFonts w:ascii="Arial" w:cs="Arial" w:eastAsia="Arial" w:hAnsi="Arial"/>
          <w:sz w:val="18"/>
          <w:szCs w:val="18"/>
          <w:color w:val="32406B"/>
        </w:rPr>
      </w:pPr>
    </w:p>
    <w:p>
      <w:pPr>
        <w:ind w:left="640" w:right="8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(i) 1,740,000 shares of Class B common stock held of record by Mr. Holmes and (ii) 170,000 shares of Class B common stock subject to options exercisable within 60 days of March 31, 2019, all of which are vested as of such date.</w:t>
      </w:r>
    </w:p>
    <w:p>
      <w:pPr>
        <w:ind w:left="640" w:right="14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(i) 333,333 shares of Class B common stock held of record by Ms. Pelosi and (ii) 160,417 shares of Class B common stock subject to options exercisable within 60 days of March 31, 2019, all of which are vested as of such date.</w:t>
      </w:r>
    </w:p>
    <w:p>
      <w:pPr>
        <w:ind w:left="640" w:right="2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360,000 shares of Class B common stock held of record by Rafik Bawa and Aparna Bawa, as Trustees of the Bawa Family Trust under agreement dated November 12, 2013, for which Ms. Bawa and her spouse serve as trustees, all of which are subject to repurchase by us at the original issue price as of March 31, 2019.</w:t>
      </w:r>
    </w:p>
    <w:p>
      <w:pPr>
        <w:spacing w:after="0" w:line="1" w:lineRule="exact"/>
        <w:rPr>
          <w:rFonts w:ascii="Arial" w:cs="Arial" w:eastAsia="Arial" w:hAnsi="Arial"/>
          <w:sz w:val="18"/>
          <w:szCs w:val="18"/>
          <w:color w:val="32406B"/>
        </w:rPr>
      </w:pPr>
    </w:p>
    <w:p>
      <w:pPr>
        <w:ind w:left="640" w:right="18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(i) 82,704,979 shares of Class B common stock beneficially owned by our current executive officers and directors, of which 790,408 shares of Class B common stock may be repurchased by us at the original purchase price as of March 31, 2019, and (ii) 1,921,916 shares of Class B common stock subject to options exercisable within 60 days of March 31, 2019, of which 516,931 shares of Class B common stock are vested as of such date.</w:t>
      </w:r>
    </w:p>
    <w:p>
      <w:pPr>
        <w:spacing w:after="0" w:line="1" w:lineRule="exact"/>
        <w:rPr>
          <w:rFonts w:ascii="Arial" w:cs="Arial" w:eastAsia="Arial" w:hAnsi="Arial"/>
          <w:sz w:val="18"/>
          <w:szCs w:val="18"/>
          <w:color w:val="32406B"/>
        </w:rPr>
      </w:pPr>
    </w:p>
    <w:p>
      <w:pPr>
        <w:ind w:left="640" w:right="8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300,000 shares of Class A common stock held of record by National Philanthropic Trust. The address for National Philanthropic Trust is c/o 165 Township Line Road, Suite 1200, Jenkintown, PA 19046.</w:t>
      </w:r>
    </w:p>
    <w:p>
      <w:pPr>
        <w:ind w:left="640" w:right="6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5,272,588 shares of Class B common stock held of record by AME Cloud Ventures, LLC. The address for AME Cloud Ventures, LLC is c/o 720 University Avenue, Suite 200, Los Gatos, CA 95032.</w:t>
      </w:r>
    </w:p>
    <w:p>
      <w:pPr>
        <w:ind w:left="64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9,629,939 shares of Class B common stock held of record by Puccini World Limited. The address for Puccini World Limited is c/o 7/F, Cheung Kong Center, 2 Queen’s Road Central, Hong Kong.</w:t>
      </w:r>
    </w:p>
    <w:p>
      <w:pPr>
        <w:ind w:left="640" w:right="6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(i) 4,229,832 shares of Class B common stock held of record by QUALCOMM Incorporated and (ii) 14,552 shares of Class B common stock held of record by Qualcomm Global Trading Pte. Ltd. The address for QUALCOMM Incorporated and Qualcomm Global Trading Pte. Ltd. is 5775 Morehouse Drive, San Diego, CA 92121.</w:t>
      </w:r>
    </w:p>
    <w:p>
      <w:pPr>
        <w:spacing w:after="0" w:line="1" w:lineRule="exact"/>
        <w:rPr>
          <w:rFonts w:ascii="Arial" w:cs="Arial" w:eastAsia="Arial" w:hAnsi="Arial"/>
          <w:sz w:val="18"/>
          <w:szCs w:val="18"/>
          <w:color w:val="32406B"/>
        </w:rPr>
      </w:pPr>
    </w:p>
    <w:p>
      <w:pPr>
        <w:ind w:left="64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(i) 2,895,000 shares of Class B common stock held of record by Mr. Berman, (ii) 60,000 shares of Class B common stock held of record by Jakson Bates Berman Irrevocable Family Protection Trust (Jakson Trust), (iii) 60,000 shares of Class B common stock held of record by Tyler David Berman Irrevocable Family Protection Trust (Tyler Trust) and (iv) 60,000 shares of Class B common stock held of record by Zakary Cole Berman Irrevocable Family Protection Trust (Zakary Trust). Mr. Berman holds voting and investment control over the shares held by Jakson Trust, Tyler Trust, and Zakary Trust. 250,000 shares of Class B common stock are being offered by Mr. Berman. Mr. Berman is a former employee of the company.</w:t>
      </w:r>
    </w:p>
    <w:p>
      <w:pPr>
        <w:spacing w:after="0" w:line="2" w:lineRule="exact"/>
        <w:rPr>
          <w:rFonts w:ascii="Arial" w:cs="Arial" w:eastAsia="Arial" w:hAnsi="Arial"/>
          <w:sz w:val="18"/>
          <w:szCs w:val="18"/>
          <w:color w:val="32406B"/>
        </w:rPr>
      </w:pPr>
    </w:p>
    <w:p>
      <w:pPr>
        <w:ind w:left="640" w:right="40" w:hanging="436"/>
        <w:spacing w:after="0" w:line="250"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(i) 2,550,000 shares of Class B common stock held of record by Mr. Zhang and (ii) 22,500 shares of Common Stock subject to options exercisable within 60 days of March 31, 2019, all of which are vested as of such date.</w:t>
      </w:r>
    </w:p>
    <w:p>
      <w:pPr>
        <w:jc w:val="both"/>
        <w:ind w:left="640" w:right="280" w:hanging="436"/>
        <w:spacing w:after="0" w:line="255" w:lineRule="auto"/>
        <w:tabs>
          <w:tab w:leader="none" w:pos="640"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Consists of selling stockholders not otherwise listed in this table who within the groups indicated collectively own less than 1% of our Class B common stock. Includes the number of shares that such selling stockholders have the right to acquire pursuant to options that may be exercised within 60 days of March 31, 2019.</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General</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32406B"/>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Upon the completion of this offering, our authorized capital stock will consist of the following shares, all with a par value of $0.001 per share, of which:</w:t>
      </w:r>
    </w:p>
    <w:p>
      <w:pPr>
        <w:spacing w:after="0" w:line="76"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2,000,000,000 shares are designated as Class A common stock;</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300,000,000 shares are designated as Class B common stock; and</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200,000,000 shares are designated as preferred stock.</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32406B"/>
        </w:rPr>
        <w:t>As of January 31, 2019, we had no shares of Class A common stock, 90,327,435 shares of Class B common stock and 152,665,804 shares of preferred stock outstanding (without giving effect to the conversion of outstanding convertible promissory notes or the shares to be sold in this offering or the concurrent private placement). After giving effect to the conversion of all outstanding shares of preferred stock into shares of Class B common stock immediately upon the completion of this offering, there would have been 242,993,239 shares of Class B common stock outstanding on January 31, 2019, held by 391 stockholders of record. As of January 31, 2019, we had outstanding options to acquire 35,064,465 shares of Class B common stock.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Class A and Class B Common Stock</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The Nasdaq Stock Market. Our amended and restated certificate of incorporation will provide that, except with respect to voting rights and conversion rights, the Class A common stock and Class B common stock are treated equally and identically.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Voting Rights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common stock or amend our certificate of incorporation to alter the powers, preferences or special rights of the common stock as a whole in a way that would adversely affect the holders of our Class A common stock.</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32406B"/>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8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32406B"/>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7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Our amended and restated certificate of incorporation that will be in effect upon the completion of this offering will not provide for cumulative voting for the election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Dividend Rights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32406B"/>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Right to Receive Liquidation Distributions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Subdivisions and Combinations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Conversion</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32406B"/>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Mr. Yuan, (ii) the date that is six months following the date that Eric S.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Other Matters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Preferred Stock</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32406B"/>
        </w:rPr>
        <w:t>As of January 31, 2019, there were 152,665,804 shares of preferred stock outstanding. Immediately upon the completion of this offering, each outstanding share of preferred stock will convert into one share of Class B common stock.</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Upon the completion of this offering, 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Options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As of January 31, 2019, we had outstanding options under our equity compensation plans to purchase an aggregate of 35,064,465 shares of our Class B common stock, with a weighted-average exercise price of $1.48 per share.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126</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Registration Rights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32406B"/>
        </w:rPr>
        <w:t>We are party to an amended and restated investors’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Demand Registration Rights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The holders of an aggregate of 156,171,668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Piggyback Registration Rights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In connection with this offering, the holders of an aggregate of 209,264,532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and the shares to be sold in the concurrent private placement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 (iii) 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Form S-3 Registration Rights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The holders of an aggregate of 156,171,668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Anti-Takeover Effects of Delaware Law and Our Certificate of Incorporation and Bylaws</w:t>
      </w:r>
    </w:p>
    <w:p>
      <w:pPr>
        <w:spacing w:after="0" w:line="12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32406B"/>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80"/>
        <w:spacing w:after="0" w:line="264" w:lineRule="auto"/>
        <w:rPr>
          <w:sz w:val="20"/>
          <w:szCs w:val="20"/>
          <w:color w:val="auto"/>
        </w:rPr>
      </w:pPr>
      <w:r>
        <w:rPr>
          <w:rFonts w:ascii="Arial" w:cs="Arial" w:eastAsia="Arial" w:hAnsi="Arial"/>
          <w:sz w:val="18"/>
          <w:szCs w:val="18"/>
          <w:color w:val="32406B"/>
        </w:rPr>
        <w:t>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32406B"/>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Dual Class Stock</w:t>
      </w:r>
    </w:p>
    <w:p>
      <w:pPr>
        <w:spacing w:after="0" w:line="11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32406B"/>
        </w:rPr>
        <w:t>As described above in “—Class A and Class B Common Stock—Voting Rights,”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Stockholder Meetings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Our amended and restated bylaws will provide that a special meeting of stockholders may be called only by our chairperson of the board, chief executive officer, or by a resolution adopted by a majority of our board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Requirements for Advance Notification of Stockholder Nominations and Proposals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32406B"/>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Elimination of Stockholder Action by Written Consent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Our amended and restated certificate of incorporation and amended and restated bylaws will eliminate the right of stockholders to act by written consent without a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Staggered Board</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Our board of directors will be divided into three classes. The directors in each class will serve for a three-year term, one class being elected each year by our stockholders. For more information on the classified board, see “Management—Composition of our Board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Removal of Directors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32406B"/>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128</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Stockholders Not Entitled to Cumulative Voting</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Delaware Anti-Takeover Statute</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32406B"/>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Choice of Forum</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Our amended and restated certificate of incorporation will provide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Amendment of Charter Provisions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32406B"/>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Transfer Agent and Registrar</w:t>
      </w:r>
    </w:p>
    <w:p>
      <w:pPr>
        <w:spacing w:after="0" w:line="121" w:lineRule="exact"/>
        <w:rPr>
          <w:sz w:val="20"/>
          <w:szCs w:val="20"/>
          <w:color w:val="auto"/>
        </w:rPr>
      </w:pPr>
    </w:p>
    <w:p>
      <w:pPr>
        <w:ind w:left="200" w:right="1100" w:firstLine="441"/>
        <w:spacing w:after="0" w:line="342" w:lineRule="auto"/>
        <w:rPr>
          <w:sz w:val="20"/>
          <w:szCs w:val="20"/>
          <w:color w:val="auto"/>
        </w:rPr>
      </w:pPr>
      <w:r>
        <w:rPr>
          <w:rFonts w:ascii="Arial" w:cs="Arial" w:eastAsia="Arial" w:hAnsi="Arial"/>
          <w:sz w:val="16"/>
          <w:szCs w:val="16"/>
          <w:color w:val="32406B"/>
        </w:rPr>
        <w:t>Upon completion of this offering, the transfer agent and registrar for our Class A common stock and Class B common stock will be Computershare Trust Company, N.A. The transfer agent and registrar’s address is 250 Royall Street, Canton, Massachusetts 02021.</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Exchange Listing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Our Class A common stock is currently not listed on any securities exchange. We have been approved to have our Class A common stock listed on The Nasdaq Global Select Market under the symbol “ZM.”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130</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SHARES ELIGIBLE FOR FUTURE SALE</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been approved to have our Class A common stock listed on The Nasdaq Global Select Market, we cannot assure you that there will be an active public market for our Class A common stock.</w:t>
      </w:r>
    </w:p>
    <w:p>
      <w:pPr>
        <w:spacing w:after="0" w:line="18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32406B"/>
        </w:rPr>
        <w:t>Following the completion of this offering and the concurrent private placement, based on the number of shares of our Class A common stock and Class B common stock outstanding as of January 31, 2019 and assuming (i) the issuance of shares of Class A common stock in this offering, (ii) the conversion of all outstanding shares of our convertible preferred stock into 152,665,804 shares of Class B common stock, which will automatically occur immediately prior to the completion of the offering, (iii) the conversion of 10,674,954 shares of Class B common stock into Class A common stock upon the sale of such shares by the selling stockholders, as well as the issuance of 283,177 shares of our Class B common stock and the subsequent conversion of such shares into an equivalent number of shares of our Class A common stock upon the exercise of options held by certain selling stockholders in connection with the sale of such shares by such selling stockholders in this offering and (iv) no exercise of the underwriters’ over-allotment option, we will have outstanding an aggregate of approximately 24,070,086 shares of Class A common stock and 232,318,285 shares of Class B common stock.</w:t>
      </w:r>
    </w:p>
    <w:p>
      <w:pPr>
        <w:spacing w:after="0" w:line="182"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32406B"/>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4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32406B"/>
        </w:rPr>
        <w:t>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In addition, of the 35,064,465 shares of our Class B common stock that were subject to stock options outstanding as of January 31, 2019, of which options to purchase 19,132,388 shares of Class B common stock were vested as of such date, upon exercise, these shares will be eligible for sale subject to the lock–up agreements described below and Rules 144 and 701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Lock-Up Agreements and Market Standoff Provisions</w:t>
      </w:r>
    </w:p>
    <w:p>
      <w:pPr>
        <w:spacing w:after="0" w:line="121"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32406B"/>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131</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The shares sold in the concurrent private placement to Salesforce Ventures LLC will be subject to a market standoff agreement with us for a period of up to 365 days after the date of this prospectus and will be subject to a lock-up agreement with the underwriters for a period of 180 days after the date of this prospectus.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Upon expiration of the lock-up period, certain of our stockholders will have the right to require us to register their shares under the Securities Act. See “—Registration Rights” below and “Description of Capital Stock—Registration Rights.”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Upon the expiration of the lock-up period, substantially all of the shares subject to such lock-up restrictions will become eligible for sale, subject to the limitations discussed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Affiliate Resales of Restricted Securities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pacing w:after="0" w:line="92" w:lineRule="exact"/>
        <w:rPr>
          <w:sz w:val="20"/>
          <w:szCs w:val="20"/>
          <w:color w:val="auto"/>
        </w:rPr>
      </w:pPr>
    </w:p>
    <w:p>
      <w:pPr>
        <w:ind w:left="1060" w:right="300" w:hanging="424"/>
        <w:spacing w:after="0" w:line="277" w:lineRule="auto"/>
        <w:tabs>
          <w:tab w:leader="none" w:pos="1060" w:val="left"/>
        </w:tabs>
        <w:numPr>
          <w:ilvl w:val="0"/>
          <w:numId w:val="83"/>
        </w:numPr>
        <w:rPr>
          <w:rFonts w:ascii="Arial" w:cs="Arial" w:eastAsia="Arial" w:hAnsi="Arial"/>
          <w:sz w:val="18"/>
          <w:szCs w:val="18"/>
          <w:color w:val="32406B"/>
        </w:rPr>
      </w:pPr>
      <w:r>
        <w:rPr>
          <w:rFonts w:ascii="Arial" w:cs="Arial" w:eastAsia="Arial" w:hAnsi="Arial"/>
          <w:sz w:val="18"/>
          <w:szCs w:val="18"/>
          <w:color w:val="32406B"/>
        </w:rPr>
        <w:t>1% of the number of shares of our Class A common stock then outstanding, which will equal approximately 240,701 shares immediately after this offering and the concurrent private placement; or</w:t>
      </w:r>
    </w:p>
    <w:p>
      <w:pPr>
        <w:spacing w:after="0" w:line="75" w:lineRule="exact"/>
        <w:rPr>
          <w:rFonts w:ascii="Arial" w:cs="Arial" w:eastAsia="Arial" w:hAnsi="Arial"/>
          <w:sz w:val="18"/>
          <w:szCs w:val="18"/>
          <w:color w:val="32406B"/>
        </w:rPr>
      </w:pPr>
    </w:p>
    <w:p>
      <w:pPr>
        <w:ind w:left="1060" w:right="460" w:hanging="424"/>
        <w:spacing w:after="0" w:line="277" w:lineRule="auto"/>
        <w:tabs>
          <w:tab w:leader="none" w:pos="1060" w:val="left"/>
        </w:tabs>
        <w:numPr>
          <w:ilvl w:val="0"/>
          <w:numId w:val="83"/>
        </w:numPr>
        <w:rPr>
          <w:rFonts w:ascii="Arial" w:cs="Arial" w:eastAsia="Arial" w:hAnsi="Arial"/>
          <w:sz w:val="18"/>
          <w:szCs w:val="18"/>
          <w:color w:val="32406B"/>
        </w:rPr>
      </w:pPr>
      <w:r>
        <w:rPr>
          <w:rFonts w:ascii="Arial" w:cs="Arial" w:eastAsia="Arial" w:hAnsi="Arial"/>
          <w:sz w:val="18"/>
          <w:szCs w:val="18"/>
          <w:color w:val="32406B"/>
        </w:rPr>
        <w:t>the average weekly trading volume in our Class A common stock on The Nasdaq Global Select Market during the four calendar weeks preceding the filing of a notice on Form 144 with respect to such sale.</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concurrently with either the placing of a sale order with the broker or the execution of a sale directly with a market maker.</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Non-Affiliate Resales of Restricted Securities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32406B"/>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Non-affiliate resales are not subject to the manner of sale, volume limitation or notice filing provisions of Rule 144.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Rule 701</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32406B"/>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132</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32406B"/>
        </w:rPr>
        <w:t>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Form S-8 Registration Statement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32406B"/>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Registration Rights</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32406B"/>
        </w:rPr>
        <w:t>As of January 31, 2019, holders of up to 209,264,532 shares of our Class B common stock, which includes all of the shares of Class B common stock issuable upon the automatic conversion of our convertible preferred stock immediately prior to the completion of this offering and the concurrent private placement,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133</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32406B"/>
        </w:rPr>
        <w:t>MATERIAL U.S. FEDERAL INCOME TAX CONSEQUENCES TO NON-U.S. HOLDERS OF OUR CLASS A COMMON STOCK</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certain former citizens or long-term residents of the United States;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partnerships or other pass-through entities (and investors therein);</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“controlled foreign corporations”;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“passive foreign investment companies”;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corporations that accumulate earnings to avoid U.S. federal income tax;</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banks, financial institutions, investment funds, insurance companies, brokers, dealers or traders in securities;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tax-exempt organizations and governmental organizations;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tax-qualified retirement plans;</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persons subject to special tax accounting rules under Section 451(b) of the Code;</w:t>
      </w:r>
    </w:p>
    <w:p>
      <w:pPr>
        <w:spacing w:after="0" w:line="130" w:lineRule="exact"/>
        <w:rPr>
          <w:rFonts w:ascii="Arial" w:cs="Arial" w:eastAsia="Arial" w:hAnsi="Arial"/>
          <w:sz w:val="18"/>
          <w:szCs w:val="18"/>
          <w:color w:val="32406B"/>
        </w:rPr>
      </w:pPr>
    </w:p>
    <w:p>
      <w:pPr>
        <w:ind w:left="1060" w:right="980" w:hanging="424"/>
        <w:spacing w:after="0" w:line="277" w:lineRule="auto"/>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persons who hold or receive our Class A common stock pursuant to the exercise of any employee stock option or otherwise as compensation;</w:t>
      </w:r>
    </w:p>
    <w:p>
      <w:pPr>
        <w:spacing w:after="0" w:line="75" w:lineRule="exact"/>
        <w:rPr>
          <w:rFonts w:ascii="Arial" w:cs="Arial" w:eastAsia="Arial" w:hAnsi="Arial"/>
          <w:sz w:val="18"/>
          <w:szCs w:val="18"/>
          <w:color w:val="32406B"/>
        </w:rPr>
      </w:pPr>
    </w:p>
    <w:p>
      <w:pPr>
        <w:ind w:left="1060" w:right="100" w:hanging="424"/>
        <w:spacing w:after="0" w:line="277" w:lineRule="auto"/>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persons that own, or have owned, actually or constructively, more than 5% of our Class A common stock;</w:t>
      </w:r>
    </w:p>
    <w:p>
      <w:pPr>
        <w:spacing w:after="0" w:line="130" w:lineRule="exact"/>
        <w:rPr>
          <w:rFonts w:ascii="Arial" w:cs="Arial" w:eastAsia="Arial" w:hAnsi="Arial"/>
          <w:sz w:val="18"/>
          <w:szCs w:val="18"/>
          <w:color w:val="32406B"/>
        </w:rPr>
      </w:pPr>
    </w:p>
    <w:p>
      <w:pPr>
        <w:ind w:left="1060" w:hanging="424"/>
        <w:spacing w:after="0"/>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persons who have elected to mark securities to market; and</w:t>
      </w:r>
    </w:p>
    <w:p>
      <w:pPr>
        <w:spacing w:after="0" w:line="130" w:lineRule="exact"/>
        <w:rPr>
          <w:rFonts w:ascii="Arial" w:cs="Arial" w:eastAsia="Arial" w:hAnsi="Arial"/>
          <w:sz w:val="18"/>
          <w:szCs w:val="18"/>
          <w:color w:val="32406B"/>
        </w:rPr>
      </w:pPr>
    </w:p>
    <w:p>
      <w:pPr>
        <w:ind w:left="1060" w:right="200" w:hanging="424"/>
        <w:spacing w:after="0" w:line="277" w:lineRule="auto"/>
        <w:tabs>
          <w:tab w:leader="none" w:pos="106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32406B"/>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134</w:t>
      </w:r>
    </w:p>
    <w:p>
      <w:pPr>
        <w:sectPr>
          <w:pgSz w:w="11900" w:h="16838" w:orient="portrait"/>
          <w:cols w:equalWidth="0" w:num="1">
            <w:col w:w="11120"/>
          </w:cols>
          <w:pgMar w:left="240" w:top="459"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32406B"/>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7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color w:val="32406B"/>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Definition of Non-U.S. Holder</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32406B"/>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an individual who is a citizen or resident of the United States;</w:t>
      </w:r>
    </w:p>
    <w:p>
      <w:pPr>
        <w:spacing w:after="0" w:line="130" w:lineRule="exact"/>
        <w:rPr>
          <w:rFonts w:ascii="Arial" w:cs="Arial" w:eastAsia="Arial" w:hAnsi="Arial"/>
          <w:sz w:val="18"/>
          <w:szCs w:val="18"/>
          <w:color w:val="32406B"/>
        </w:rPr>
      </w:pPr>
    </w:p>
    <w:p>
      <w:pPr>
        <w:ind w:left="1060" w:right="100" w:hanging="424"/>
        <w:spacing w:after="0" w:line="277" w:lineRule="auto"/>
        <w:tabs>
          <w:tab w:leader="none" w:pos="106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an estate, the income of which is subject to U.S. federal income tax regardless of its source; or</w:t>
      </w:r>
    </w:p>
    <w:p>
      <w:pPr>
        <w:spacing w:after="0" w:line="130" w:lineRule="exact"/>
        <w:rPr>
          <w:rFonts w:ascii="Arial" w:cs="Arial" w:eastAsia="Arial" w:hAnsi="Arial"/>
          <w:sz w:val="18"/>
          <w:szCs w:val="18"/>
          <w:color w:val="32406B"/>
        </w:rPr>
      </w:pPr>
    </w:p>
    <w:p>
      <w:pPr>
        <w:ind w:left="1060" w:right="120" w:hanging="424"/>
        <w:spacing w:after="0" w:line="264" w:lineRule="auto"/>
        <w:tabs>
          <w:tab w:leader="none" w:pos="106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Distributions on Our Class A Common Stock</w:t>
      </w:r>
    </w:p>
    <w:p>
      <w:pPr>
        <w:spacing w:after="0" w:line="121"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32406B"/>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6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32406B"/>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135</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32406B"/>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32406B"/>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Non-U.S. holders should consult their tax advisors regarding any applicable income tax treaties that may provide for different rules.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Gain on Disposition of Our Class A Common Stock</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32406B"/>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60" w:right="420" w:hanging="424"/>
        <w:spacing w:after="0" w:line="264" w:lineRule="auto"/>
        <w:tabs>
          <w:tab w:leader="none" w:pos="106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6" w:lineRule="exact"/>
        <w:rPr>
          <w:rFonts w:ascii="Arial" w:cs="Arial" w:eastAsia="Arial" w:hAnsi="Arial"/>
          <w:sz w:val="18"/>
          <w:szCs w:val="18"/>
          <w:color w:val="32406B"/>
        </w:rPr>
      </w:pPr>
    </w:p>
    <w:p>
      <w:pPr>
        <w:ind w:left="1060" w:right="640" w:hanging="424"/>
        <w:spacing w:after="0" w:line="277" w:lineRule="auto"/>
        <w:tabs>
          <w:tab w:leader="none" w:pos="106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32406B"/>
        </w:rPr>
      </w:pPr>
    </w:p>
    <w:p>
      <w:pPr>
        <w:ind w:left="1060" w:right="40" w:hanging="424"/>
        <w:spacing w:after="0" w:line="279" w:lineRule="auto"/>
        <w:tabs>
          <w:tab w:leader="none" w:pos="1060" w:val="left"/>
        </w:tabs>
        <w:numPr>
          <w:ilvl w:val="0"/>
          <w:numId w:val="86"/>
        </w:numPr>
        <w:rPr>
          <w:rFonts w:ascii="Arial" w:cs="Arial" w:eastAsia="Arial" w:hAnsi="Arial"/>
          <w:sz w:val="17"/>
          <w:szCs w:val="17"/>
          <w:color w:val="32406B"/>
        </w:rPr>
      </w:pPr>
      <w:r>
        <w:rPr>
          <w:rFonts w:ascii="Arial" w:cs="Arial" w:eastAsia="Arial" w:hAnsi="Arial"/>
          <w:sz w:val="17"/>
          <w:szCs w:val="17"/>
          <w:color w:val="32406B"/>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32406B"/>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32406B"/>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136</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32406B"/>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Information Reporting and Backup Withholding</w:t>
      </w:r>
    </w:p>
    <w:p>
      <w:pPr>
        <w:spacing w:after="0" w:line="121"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32406B"/>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Withholding on Foreign Entities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32406B"/>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issued proposed regulations (the preamble to which specifies that taxpayers are permitted to rely on such proposed regulations pending finalization), no withholding would apply with respect to payments of gross proceeds.</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137</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UNDERWRITERS</w:t>
      </w:r>
    </w:p>
    <w:p>
      <w:pPr>
        <w:spacing w:after="0" w:line="22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32406B"/>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32406B"/>
                <w:w w:val="94"/>
              </w:rPr>
              <w:t>Number of</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Shares</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Morgan Stanley &amp; Co. LLC</w:t>
            </w:r>
          </w:p>
        </w:tc>
        <w:tc>
          <w:tcPr>
            <w:tcW w:w="4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6,260,870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2406B"/>
              </w:rPr>
              <w:t>J. P. Morgan Securities LLC</w:t>
            </w:r>
          </w:p>
        </w:tc>
        <w:tc>
          <w:tcPr>
            <w:tcW w:w="4500" w:type="dxa"/>
            <w:vAlign w:val="bottom"/>
            <w:gridSpan w:val="4"/>
          </w:tcPr>
          <w:p>
            <w:pPr>
              <w:jc w:val="right"/>
              <w:spacing w:after="0"/>
              <w:rPr>
                <w:sz w:val="20"/>
                <w:szCs w:val="20"/>
                <w:color w:val="auto"/>
              </w:rPr>
            </w:pPr>
            <w:r>
              <w:rPr>
                <w:rFonts w:ascii="Arial" w:cs="Arial" w:eastAsia="Arial" w:hAnsi="Arial"/>
                <w:sz w:val="18"/>
                <w:szCs w:val="18"/>
                <w:color w:val="32406B"/>
              </w:rPr>
              <w:t>4,173,913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Goldman Sachs &amp; Co. LLC</w:t>
            </w:r>
          </w:p>
        </w:tc>
        <w:tc>
          <w:tcPr>
            <w:tcW w:w="4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4,173,913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2406B"/>
              </w:rPr>
              <w:t>Credit Suisse Securities (USA) LLC</w:t>
            </w:r>
          </w:p>
        </w:tc>
        <w:tc>
          <w:tcPr>
            <w:tcW w:w="4500" w:type="dxa"/>
            <w:vAlign w:val="bottom"/>
            <w:gridSpan w:val="4"/>
          </w:tcPr>
          <w:p>
            <w:pPr>
              <w:jc w:val="right"/>
              <w:spacing w:after="0"/>
              <w:rPr>
                <w:sz w:val="20"/>
                <w:szCs w:val="20"/>
                <w:color w:val="auto"/>
              </w:rPr>
            </w:pPr>
            <w:r>
              <w:rPr>
                <w:rFonts w:ascii="Arial" w:cs="Arial" w:eastAsia="Arial" w:hAnsi="Arial"/>
                <w:sz w:val="18"/>
                <w:szCs w:val="18"/>
                <w:color w:val="32406B"/>
              </w:rPr>
              <w:t>1,826,087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Merrill Lynch, Pierce, Fenner &amp; Smith</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32406B"/>
              </w:rPr>
              <w:t>Incorporated</w:t>
            </w:r>
          </w:p>
        </w:tc>
        <w:tc>
          <w:tcPr>
            <w:tcW w:w="4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991,304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2406B"/>
              </w:rPr>
              <w:t>RBC Capital Markets, LLC</w:t>
            </w:r>
          </w:p>
        </w:tc>
        <w:tc>
          <w:tcPr>
            <w:tcW w:w="4500" w:type="dxa"/>
            <w:vAlign w:val="bottom"/>
            <w:gridSpan w:val="4"/>
          </w:tcPr>
          <w:p>
            <w:pPr>
              <w:jc w:val="right"/>
              <w:spacing w:after="0"/>
              <w:rPr>
                <w:sz w:val="20"/>
                <w:szCs w:val="20"/>
                <w:color w:val="auto"/>
              </w:rPr>
            </w:pPr>
            <w:r>
              <w:rPr>
                <w:rFonts w:ascii="Arial" w:cs="Arial" w:eastAsia="Arial" w:hAnsi="Arial"/>
                <w:sz w:val="18"/>
                <w:szCs w:val="18"/>
                <w:color w:val="32406B"/>
              </w:rPr>
              <w:t>991,304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Wells Fargo Securities, LLC</w:t>
            </w:r>
          </w:p>
        </w:tc>
        <w:tc>
          <w:tcPr>
            <w:tcW w:w="4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991,304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2406B"/>
              </w:rPr>
              <w:t>JMP Securities LLC</w:t>
            </w:r>
          </w:p>
        </w:tc>
        <w:tc>
          <w:tcPr>
            <w:tcW w:w="4500" w:type="dxa"/>
            <w:vAlign w:val="bottom"/>
            <w:gridSpan w:val="4"/>
          </w:tcPr>
          <w:p>
            <w:pPr>
              <w:jc w:val="right"/>
              <w:spacing w:after="0"/>
              <w:rPr>
                <w:sz w:val="20"/>
                <w:szCs w:val="20"/>
                <w:color w:val="auto"/>
              </w:rPr>
            </w:pPr>
            <w:r>
              <w:rPr>
                <w:rFonts w:ascii="Arial" w:cs="Arial" w:eastAsia="Arial" w:hAnsi="Arial"/>
                <w:sz w:val="18"/>
                <w:szCs w:val="18"/>
                <w:color w:val="32406B"/>
              </w:rPr>
              <w:t>292,174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KeyBanc Capital Markets Inc.</w:t>
            </w:r>
          </w:p>
        </w:tc>
        <w:tc>
          <w:tcPr>
            <w:tcW w:w="4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292,174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32406B"/>
              </w:rPr>
              <w:t>Piper Jaffray &amp; Co.</w:t>
            </w:r>
          </w:p>
        </w:tc>
        <w:tc>
          <w:tcPr>
            <w:tcW w:w="4500" w:type="dxa"/>
            <w:vAlign w:val="bottom"/>
            <w:gridSpan w:val="4"/>
          </w:tcPr>
          <w:p>
            <w:pPr>
              <w:jc w:val="right"/>
              <w:spacing w:after="0"/>
              <w:rPr>
                <w:sz w:val="20"/>
                <w:szCs w:val="20"/>
                <w:color w:val="auto"/>
              </w:rPr>
            </w:pPr>
            <w:r>
              <w:rPr>
                <w:rFonts w:ascii="Arial" w:cs="Arial" w:eastAsia="Arial" w:hAnsi="Arial"/>
                <w:sz w:val="18"/>
                <w:szCs w:val="18"/>
                <w:color w:val="32406B"/>
              </w:rPr>
              <w:t>292,174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Stifel, Nicolaus &amp; Company, Incorporated</w:t>
            </w:r>
          </w:p>
        </w:tc>
        <w:tc>
          <w:tcPr>
            <w:tcW w:w="4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292,174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32406B"/>
              </w:rPr>
              <w:t>William Blair &amp; Company, L.L.C.</w:t>
            </w:r>
          </w:p>
        </w:tc>
        <w:tc>
          <w:tcPr>
            <w:tcW w:w="3580" w:type="dxa"/>
            <w:vAlign w:val="bottom"/>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32406B"/>
              </w:rPr>
              <w:t>292,174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Total:</w:t>
            </w:r>
          </w:p>
        </w:tc>
        <w:tc>
          <w:tcPr>
            <w:tcW w:w="4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20,869,565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The underwriters and the representatives are collectively referred to as the “underwriters” and the “representatives,” respectively. The underwriters are offering the shares of Class A common stock subject to their receipt and acceptance of the shares from us and the selling stockholders and subject to prior sale and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9"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32406B"/>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We have granted to the underwriters an option, exercisable for 30 days from the date of this prospectus, to purchase up to 3,130,435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32406B"/>
        </w:rPr>
        <w:t>The following table shows the per share and total public offering price, underwriting discounts and commissions, and proceeds before expenses to us and the selling stockholders. These amounts are shown assuming both no exercise and full exercise of the underwriters’ over-allotment option.</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32406B"/>
              </w:rPr>
              <w:t>Per Share</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32406B"/>
              </w:rPr>
              <w:t>Total</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32406B"/>
                <w:w w:val="92"/>
              </w:rPr>
              <w:t>No Exercise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32406B"/>
                <w:w w:val="92"/>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36.00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751,304,340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864,000,000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32406B"/>
              </w:rPr>
              <w:t>Underwriting discounts and commissions to be paid by:</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Us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17,840,581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23,475,364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32406B"/>
              </w:rPr>
              <w:t>The selling stockholders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460" w:type="dxa"/>
            <w:vAlign w:val="bottom"/>
          </w:tcPr>
          <w:p>
            <w:pPr>
              <w:jc w:val="right"/>
              <w:spacing w:after="0"/>
              <w:rPr>
                <w:sz w:val="20"/>
                <w:szCs w:val="20"/>
                <w:color w:val="auto"/>
              </w:rPr>
            </w:pPr>
            <w:r>
              <w:rPr>
                <w:rFonts w:ascii="Arial" w:cs="Arial" w:eastAsia="Arial" w:hAnsi="Arial"/>
                <w:sz w:val="18"/>
                <w:szCs w:val="18"/>
                <w:color w:val="32406B"/>
              </w:rPr>
              <w:t>1.80</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20" w:type="dxa"/>
            <w:vAlign w:val="bottom"/>
          </w:tcPr>
          <w:p>
            <w:pPr>
              <w:jc w:val="right"/>
              <w:spacing w:after="0"/>
              <w:rPr>
                <w:sz w:val="20"/>
                <w:szCs w:val="20"/>
                <w:color w:val="auto"/>
              </w:rPr>
            </w:pPr>
            <w:r>
              <w:rPr>
                <w:rFonts w:ascii="Arial" w:cs="Arial" w:eastAsia="Arial" w:hAnsi="Arial"/>
                <w:sz w:val="18"/>
                <w:szCs w:val="18"/>
                <w:color w:val="32406B"/>
                <w:w w:val="97"/>
              </w:rPr>
              <w:t>19,724,636</w:t>
            </w:r>
          </w:p>
        </w:tc>
        <w:tc>
          <w:tcPr>
            <w:tcW w:w="5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20" w:type="dxa"/>
            <w:vAlign w:val="bottom"/>
          </w:tcPr>
          <w:p>
            <w:pPr>
              <w:jc w:val="right"/>
              <w:spacing w:after="0"/>
              <w:rPr>
                <w:sz w:val="20"/>
                <w:szCs w:val="20"/>
                <w:color w:val="auto"/>
              </w:rPr>
            </w:pPr>
            <w:r>
              <w:rPr>
                <w:rFonts w:ascii="Arial" w:cs="Arial" w:eastAsia="Arial" w:hAnsi="Arial"/>
                <w:sz w:val="18"/>
                <w:szCs w:val="18"/>
                <w:color w:val="32406B"/>
                <w:w w:val="99"/>
              </w:rPr>
              <w:t>19,724,636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us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34.20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338,971,043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446,031,920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32406B"/>
              </w:rPr>
              <w:t>Proceeds, before expenses, to the selling stockholders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34.20</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20" w:type="dxa"/>
            <w:vAlign w:val="bottom"/>
          </w:tcPr>
          <w:p>
            <w:pPr>
              <w:jc w:val="right"/>
              <w:spacing w:after="0"/>
              <w:rPr>
                <w:sz w:val="20"/>
                <w:szCs w:val="20"/>
                <w:color w:val="auto"/>
              </w:rPr>
            </w:pPr>
            <w:r>
              <w:rPr>
                <w:rFonts w:ascii="Arial" w:cs="Arial" w:eastAsia="Arial" w:hAnsi="Arial"/>
                <w:sz w:val="18"/>
                <w:szCs w:val="18"/>
                <w:color w:val="32406B"/>
                <w:w w:val="87"/>
              </w:rPr>
              <w:t>374,768,080</w:t>
            </w:r>
          </w:p>
        </w:tc>
        <w:tc>
          <w:tcPr>
            <w:tcW w:w="5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20" w:type="dxa"/>
            <w:vAlign w:val="bottom"/>
          </w:tcPr>
          <w:p>
            <w:pPr>
              <w:jc w:val="right"/>
              <w:spacing w:after="0"/>
              <w:rPr>
                <w:sz w:val="20"/>
                <w:szCs w:val="20"/>
                <w:color w:val="auto"/>
              </w:rPr>
            </w:pPr>
            <w:r>
              <w:rPr>
                <w:rFonts w:ascii="Arial" w:cs="Arial" w:eastAsia="Arial" w:hAnsi="Arial"/>
                <w:sz w:val="18"/>
                <w:szCs w:val="18"/>
                <w:color w:val="32406B"/>
                <w:w w:val="89"/>
              </w:rPr>
              <w:t>374,768,080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32406B"/>
        </w:rPr>
        <w:t>The estimated expenses related to the offering and the concurrent private placement payable by us, exclusive of the underwriting discounts and commissions, are approximately $4.5 million. The underwriters have agreed to reimburse us for certain of these expenses. We have agreed to reimburse the underwriters for expenses relating to clearance of this offering with the Financial Industry Regulatory Authority (FINRA) up to $35,000.</w:t>
      </w:r>
    </w:p>
    <w:p>
      <w:pPr>
        <w:spacing w:after="0" w:line="14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have been approved to list our Class A common stock on The Nasdaq Global Select Market under the trading symbol “ZM”.</w:t>
      </w:r>
    </w:p>
    <w:p>
      <w:pPr>
        <w:spacing w:after="0" w:line="225"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32406B"/>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87" w:lineRule="exact"/>
        <w:rPr>
          <w:sz w:val="20"/>
          <w:szCs w:val="20"/>
          <w:color w:val="auto"/>
        </w:rPr>
      </w:pPr>
    </w:p>
    <w:p>
      <w:pPr>
        <w:ind w:left="1060" w:right="60" w:hanging="424"/>
        <w:spacing w:after="0" w:line="312" w:lineRule="auto"/>
        <w:tabs>
          <w:tab w:leader="none" w:pos="1060" w:val="left"/>
        </w:tabs>
        <w:numPr>
          <w:ilvl w:val="0"/>
          <w:numId w:val="87"/>
        </w:numPr>
        <w:rPr>
          <w:rFonts w:ascii="Arial" w:cs="Arial" w:eastAsia="Arial" w:hAnsi="Arial"/>
          <w:sz w:val="16"/>
          <w:szCs w:val="16"/>
          <w:color w:val="32406B"/>
        </w:rPr>
      </w:pPr>
      <w:r>
        <w:rPr>
          <w:rFonts w:ascii="Arial" w:cs="Arial" w:eastAsia="Arial" w:hAnsi="Arial"/>
          <w:sz w:val="16"/>
          <w:szCs w:val="16"/>
          <w:color w:val="32406B"/>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52" w:lineRule="exact"/>
        <w:rPr>
          <w:rFonts w:ascii="Arial" w:cs="Arial" w:eastAsia="Arial" w:hAnsi="Arial"/>
          <w:sz w:val="16"/>
          <w:szCs w:val="16"/>
          <w:color w:val="32406B"/>
        </w:rPr>
      </w:pPr>
    </w:p>
    <w:p>
      <w:pPr>
        <w:ind w:left="1060" w:right="180" w:hanging="424"/>
        <w:spacing w:after="0" w:line="277" w:lineRule="auto"/>
        <w:tabs>
          <w:tab w:leader="none" w:pos="106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32406B"/>
        </w:rPr>
      </w:pPr>
    </w:p>
    <w:p>
      <w:pPr>
        <w:ind w:left="1060" w:right="280" w:hanging="424"/>
        <w:spacing w:after="0" w:line="277" w:lineRule="auto"/>
        <w:tabs>
          <w:tab w:leader="none" w:pos="106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32406B"/>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The shares sold in the concurrent private placement to Salesforce Ventures LLC will be subject to a market standoff agreement with us for a period of up to 365 days after the date of this prospectus and will be subject to a lock-up agreement with the underwriters for a period of 180 days after the date of this prospectus.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139</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restrictions described in the immediately preceding paragraph are subject to specified exceptions, including, without limitation, the following:</w:t>
      </w:r>
    </w:p>
    <w:p>
      <w:pPr>
        <w:spacing w:after="0" w:line="154" w:lineRule="exact"/>
        <w:rPr>
          <w:sz w:val="20"/>
          <w:szCs w:val="20"/>
          <w:color w:val="auto"/>
        </w:rPr>
      </w:pPr>
    </w:p>
    <w:p>
      <w:pPr>
        <w:ind w:left="1060" w:right="120" w:hanging="424"/>
        <w:spacing w:after="0" w:line="277" w:lineRule="auto"/>
        <w:tabs>
          <w:tab w:leader="none" w:pos="106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transfers of shares of common stock acquired in open market transactions after the completion of this offering provided that no filing under Section 16 of the Exchange Act would be required or voluntarily made;</w:t>
      </w:r>
    </w:p>
    <w:p>
      <w:pPr>
        <w:spacing w:after="0" w:line="75" w:lineRule="exact"/>
        <w:rPr>
          <w:rFonts w:ascii="Arial" w:cs="Arial" w:eastAsia="Arial" w:hAnsi="Arial"/>
          <w:sz w:val="18"/>
          <w:szCs w:val="18"/>
          <w:color w:val="32406B"/>
        </w:rPr>
      </w:pPr>
    </w:p>
    <w:p>
      <w:pPr>
        <w:ind w:left="1060" w:hanging="424"/>
        <w:spacing w:after="0"/>
        <w:tabs>
          <w:tab w:leader="none" w:pos="106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sales of shares of Class A common stock pursuant to the underwriting agreement;</w:t>
      </w:r>
    </w:p>
    <w:p>
      <w:pPr>
        <w:spacing w:after="0" w:line="130" w:lineRule="exact"/>
        <w:rPr>
          <w:rFonts w:ascii="Arial" w:cs="Arial" w:eastAsia="Arial" w:hAnsi="Arial"/>
          <w:sz w:val="18"/>
          <w:szCs w:val="18"/>
          <w:color w:val="32406B"/>
        </w:rPr>
      </w:pPr>
    </w:p>
    <w:p>
      <w:pPr>
        <w:ind w:left="1060" w:right="40" w:hanging="424"/>
        <w:spacing w:after="0" w:line="279" w:lineRule="auto"/>
        <w:tabs>
          <w:tab w:leader="none" w:pos="106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76" w:lineRule="exact"/>
        <w:rPr>
          <w:rFonts w:ascii="Arial" w:cs="Arial" w:eastAsia="Arial" w:hAnsi="Arial"/>
          <w:sz w:val="17"/>
          <w:szCs w:val="17"/>
          <w:color w:val="32406B"/>
        </w:rPr>
      </w:pPr>
    </w:p>
    <w:p>
      <w:pPr>
        <w:ind w:left="1060" w:right="20" w:hanging="424"/>
        <w:spacing w:after="0" w:line="276" w:lineRule="auto"/>
        <w:tabs>
          <w:tab w:leader="none" w:pos="106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77" w:lineRule="exact"/>
        <w:rPr>
          <w:rFonts w:ascii="Arial" w:cs="Arial" w:eastAsia="Arial" w:hAnsi="Arial"/>
          <w:sz w:val="17"/>
          <w:szCs w:val="17"/>
          <w:color w:val="32406B"/>
        </w:rPr>
      </w:pPr>
    </w:p>
    <w:p>
      <w:pPr>
        <w:ind w:left="1060" w:right="20" w:hanging="424"/>
        <w:spacing w:after="0" w:line="276" w:lineRule="auto"/>
        <w:tabs>
          <w:tab w:leader="none" w:pos="106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77" w:lineRule="exact"/>
        <w:rPr>
          <w:rFonts w:ascii="Arial" w:cs="Arial" w:eastAsia="Arial" w:hAnsi="Arial"/>
          <w:sz w:val="17"/>
          <w:szCs w:val="17"/>
          <w:color w:val="32406B"/>
        </w:rPr>
      </w:pPr>
    </w:p>
    <w:p>
      <w:pPr>
        <w:ind w:left="1060" w:hanging="424"/>
        <w:spacing w:after="0" w:line="283" w:lineRule="auto"/>
        <w:tabs>
          <w:tab w:leader="none" w:pos="1060" w:val="left"/>
        </w:tabs>
        <w:numPr>
          <w:ilvl w:val="0"/>
          <w:numId w:val="88"/>
        </w:numPr>
        <w:rPr>
          <w:rFonts w:ascii="Arial" w:cs="Arial" w:eastAsia="Arial" w:hAnsi="Arial"/>
          <w:sz w:val="16"/>
          <w:szCs w:val="16"/>
          <w:color w:val="32406B"/>
        </w:rPr>
      </w:pPr>
      <w:r>
        <w:rPr>
          <w:rFonts w:ascii="Arial" w:cs="Arial" w:eastAsia="Arial" w:hAnsi="Arial"/>
          <w:sz w:val="16"/>
          <w:szCs w:val="16"/>
          <w:color w:val="32406B"/>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w:t>
      </w:r>
    </w:p>
    <w:p>
      <w:pPr>
        <w:spacing w:after="0" w:line="1" w:lineRule="exact"/>
        <w:rPr>
          <w:rFonts w:ascii="Arial" w:cs="Arial" w:eastAsia="Arial" w:hAnsi="Arial"/>
          <w:sz w:val="16"/>
          <w:szCs w:val="16"/>
          <w:color w:val="32406B"/>
        </w:rPr>
      </w:pPr>
    </w:p>
    <w:p>
      <w:pPr>
        <w:ind w:left="1060" w:right="60"/>
        <w:spacing w:after="0" w:line="290" w:lineRule="auto"/>
        <w:rPr>
          <w:rFonts w:ascii="Arial" w:cs="Arial" w:eastAsia="Arial" w:hAnsi="Arial"/>
          <w:sz w:val="16"/>
          <w:szCs w:val="16"/>
          <w:color w:val="32406B"/>
        </w:rPr>
      </w:pPr>
      <w:r>
        <w:rPr>
          <w:rFonts w:ascii="Arial" w:cs="Arial" w:eastAsia="Arial" w:hAnsi="Arial"/>
          <w:sz w:val="17"/>
          <w:szCs w:val="17"/>
          <w:color w:val="32406B"/>
        </w:rPr>
        <w:t>(B)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424"/>
        <w:spacing w:after="0" w:line="272" w:lineRule="auto"/>
        <w:tabs>
          <w:tab w:leader="none" w:pos="1060" w:val="left"/>
        </w:tabs>
        <w:numPr>
          <w:ilvl w:val="0"/>
          <w:numId w:val="89"/>
        </w:numPr>
        <w:rPr>
          <w:rFonts w:ascii="Arial" w:cs="Arial" w:eastAsia="Arial" w:hAnsi="Arial"/>
          <w:sz w:val="17"/>
          <w:szCs w:val="17"/>
          <w:color w:val="32406B"/>
        </w:rPr>
      </w:pPr>
      <w:r>
        <w:rPr>
          <w:rFonts w:ascii="Arial" w:cs="Arial" w:eastAsia="Arial" w:hAnsi="Arial"/>
          <w:sz w:val="17"/>
          <w:szCs w:val="17"/>
          <w:color w:val="32406B"/>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 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83" w:lineRule="exact"/>
        <w:rPr>
          <w:rFonts w:ascii="Arial" w:cs="Arial" w:eastAsia="Arial" w:hAnsi="Arial"/>
          <w:sz w:val="17"/>
          <w:szCs w:val="17"/>
          <w:color w:val="32406B"/>
        </w:rPr>
      </w:pPr>
    </w:p>
    <w:p>
      <w:pPr>
        <w:ind w:left="1060" w:right="40" w:hanging="424"/>
        <w:spacing w:after="0" w:line="255" w:lineRule="auto"/>
        <w:tabs>
          <w:tab w:leader="none" w:pos="106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98" w:lineRule="exact"/>
        <w:rPr>
          <w:rFonts w:ascii="Arial" w:cs="Arial" w:eastAsia="Arial" w:hAnsi="Arial"/>
          <w:sz w:val="18"/>
          <w:szCs w:val="18"/>
          <w:color w:val="32406B"/>
        </w:rPr>
      </w:pPr>
    </w:p>
    <w:p>
      <w:pPr>
        <w:ind w:left="1060" w:right="40" w:hanging="424"/>
        <w:spacing w:after="0" w:line="257" w:lineRule="auto"/>
        <w:tabs>
          <w:tab w:leader="none" w:pos="106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93" w:lineRule="exact"/>
        <w:rPr>
          <w:rFonts w:ascii="Arial" w:cs="Arial" w:eastAsia="Arial" w:hAnsi="Arial"/>
          <w:sz w:val="18"/>
          <w:szCs w:val="18"/>
          <w:color w:val="32406B"/>
        </w:rPr>
      </w:pPr>
    </w:p>
    <w:p>
      <w:pPr>
        <w:ind w:left="1060" w:hanging="424"/>
        <w:spacing w:after="0" w:line="257" w:lineRule="auto"/>
        <w:tabs>
          <w:tab w:leader="none" w:pos="1060" w:val="left"/>
        </w:tabs>
        <w:numPr>
          <w:ilvl w:val="0"/>
          <w:numId w:val="89"/>
        </w:numPr>
        <w:rPr>
          <w:rFonts w:ascii="Arial" w:cs="Arial" w:eastAsia="Arial" w:hAnsi="Arial"/>
          <w:sz w:val="18"/>
          <w:szCs w:val="18"/>
          <w:color w:val="32406B"/>
        </w:rPr>
      </w:pPr>
      <w:r>
        <w:rPr>
          <w:rFonts w:ascii="Arial" w:cs="Arial" w:eastAsia="Arial" w:hAnsi="Arial"/>
          <w:sz w:val="18"/>
          <w:szCs w:val="18"/>
          <w:color w:val="32406B"/>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32406B"/>
        </w:rPr>
        <w:t xml:space="preserve">provided </w:t>
      </w:r>
      <w:r>
        <w:rPr>
          <w:rFonts w:ascii="Arial" w:cs="Arial" w:eastAsia="Arial" w:hAnsi="Arial"/>
          <w:sz w:val="18"/>
          <w:szCs w:val="18"/>
          <w:color w:val="32406B"/>
        </w:rPr>
        <w:t>that:</w:t>
      </w:r>
    </w:p>
    <w:p>
      <w:pPr>
        <w:spacing w:after="0" w:line="131" w:lineRule="exact"/>
        <w:rPr>
          <w:sz w:val="20"/>
          <w:szCs w:val="20"/>
          <w:color w:val="auto"/>
        </w:rPr>
      </w:pPr>
    </w:p>
    <w:p>
      <w:pPr>
        <w:ind w:left="1060" w:right="120" w:hanging="424"/>
        <w:spacing w:after="0" w:line="277" w:lineRule="auto"/>
        <w:tabs>
          <w:tab w:leader="none" w:pos="106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in the case of any transfer or distribution pursuant to the third through fifth bullets above, each donee, trustee, distributee or transferee shall sign and deliver a lock-up letter agreement; and</w:t>
      </w:r>
    </w:p>
    <w:p>
      <w:pPr>
        <w:spacing w:after="0" w:line="75" w:lineRule="exact"/>
        <w:rPr>
          <w:rFonts w:ascii="Arial" w:cs="Arial" w:eastAsia="Arial" w:hAnsi="Arial"/>
          <w:sz w:val="18"/>
          <w:szCs w:val="18"/>
          <w:color w:val="32406B"/>
        </w:rPr>
      </w:pPr>
    </w:p>
    <w:p>
      <w:pPr>
        <w:ind w:left="1060" w:right="200" w:hanging="424"/>
        <w:spacing w:after="0" w:line="264" w:lineRule="auto"/>
        <w:tabs>
          <w:tab w:leader="none" w:pos="106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8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32406B"/>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141</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32406B"/>
        </w:rPr>
        <w:t>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9"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32406B"/>
        </w:rPr>
        <w:t>We, the selling stockholders and the underwriters have agreed to indemnify each other against certain liabilities, including liabilities under the Securities Act.</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32406B"/>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Pricing of the Offering</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Prior to this offering, there has been no public market for our Class A common stock. The initial public offering price was determined by negotiations between us, the selling stockholders and the representatives. Among the factors considered in determining the initial public offering price was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142</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European Economic Area</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the Prospectus Directive;</w:t>
      </w:r>
    </w:p>
    <w:p>
      <w:pPr>
        <w:spacing w:after="0" w:line="130" w:lineRule="exact"/>
        <w:rPr>
          <w:rFonts w:ascii="Arial" w:cs="Arial" w:eastAsia="Arial" w:hAnsi="Arial"/>
          <w:sz w:val="18"/>
          <w:szCs w:val="18"/>
          <w:color w:val="32406B"/>
        </w:rPr>
      </w:pPr>
    </w:p>
    <w:p>
      <w:pPr>
        <w:ind w:left="1060" w:hanging="310"/>
        <w:spacing w:after="0" w:line="264" w:lineRule="auto"/>
        <w:tabs>
          <w:tab w:leader="none" w:pos="1060"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32406B"/>
        </w:rPr>
      </w:pPr>
    </w:p>
    <w:p>
      <w:pPr>
        <w:ind w:left="1060" w:right="20" w:hanging="299"/>
        <w:spacing w:after="0" w:line="342" w:lineRule="auto"/>
        <w:tabs>
          <w:tab w:leader="none" w:pos="1060" w:val="left"/>
        </w:tabs>
        <w:numPr>
          <w:ilvl w:val="0"/>
          <w:numId w:val="91"/>
        </w:numPr>
        <w:rPr>
          <w:rFonts w:ascii="Arial" w:cs="Arial" w:eastAsia="Arial" w:hAnsi="Arial"/>
          <w:sz w:val="16"/>
          <w:szCs w:val="16"/>
          <w:color w:val="32406B"/>
        </w:rPr>
      </w:pPr>
      <w:r>
        <w:rPr>
          <w:rFonts w:ascii="Arial" w:cs="Arial" w:eastAsia="Arial" w:hAnsi="Arial"/>
          <w:sz w:val="16"/>
          <w:szCs w:val="16"/>
          <w:color w:val="32406B"/>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32406B"/>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82"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32406B"/>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32406B"/>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143</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Each underwriter has represented and agreed that:</w:t>
      </w:r>
    </w:p>
    <w:p>
      <w:pPr>
        <w:spacing w:after="0" w:line="131" w:lineRule="exact"/>
        <w:rPr>
          <w:sz w:val="20"/>
          <w:szCs w:val="20"/>
          <w:color w:val="auto"/>
        </w:rPr>
      </w:pPr>
    </w:p>
    <w:p>
      <w:pPr>
        <w:ind w:left="1060" w:right="100" w:hanging="299"/>
        <w:spacing w:after="0" w:line="259" w:lineRule="auto"/>
        <w:tabs>
          <w:tab w:leader="none" w:pos="106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32406B"/>
        </w:rPr>
      </w:pPr>
    </w:p>
    <w:p>
      <w:pPr>
        <w:ind w:left="1060" w:right="180" w:hanging="310"/>
        <w:spacing w:after="0" w:line="277" w:lineRule="auto"/>
        <w:tabs>
          <w:tab w:leader="none" w:pos="106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Canada</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32406B"/>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32406B"/>
        </w:rPr>
        <w:t>Prospectus Exemptions</w:t>
      </w:r>
      <w:r>
        <w:rPr>
          <w:rFonts w:ascii="Arial" w:cs="Arial" w:eastAsia="Arial" w:hAnsi="Arial"/>
          <w:sz w:val="18"/>
          <w:szCs w:val="18"/>
          <w:color w:val="32406B"/>
        </w:rPr>
        <w:t xml:space="preserve"> or subsection 73.3(1) of the </w:t>
      </w:r>
      <w:r>
        <w:rPr>
          <w:rFonts w:ascii="Arial" w:cs="Arial" w:eastAsia="Arial" w:hAnsi="Arial"/>
          <w:sz w:val="18"/>
          <w:szCs w:val="18"/>
          <w:i w:val="1"/>
          <w:iCs w:val="1"/>
          <w:color w:val="32406B"/>
        </w:rPr>
        <w:t>Securities Act</w:t>
      </w:r>
      <w:r>
        <w:rPr>
          <w:rFonts w:ascii="Arial" w:cs="Arial" w:eastAsia="Arial" w:hAnsi="Arial"/>
          <w:sz w:val="18"/>
          <w:szCs w:val="18"/>
          <w:color w:val="32406B"/>
        </w:rPr>
        <w:t xml:space="preserve"> (Ontario), and are permitted clients, as defined in National Instrument 31-103 </w:t>
      </w:r>
      <w:r>
        <w:rPr>
          <w:rFonts w:ascii="Arial" w:cs="Arial" w:eastAsia="Arial" w:hAnsi="Arial"/>
          <w:sz w:val="18"/>
          <w:szCs w:val="18"/>
          <w:i w:val="1"/>
          <w:iCs w:val="1"/>
          <w:color w:val="32406B"/>
        </w:rPr>
        <w:t>Registration Requirements, Exemptions and Ongoing Registrant Obligations</w:t>
      </w:r>
      <w:r>
        <w:rPr>
          <w:rFonts w:ascii="Arial" w:cs="Arial" w:eastAsia="Arial" w:hAnsi="Arial"/>
          <w:sz w:val="18"/>
          <w:szCs w:val="18"/>
          <w:color w:val="32406B"/>
        </w:rPr>
        <w:t>. Any resale of the shares of Class A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32406B"/>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32406B"/>
        </w:rPr>
        <w:t>Underwriting Conflicts</w:t>
      </w:r>
      <w:r>
        <w:rPr>
          <w:rFonts w:ascii="Arial" w:cs="Arial" w:eastAsia="Arial" w:hAnsi="Arial"/>
          <w:sz w:val="18"/>
          <w:szCs w:val="18"/>
          <w:color w:val="32406B"/>
        </w:rPr>
        <w:t xml:space="preserve">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32406B"/>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Singapore</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144</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32406B"/>
        </w:rPr>
        <w:t>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5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32406B"/>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Japan</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32406B"/>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For Qualified Institutional Investors (QII)</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For Non-QII Investors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Australia</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No placement document, prospectus, product disclosure statement, or other disclosure document has been lodged with the Australian Securities and Investments Commission (ASIC) in relation to this offering. This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145</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32406B"/>
        </w:rPr>
        <w:t>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32406B"/>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8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32406B"/>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Dubai International Financial Centre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32406B"/>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32406B"/>
        </w:rPr>
        <w:t>Switzerland</w:t>
      </w:r>
    </w:p>
    <w:p>
      <w:pPr>
        <w:spacing w:after="0" w:line="11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32406B"/>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32406B"/>
        </w:rPr>
        <w:t>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32406B"/>
        </w:rPr>
        <w:t>147</w:t>
      </w:r>
    </w:p>
    <w:p>
      <w:pPr>
        <w:sectPr>
          <w:pgSz w:w="11900" w:h="16838" w:orient="portrait"/>
          <w:cols w:equalWidth="0" w:num="1">
            <w:col w:w="11160"/>
          </w:cols>
          <w:pgMar w:left="24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CONCURRENT PRIVATE PLACEMENT</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32406B"/>
        </w:rPr>
        <w:t>Immediately subsequent to the closing of this offering, Salesforce Ventures LLC will purchase from us in a private placement 2,777,777 shares of our Class A common stock. We will receive the full proceeds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for a period of up to 365 days after the date of this prospectus and a lock-up agreement with the underwriters for a period of up to 180 days after the date of this prospectus.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LEGAL MATTERS</w:t>
      </w:r>
    </w:p>
    <w:p>
      <w:pPr>
        <w:spacing w:after="0" w:line="229"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32406B"/>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January 31, 2019.</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EXPERTS</w:t>
      </w:r>
    </w:p>
    <w:p>
      <w:pPr>
        <w:spacing w:after="0" w:line="229"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32406B"/>
        </w:rPr>
        <w:t>The consolidated financial statements as of January 31, 2019 and January 31, 2018 and for each of the years in the three-year period ended January 31, 2019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WHERE YOU CAN FIND MORE INFORMATION</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32406B"/>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You can read our SEC filings, including the registration statement, over the Internet at the SEC’s website at www.sec.gov.</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32406B"/>
        </w:rPr>
        <w:t>Upon the completion of this offering, we will be subject to the information reporting requirements of the Securities Exchange Act of 1934 and we will file reports, proxy statements and other information with the SEC. We also maintain a website at https://zoom.com,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148</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ZOOM VIDEO COMMUNICATIONS,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8"/>
            <w:vMerge w:val="restart"/>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32406B"/>
            </w:tcBorders>
          </w:tcPr>
          <w:p>
            <w:pPr>
              <w:spacing w:after="0"/>
              <w:rPr>
                <w:sz w:val="20"/>
                <w:szCs w:val="20"/>
                <w:color w:val="auto"/>
              </w:rPr>
            </w:pPr>
            <w:r>
              <w:rPr>
                <w:rFonts w:ascii="Arial" w:cs="Arial" w:eastAsia="Arial" w:hAnsi="Arial"/>
                <w:sz w:val="14"/>
                <w:szCs w:val="14"/>
                <w:b w:val="1"/>
                <w:bCs w:val="1"/>
                <w:color w:val="32406B"/>
                <w:w w:val="89"/>
              </w:rPr>
              <w:t>Page</w:t>
            </w:r>
          </w:p>
        </w:tc>
        <w:tc>
          <w:tcPr>
            <w:tcW w:w="0" w:type="dxa"/>
            <w:vAlign w:val="bottom"/>
          </w:tcPr>
          <w:p>
            <w:pPr>
              <w:spacing w:after="0"/>
              <w:rPr>
                <w:sz w:val="1"/>
                <w:szCs w:val="1"/>
                <w:color w:val="auto"/>
              </w:rPr>
            </w:pPr>
          </w:p>
        </w:tc>
      </w:tr>
      <w:tr>
        <w:trPr>
          <w:trHeight w:val="169"/>
        </w:trPr>
        <w:tc>
          <w:tcPr>
            <w:tcW w:w="10660" w:type="dxa"/>
            <w:vAlign w:val="bottom"/>
            <w:gridSpan w:val="8"/>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32406B"/>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Consolidated Statements of Operations</w:t>
              </w:r>
            </w:hyperlink>
          </w:p>
        </w:tc>
        <w:tc>
          <w:tcPr>
            <w:tcW w:w="7840" w:type="dxa"/>
            <w:vAlign w:val="bottom"/>
            <w:gridSpan w:val="6"/>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F-4</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Comprehensive Income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Consolidated Statements of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Consolidated Statements of Cash Flows</w:t>
              </w:r>
            </w:hyperlink>
          </w:p>
        </w:tc>
        <w:tc>
          <w:tcPr>
            <w:tcW w:w="3060" w:type="dxa"/>
            <w:vAlign w:val="bottom"/>
            <w:tcBorders>
              <w:top w:val="single" w:sz="8" w:color="0000EE"/>
            </w:tcBorders>
            <w:gridSpan w:val="4"/>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F-7</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32406B"/>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
          </w:tcPr>
          <w:p>
            <w:pPr>
              <w:ind w:left="1140"/>
              <w:spacing w:after="0"/>
              <w:rPr>
                <w:sz w:val="20"/>
                <w:szCs w:val="20"/>
                <w:color w:val="auto"/>
              </w:rPr>
            </w:pPr>
            <w:r>
              <w:rPr>
                <w:rFonts w:ascii="Arial" w:cs="Arial" w:eastAsia="Arial" w:hAnsi="Arial"/>
                <w:sz w:val="18"/>
                <w:szCs w:val="18"/>
                <w:color w:val="32406B"/>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32406B"/>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To the Stockholders and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Zoom Video Communications, Inc.: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Opinion on the Consolidated Financial Statements</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32406B"/>
        </w:rPr>
        <w:t>We have audited the accompanying consolidated balance sheets of Zoom Video Communications, Inc. and subsidiaries (the Company) as of January 31, 2019 and 2018, the related consolidated statements of operations, comprehensive income (loss), convertible preferred stock and stockholders’ deficit, and cash flows for each of the years in the three-year period ended January 31, 2019, and the related notes (collectively, the consolidated financial statements). In our opinion, the consolidated financial statements present fairly, in all material respects, the financial position of the Company as of January 31, 2019 and 2018, and the results of its operations and its cash flows for each of the years in the three-year period ended January 31, 2019, in conformity with U.S. generally accepted accounting principles.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Basis for Opinion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32406B"/>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32406B"/>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7520"/>
        <w:spacing w:after="0"/>
        <w:rPr>
          <w:sz w:val="20"/>
          <w:szCs w:val="20"/>
          <w:color w:val="auto"/>
        </w:rPr>
      </w:pPr>
      <w:r>
        <w:rPr>
          <w:rFonts w:ascii="Arial" w:cs="Arial" w:eastAsia="Arial" w:hAnsi="Arial"/>
          <w:sz w:val="18"/>
          <w:szCs w:val="18"/>
          <w:color w:val="32406B"/>
        </w:rPr>
        <w:t>/s/ KPMG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We have served as the Company’s auditor since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San Francisco, California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March 22, 2019</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F-2</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BALANCE SHEETS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(in thousands, except share and per share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32406B"/>
              </w:rPr>
              <w:t>As of January 31,</w:t>
            </w:r>
          </w:p>
        </w:tc>
        <w:tc>
          <w:tcPr>
            <w:tcW w:w="14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4"/>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32406B"/>
                <w:w w:val="91"/>
              </w:rPr>
              <w:t>as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32406B"/>
              </w:rPr>
              <w:t>2018</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32406B"/>
              </w:rPr>
              <w:t>2019</w:t>
            </w:r>
          </w:p>
        </w:tc>
        <w:tc>
          <w:tcPr>
            <w:tcW w:w="200" w:type="dxa"/>
            <w:vAlign w:val="bottom"/>
          </w:tcPr>
          <w:p>
            <w:pPr>
              <w:spacing w:after="0"/>
              <w:rPr>
                <w:sz w:val="10"/>
                <w:szCs w:val="10"/>
                <w:color w:val="auto"/>
              </w:rPr>
            </w:pPr>
          </w:p>
        </w:tc>
        <w:tc>
          <w:tcPr>
            <w:tcW w:w="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32406B"/>
              </w:rPr>
              <w:t>January 31,</w:t>
            </w:r>
          </w:p>
        </w:tc>
        <w:tc>
          <w:tcPr>
            <w:tcW w:w="0" w:type="dxa"/>
            <w:vAlign w:val="bottom"/>
          </w:tcPr>
          <w:p>
            <w:pPr>
              <w:spacing w:after="0"/>
              <w:rPr>
                <w:sz w:val="1"/>
                <w:szCs w:val="1"/>
                <w:color w:val="auto"/>
              </w:rPr>
            </w:pPr>
          </w:p>
        </w:tc>
      </w:tr>
      <w:tr>
        <w:trPr>
          <w:trHeight w:val="171"/>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Assets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32406B"/>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32406B"/>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32406B"/>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36,146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580" w:type="dxa"/>
            <w:vAlign w:val="bottom"/>
          </w:tcPr>
          <w:p>
            <w:pPr>
              <w:jc w:val="right"/>
              <w:spacing w:after="0"/>
              <w:rPr>
                <w:sz w:val="20"/>
                <w:szCs w:val="20"/>
                <w:color w:val="auto"/>
              </w:rPr>
            </w:pPr>
            <w:r>
              <w:rPr>
                <w:rFonts w:ascii="Arial" w:cs="Arial" w:eastAsia="Arial" w:hAnsi="Arial"/>
                <w:sz w:val="18"/>
                <w:szCs w:val="18"/>
                <w:color w:val="32406B"/>
              </w:rPr>
              <w:t>63,624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Marketable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103,056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112,777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32406B"/>
              </w:rPr>
              <w:t>Accounts receivable, net of allowances of $560 and $2,071 as of January 31, 2018 and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32406B"/>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24,526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63,613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Deferred contract acquisition costs, 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32406B"/>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5,546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10,252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183,162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276,719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32406B"/>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13,032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37,275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Deferred contract acquisition costs, 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32406B"/>
              </w:rPr>
              <w:t>Other assets, non-current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11,508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32406B"/>
              </w:rPr>
              <w:t>Liabilities, Convertible Preferred Stock and Stockholders’ (Deficit)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32406B"/>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2,723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580" w:type="dxa"/>
            <w:vAlign w:val="bottom"/>
          </w:tcPr>
          <w:p>
            <w:pPr>
              <w:jc w:val="right"/>
              <w:spacing w:after="0"/>
              <w:rPr>
                <w:sz w:val="20"/>
                <w:szCs w:val="20"/>
                <w:color w:val="auto"/>
              </w:rPr>
            </w:pPr>
            <w:r>
              <w:rPr>
                <w:rFonts w:ascii="Arial" w:cs="Arial" w:eastAsia="Arial" w:hAnsi="Arial"/>
                <w:sz w:val="18"/>
                <w:szCs w:val="18"/>
                <w:color w:val="32406B"/>
              </w:rPr>
              <w:t>4,963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Accrued expenses and other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32,256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32406B"/>
              </w:rPr>
              <w:t>Deferred revenue, 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50,351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6"/>
              </w:rPr>
              <w:t>115,122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152,341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32406B"/>
              </w:rPr>
              <w:t>Deferred revenue,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3,911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10,651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Other liabilities, 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39,460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32406B"/>
              </w:rPr>
              <w:t>Total Liabilities</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82,138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202,452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2"/>
              </w:rPr>
              <w:t>187,233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Commitments and contingencies (Note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32406B"/>
                <w:w w:val="90"/>
              </w:rPr>
              <w:t>Convertible preferred stock, $0.001 par value per share, 158,104,540 shares authorized as of January 31, 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32406B"/>
                <w:w w:val="95"/>
              </w:rPr>
              <w:t>and 2019, 152,665,804 issued and outstanding as of January 31, 2018 and 2019; aggregate liquidation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32406B"/>
              </w:rPr>
              <w:t>preference of $160,724 as of January 31, 2018 and 2019; no shares issued and outstanding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32406B"/>
              </w:rPr>
              <w:t>January 31, 2019, pro forma (unaudited)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w w:val="86"/>
              </w:rPr>
              <w:t>159,552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w w:val="86"/>
              </w:rPr>
              <w:t>159,552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Stockholders’ (deficit)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32406B"/>
                <w:w w:val="95"/>
              </w:rPr>
              <w:t>Common stock, $0.001 par value per share, 320,000,000 Class A shares authorized, zero, zero,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32406B"/>
                <w:w w:val="91"/>
              </w:rPr>
              <w:t>422,744 shares issued and outstanding as of January 31, 2018, 2019 and 2019 pro forma (unaudited),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32406B"/>
                <w:w w:val="91"/>
              </w:rPr>
              <w:t>respectively; 300,000,000 Class B shares authorized, 82,609,638, 90,327,435 and 242,993,239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32406B"/>
                <w:w w:val="95"/>
              </w:rPr>
              <w:t>issued and outstanding as of January 31, 2018, 2019 and 2019 pro forma (unaudited), respectively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89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2406B"/>
              </w:rPr>
              <w:t>242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17,760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192,378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32406B"/>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32406B"/>
              </w:rPr>
              <w:t>(531)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32406B"/>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32406B"/>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2"/>
              </w:rPr>
              <w:t>(32,737)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2"/>
              </w:rPr>
              <w:t>(25,153)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(25,153)</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32406B"/>
              </w:rPr>
              <w:t>Total Stockholders’ (Deficit) Equity</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(26,671)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8"/>
              </w:rPr>
              <w:t>(7,439)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2"/>
              </w:rPr>
              <w:t>167,332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32406B"/>
              </w:rPr>
              <w:t>Total Liabilities, Convertible Preferred Stock and Stockholders’ (Deficit)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OPERATIONS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(in thousands, except share and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32406B"/>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Revenue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60,817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151,478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330,517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Cost of revenue</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12,472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30,780</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Gross profit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120,698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269,516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32406B"/>
              </w:rPr>
              <w:t>Operating expenses: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Research and development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9,218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15,733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32406B"/>
              </w:rPr>
              <w:t>Sales and marketing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31,580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82,707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rPr>
              <w:t>185,821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General and administrative</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7,547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27,091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44,514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700"/>
              <w:spacing w:after="0"/>
              <w:rPr>
                <w:sz w:val="20"/>
                <w:szCs w:val="20"/>
                <w:color w:val="auto"/>
              </w:rPr>
            </w:pPr>
            <w:r>
              <w:rPr>
                <w:rFonts w:ascii="Arial" w:cs="Arial" w:eastAsia="Arial" w:hAnsi="Arial"/>
                <w:sz w:val="18"/>
                <w:szCs w:val="18"/>
                <w:color w:val="32406B"/>
              </w:rPr>
              <w:t>Total operating expenses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125,531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263,349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Income (loss)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(4,833)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32406B"/>
              </w:rPr>
              <w:t>Interest income, net</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98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1,241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net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32406B"/>
              </w:rPr>
              <w:t>Net income (loss) before provision for income taxes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158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(3,518)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rPr>
              <w:t>8,349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(765)</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32406B"/>
              </w:rPr>
              <w:t>Net income (loss)</w:t>
            </w:r>
          </w:p>
        </w:tc>
        <w:tc>
          <w:tcPr>
            <w:tcW w:w="3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(3,822)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7,584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(14,366)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(4,405)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Undistributed earnings attributable to participating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2406B"/>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32406B"/>
              </w:rPr>
              <w:t>(7,584)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Net income (loss) attributable to common stockholders, 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(14,380)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(8,227)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32406B"/>
              </w:rPr>
              <w:t>Net income (loss) per share attributable to common stockholders: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Basic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32406B"/>
              </w:rPr>
              <w:t>Diluted</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(0.11)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32406B"/>
                <w:w w:val="94"/>
              </w:rPr>
              <w:t>Weighted-average shares used in computing net income (loss) per share attributable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to common stockholders: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Basic</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7"/>
              </w:rPr>
              <w:t>84,483,094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Diluted</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116,005,681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32406B"/>
                <w:w w:val="98"/>
              </w:rPr>
              <w:t>Pro forma net income per share attributable to common stockholders (unaudited):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32406B"/>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32406B"/>
              </w:rPr>
              <w:t>Weighted-average shares used in computing pro forma net income per share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attributable to common stockholders (unaudited):</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7"/>
              </w:rPr>
              <w:t>237,282,092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268,804,679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F-4</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COMPREHENSIVE INCOME (LOSS)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32406B"/>
                <w:w w:val="97"/>
              </w:rPr>
              <w:t>Year Ended January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32406B"/>
                <w:w w:val="89"/>
              </w:rPr>
              <w:t>2017</w:t>
            </w:r>
          </w:p>
        </w:tc>
        <w:tc>
          <w:tcPr>
            <w:tcW w:w="140" w:type="dxa"/>
            <w:vAlign w:val="bottom"/>
          </w:tcPr>
          <w:p>
            <w:pPr>
              <w:spacing w:after="0"/>
              <w:rPr>
                <w:sz w:val="12"/>
                <w:szCs w:val="12"/>
                <w:color w:val="auto"/>
              </w:rPr>
            </w:pPr>
          </w:p>
        </w:tc>
        <w:tc>
          <w:tcPr>
            <w:tcW w:w="10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32406B"/>
              </w:rPr>
              <w:t>2018</w:t>
            </w:r>
          </w:p>
        </w:tc>
        <w:tc>
          <w:tcPr>
            <w:tcW w:w="500" w:type="dxa"/>
            <w:vAlign w:val="bottom"/>
          </w:tcPr>
          <w:p>
            <w:pPr>
              <w:spacing w:after="0"/>
              <w:rPr>
                <w:sz w:val="12"/>
                <w:szCs w:val="12"/>
                <w:color w:val="auto"/>
              </w:rPr>
            </w:pPr>
          </w:p>
        </w:tc>
        <w:tc>
          <w:tcPr>
            <w:tcW w:w="5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1"/>
              </w:rPr>
              <w:t>$(14)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$(3,822)</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$7,584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32406B"/>
              </w:rPr>
              <w:t>Other comprehensive loss: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Unrealized gain (loss) on available for sale marketable securities, net of tax</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rPr>
              <w:t>(531)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396</w:t>
            </w:r>
          </w:p>
        </w:tc>
        <w:tc>
          <w:tcPr>
            <w:tcW w:w="120" w:type="dxa"/>
            <w:vAlign w:val="bottom"/>
            <w:shd w:val="clear" w:color="auto" w:fill="CCEEFF"/>
          </w:tcPr>
          <w:p>
            <w:pPr>
              <w:spacing w:after="0"/>
              <w:rPr>
                <w:sz w:val="18"/>
                <w:szCs w:val="18"/>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32406B"/>
              </w:rPr>
              <w:t>Comprehensive income (loss)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1"/>
              </w:rPr>
              <w:t>$(14)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$(4,353)</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$7,980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F-5</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CONVERTIBLE PREFERRED STOCK AND STOCKHOLDERS’ DEFICIT</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(in thousands, except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40" w:type="dxa"/>
            <w:vAlign w:val="bottom"/>
            <w:tcBorders>
              <w:right w:val="single" w:sz="8" w:color="32406B"/>
            </w:tcBorders>
            <w:gridSpan w:val="6"/>
            <w:vMerge w:val="restart"/>
          </w:tcPr>
          <w:p>
            <w:pPr>
              <w:jc w:val="right"/>
              <w:ind w:right="580"/>
              <w:spacing w:after="0"/>
              <w:rPr>
                <w:sz w:val="20"/>
                <w:szCs w:val="20"/>
                <w:color w:val="auto"/>
              </w:rPr>
            </w:pPr>
            <w:r>
              <w:rPr>
                <w:rFonts w:ascii="Arial" w:cs="Arial" w:eastAsia="Arial" w:hAnsi="Arial"/>
                <w:sz w:val="13"/>
                <w:szCs w:val="13"/>
                <w:b w:val="1"/>
                <w:bCs w:val="1"/>
                <w:color w:val="32406B"/>
              </w:rPr>
              <w:t>Convertible</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32406B"/>
                <w:w w:val="85"/>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32406B"/>
            </w:tcBorders>
            <w:gridSpan w:val="6"/>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4"/>
            <w:vMerge w:val="restart"/>
          </w:tcPr>
          <w:p>
            <w:pPr>
              <w:jc w:val="right"/>
              <w:ind w:right="180"/>
              <w:spacing w:after="0" w:line="135" w:lineRule="exact"/>
              <w:rPr>
                <w:sz w:val="20"/>
                <w:szCs w:val="20"/>
                <w:color w:val="auto"/>
              </w:rPr>
            </w:pPr>
            <w:r>
              <w:rPr>
                <w:rFonts w:ascii="Arial" w:cs="Arial" w:eastAsia="Arial" w:hAnsi="Arial"/>
                <w:sz w:val="13"/>
                <w:szCs w:val="13"/>
                <w:b w:val="1"/>
                <w:bCs w:val="1"/>
                <w:color w:val="32406B"/>
              </w:rPr>
              <w:t>Additional</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32406B"/>
                <w:w w:val="92"/>
              </w:rPr>
              <w:t>Other</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32406B"/>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32406B"/>
            </w:tcBorders>
            <w:gridSpan w:val="6"/>
            <w:vMerge w:val="restart"/>
          </w:tcPr>
          <w:p>
            <w:pPr>
              <w:jc w:val="right"/>
              <w:ind w:right="460"/>
              <w:spacing w:after="0"/>
              <w:rPr>
                <w:sz w:val="20"/>
                <w:szCs w:val="20"/>
                <w:color w:val="auto"/>
              </w:rPr>
            </w:pPr>
            <w:r>
              <w:rPr>
                <w:rFonts w:ascii="Arial" w:cs="Arial" w:eastAsia="Arial" w:hAnsi="Arial"/>
                <w:sz w:val="13"/>
                <w:szCs w:val="13"/>
                <w:b w:val="1"/>
                <w:bCs w:val="1"/>
                <w:color w:val="32406B"/>
              </w:rPr>
              <w:t>Preferred Stock</w:t>
            </w:r>
          </w:p>
        </w:tc>
        <w:tc>
          <w:tcPr>
            <w:tcW w:w="180" w:type="dxa"/>
            <w:vAlign w:val="bottom"/>
          </w:tcPr>
          <w:p>
            <w:pPr>
              <w:spacing w:after="0"/>
              <w:rPr>
                <w:sz w:val="5"/>
                <w:szCs w:val="5"/>
                <w:color w:val="auto"/>
              </w:rPr>
            </w:pPr>
          </w:p>
        </w:tc>
        <w:tc>
          <w:tcPr>
            <w:tcW w:w="116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32406B"/>
                <w:w w:val="92"/>
              </w:rPr>
              <w:t>Common Stock</w:t>
            </w:r>
          </w:p>
        </w:tc>
        <w:tc>
          <w:tcPr>
            <w:tcW w:w="2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640" w:type="dxa"/>
            <w:vAlign w:val="bottom"/>
            <w:tcBorders>
              <w:right w:val="single" w:sz="8" w:color="32406B"/>
            </w:tcBorders>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right"/>
              <w:ind w:right="260"/>
              <w:spacing w:after="0" w:line="135" w:lineRule="exact"/>
              <w:rPr>
                <w:sz w:val="20"/>
                <w:szCs w:val="20"/>
                <w:color w:val="auto"/>
              </w:rPr>
            </w:pPr>
            <w:r>
              <w:rPr>
                <w:rFonts w:ascii="Arial" w:cs="Arial" w:eastAsia="Arial" w:hAnsi="Arial"/>
                <w:sz w:val="13"/>
                <w:szCs w:val="13"/>
                <w:b w:val="1"/>
                <w:bCs w:val="1"/>
                <w:color w:val="32406B"/>
                <w:w w:val="92"/>
              </w:rPr>
              <w:t>Paid-in</w:t>
            </w:r>
          </w:p>
        </w:tc>
        <w:tc>
          <w:tcPr>
            <w:tcW w:w="140" w:type="dxa"/>
            <w:vAlign w:val="bottom"/>
          </w:tcPr>
          <w:p>
            <w:pPr>
              <w:spacing w:after="0"/>
              <w:rPr>
                <w:sz w:val="7"/>
                <w:szCs w:val="7"/>
                <w:color w:val="auto"/>
              </w:rPr>
            </w:pPr>
          </w:p>
        </w:tc>
        <w:tc>
          <w:tcPr>
            <w:tcW w:w="100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32406B"/>
                <w:w w:val="86"/>
              </w:rPr>
              <w:t>Comprehensive</w:t>
            </w:r>
          </w:p>
        </w:tc>
        <w:tc>
          <w:tcPr>
            <w:tcW w:w="1020" w:type="dxa"/>
            <w:vAlign w:val="bottom"/>
            <w:gridSpan w:val="4"/>
            <w:vMerge w:val="restart"/>
          </w:tcPr>
          <w:p>
            <w:pPr>
              <w:ind w:left="140"/>
              <w:spacing w:after="0" w:line="135" w:lineRule="exact"/>
              <w:rPr>
                <w:sz w:val="20"/>
                <w:szCs w:val="20"/>
                <w:color w:val="auto"/>
              </w:rPr>
            </w:pPr>
            <w:r>
              <w:rPr>
                <w:rFonts w:ascii="Arial" w:cs="Arial" w:eastAsia="Arial" w:hAnsi="Arial"/>
                <w:sz w:val="13"/>
                <w:szCs w:val="13"/>
                <w:b w:val="1"/>
                <w:bCs w:val="1"/>
                <w:color w:val="32406B"/>
              </w:rPr>
              <w:t>Accumulated</w:t>
            </w:r>
          </w:p>
        </w:tc>
        <w:tc>
          <w:tcPr>
            <w:tcW w:w="980" w:type="dxa"/>
            <w:vAlign w:val="bottom"/>
            <w:gridSpan w:val="4"/>
            <w:vMerge w:val="restart"/>
          </w:tcPr>
          <w:p>
            <w:pPr>
              <w:jc w:val="center"/>
              <w:spacing w:after="0" w:line="135" w:lineRule="exact"/>
              <w:rPr>
                <w:sz w:val="20"/>
                <w:szCs w:val="20"/>
                <w:color w:val="auto"/>
              </w:rPr>
            </w:pPr>
            <w:r>
              <w:rPr>
                <w:rFonts w:ascii="Arial" w:cs="Arial" w:eastAsia="Arial" w:hAnsi="Arial"/>
                <w:sz w:val="13"/>
                <w:szCs w:val="13"/>
                <w:b w:val="1"/>
                <w:bCs w:val="1"/>
                <w:color w:val="32406B"/>
                <w:w w:val="86"/>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Borders>
              <w:right w:val="single" w:sz="8" w:color="32406B"/>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32406B"/>
              </w:rPr>
              <w:t>Shares</w:t>
            </w:r>
          </w:p>
        </w:tc>
        <w:tc>
          <w:tcPr>
            <w:tcW w:w="80" w:type="dxa"/>
            <w:vAlign w:val="bottom"/>
          </w:tcPr>
          <w:p>
            <w:pPr>
              <w:spacing w:after="0"/>
              <w:rPr>
                <w:sz w:val="13"/>
                <w:szCs w:val="13"/>
                <w:color w:val="auto"/>
              </w:rPr>
            </w:pPr>
          </w:p>
        </w:tc>
        <w:tc>
          <w:tcPr>
            <w:tcW w:w="680" w:type="dxa"/>
            <w:vAlign w:val="bottom"/>
            <w:tcBorders>
              <w:right w:val="single" w:sz="8" w:color="32406B"/>
            </w:tcBorders>
            <w:gridSpan w:val="3"/>
          </w:tcPr>
          <w:p>
            <w:pPr>
              <w:jc w:val="right"/>
              <w:ind w:right="180"/>
              <w:spacing w:after="0"/>
              <w:rPr>
                <w:sz w:val="20"/>
                <w:szCs w:val="20"/>
                <w:color w:val="auto"/>
              </w:rPr>
            </w:pPr>
            <w:r>
              <w:rPr>
                <w:rFonts w:ascii="Arial" w:cs="Arial" w:eastAsia="Arial" w:hAnsi="Arial"/>
                <w:sz w:val="13"/>
                <w:szCs w:val="13"/>
                <w:b w:val="1"/>
                <w:bCs w:val="1"/>
                <w:color w:val="32406B"/>
                <w:w w:val="97"/>
              </w:rPr>
              <w:t>Amount</w:t>
            </w:r>
          </w:p>
        </w:tc>
        <w:tc>
          <w:tcPr>
            <w:tcW w:w="180" w:type="dxa"/>
            <w:vAlign w:val="bottom"/>
          </w:tcPr>
          <w:p>
            <w:pPr>
              <w:spacing w:after="0"/>
              <w:rPr>
                <w:sz w:val="13"/>
                <w:szCs w:val="13"/>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32406B"/>
              </w:rPr>
              <w:t>Shares</w:t>
            </w:r>
          </w:p>
        </w:tc>
        <w:tc>
          <w:tcPr>
            <w:tcW w:w="680" w:type="dxa"/>
            <w:vAlign w:val="bottom"/>
            <w:gridSpan w:val="3"/>
          </w:tcPr>
          <w:p>
            <w:pPr>
              <w:ind w:left="220"/>
              <w:spacing w:after="0"/>
              <w:rPr>
                <w:sz w:val="20"/>
                <w:szCs w:val="20"/>
                <w:color w:val="auto"/>
              </w:rPr>
            </w:pPr>
            <w:r>
              <w:rPr>
                <w:rFonts w:ascii="Arial" w:cs="Arial" w:eastAsia="Arial" w:hAnsi="Arial"/>
                <w:sz w:val="13"/>
                <w:szCs w:val="13"/>
                <w:b w:val="1"/>
                <w:bCs w:val="1"/>
                <w:color w:val="32406B"/>
                <w:w w:val="89"/>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32406B"/>
                <w:w w:val="92"/>
              </w:rPr>
              <w:t>Capital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32406B"/>
                <w:w w:val="85"/>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32406B"/>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32406B"/>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CCEEFF"/>
            </w:tcBorders>
            <w:shd w:val="clear" w:color="auto" w:fill="CCEEFF"/>
          </w:tcPr>
          <w:p>
            <w:pPr>
              <w:jc w:val="right"/>
              <w:ind w:right="1848"/>
              <w:spacing w:after="0" w:line="142" w:lineRule="exact"/>
              <w:rPr>
                <w:sz w:val="20"/>
                <w:szCs w:val="20"/>
                <w:color w:val="auto"/>
              </w:rPr>
            </w:pPr>
            <w:r>
              <w:rPr>
                <w:rFonts w:ascii="Arial" w:cs="Arial" w:eastAsia="Arial" w:hAnsi="Arial"/>
                <w:sz w:val="14"/>
                <w:szCs w:val="14"/>
                <w:color w:val="32406B"/>
                <w:w w:val="90"/>
              </w:rPr>
              <w:t>Balance as of February 1, 2016</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w w:val="95"/>
              </w:rPr>
              <w:t>127,304,540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45,527</w:t>
            </w:r>
          </w:p>
        </w:tc>
        <w:tc>
          <w:tcPr>
            <w:tcW w:w="120" w:type="dxa"/>
            <w:vAlign w:val="bottom"/>
            <w:tcBorders>
              <w:top w:val="single" w:sz="8" w:color="CCEEFF"/>
              <w:right w:val="single" w:sz="8" w:color="32406B"/>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w w:val="94"/>
              </w:rPr>
              <w:t>70,679,484</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32406B"/>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67</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1,771</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32406B"/>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32406B"/>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(17,918)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32406B"/>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32406B"/>
              </w:rPr>
              <w:t>(16,080)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32406B"/>
                <w:w w:val="99"/>
              </w:rPr>
              <w:t>Issuance of Series D convertible preferred stock, net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32406B"/>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32406B"/>
              </w:rPr>
              <w:t>issuance costs of $136</w:t>
            </w:r>
          </w:p>
        </w:tc>
        <w:tc>
          <w:tcPr>
            <w:tcW w:w="760" w:type="dxa"/>
            <w:vAlign w:val="bottom"/>
          </w:tcPr>
          <w:p>
            <w:pPr>
              <w:jc w:val="right"/>
              <w:spacing w:after="0"/>
              <w:rPr>
                <w:sz w:val="20"/>
                <w:szCs w:val="20"/>
                <w:color w:val="auto"/>
              </w:rPr>
            </w:pPr>
            <w:r>
              <w:rPr>
                <w:rFonts w:ascii="Arial" w:cs="Arial" w:eastAsia="Arial" w:hAnsi="Arial"/>
                <w:sz w:val="14"/>
                <w:szCs w:val="14"/>
                <w:color w:val="32406B"/>
              </w:rPr>
              <w:t>30,727,064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32406B"/>
                <w:w w:val="90"/>
              </w:rPr>
              <w:t>114,830</w:t>
            </w:r>
          </w:p>
        </w:tc>
        <w:tc>
          <w:tcPr>
            <w:tcW w:w="120" w:type="dxa"/>
            <w:vAlign w:val="bottom"/>
            <w:tcBorders>
              <w:right w:val="single" w:sz="8" w:color="32406B"/>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2406B"/>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32406B"/>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2406B"/>
              </w:rPr>
              <w:t>(4,000,000)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32406B"/>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2406B"/>
              </w:rPr>
              <w:t>(600)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(3,383)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(10,983)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(14,366)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32406B"/>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32406B"/>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32406B"/>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32406B"/>
            </w:tcBorders>
            <w:gridSpan w:val="2"/>
          </w:tcPr>
          <w:p>
            <w:pPr>
              <w:jc w:val="right"/>
              <w:ind w:right="120"/>
              <w:spacing w:after="0"/>
              <w:rPr>
                <w:sz w:val="20"/>
                <w:szCs w:val="20"/>
                <w:color w:val="auto"/>
              </w:rPr>
            </w:pPr>
            <w:r>
              <w:rPr>
                <w:rFonts w:ascii="Arial" w:cs="Arial" w:eastAsia="Arial" w:hAnsi="Arial"/>
                <w:sz w:val="14"/>
                <w:szCs w:val="14"/>
                <w:color w:val="32406B"/>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2406B"/>
              </w:rPr>
              <w:t>8,971,412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32406B"/>
              </w:rPr>
              <w:t>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32406B"/>
              </w:rPr>
              <w:t>394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2406B"/>
              </w:rPr>
              <w:t>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32406B"/>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32406B"/>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32406B"/>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32406B"/>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32406B"/>
            </w:tcBorders>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32406B"/>
              </w:rPr>
              <w:t>1,039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1,039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Net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32406B"/>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(14)</w:t>
            </w:r>
          </w:p>
        </w:tc>
        <w:tc>
          <w:tcPr>
            <w:tcW w:w="0" w:type="dxa"/>
            <w:vAlign w:val="bottom"/>
          </w:tcPr>
          <w:p>
            <w:pPr>
              <w:spacing w:after="0"/>
              <w:rPr>
                <w:sz w:val="1"/>
                <w:szCs w:val="1"/>
                <w:color w:val="auto"/>
              </w:rPr>
            </w:pPr>
          </w:p>
        </w:tc>
      </w:tr>
      <w:tr>
        <w:trPr>
          <w:trHeight w:val="156"/>
        </w:trPr>
        <w:tc>
          <w:tcPr>
            <w:tcW w:w="3720" w:type="dxa"/>
            <w:vAlign w:val="bottom"/>
            <w:gridSpan w:val="2"/>
          </w:tcPr>
          <w:p>
            <w:pPr>
              <w:jc w:val="right"/>
              <w:ind w:right="1848"/>
              <w:spacing w:after="0" w:line="155" w:lineRule="exact"/>
              <w:rPr>
                <w:sz w:val="20"/>
                <w:szCs w:val="20"/>
                <w:color w:val="auto"/>
              </w:rPr>
            </w:pPr>
            <w:r>
              <w:rPr>
                <w:rFonts w:ascii="Arial" w:cs="Arial" w:eastAsia="Arial" w:hAnsi="Arial"/>
                <w:sz w:val="14"/>
                <w:szCs w:val="14"/>
                <w:color w:val="32406B"/>
                <w:w w:val="90"/>
              </w:rPr>
              <w:t>Balance as of January 31, 2017</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95"/>
              </w:rPr>
              <w:t>154,031,604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90"/>
              </w:rPr>
              <w:t>159,757</w:t>
            </w:r>
          </w:p>
        </w:tc>
        <w:tc>
          <w:tcPr>
            <w:tcW w:w="120" w:type="dxa"/>
            <w:vAlign w:val="bottom"/>
            <w:tcBorders>
              <w:right w:val="single" w:sz="8" w:color="32406B"/>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94"/>
              </w:rPr>
              <w:t>79,650,896</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32406B"/>
              </w:rPr>
              <w:t>$</w:t>
            </w: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77</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32406B"/>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(28,915)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32406B"/>
                <w:w w:val="71"/>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(28,838)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2406B"/>
              </w:rPr>
              <w:t>(1,365,800)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32406B"/>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2406B"/>
              </w:rPr>
              <w:t>(205)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(4,405)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(4,405)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32406B"/>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32406B"/>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32406B"/>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32406B"/>
            </w:tcBorders>
            <w:gridSpan w:val="2"/>
          </w:tcPr>
          <w:p>
            <w:pPr>
              <w:jc w:val="right"/>
              <w:ind w:right="120"/>
              <w:spacing w:after="0"/>
              <w:rPr>
                <w:sz w:val="20"/>
                <w:szCs w:val="20"/>
                <w:color w:val="auto"/>
              </w:rPr>
            </w:pPr>
            <w:r>
              <w:rPr>
                <w:rFonts w:ascii="Arial" w:cs="Arial" w:eastAsia="Arial" w:hAnsi="Arial"/>
                <w:sz w:val="14"/>
                <w:szCs w:val="14"/>
                <w:color w:val="32406B"/>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2406B"/>
              </w:rPr>
              <w:t>2,958,742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32406B"/>
              </w:rPr>
              <w:t>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32406B"/>
              </w:rPr>
              <w:t>419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2406B"/>
              </w:rPr>
              <w:t>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32406B"/>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32406B"/>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32406B"/>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174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32406B"/>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32406B"/>
            </w:tcBorders>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32406B"/>
              </w:rPr>
              <w:t>10,329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10,329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Other comprehensive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32406B"/>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(531)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32406B"/>
              </w:rPr>
              <w:t>Net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20" w:type="dxa"/>
            <w:vAlign w:val="bottom"/>
            <w:tcBorders>
              <w:right w:val="single" w:sz="8" w:color="32406B"/>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(3,822)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(3,822)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32406B"/>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32406B"/>
                <w:w w:val="89"/>
              </w:rPr>
              <w:t>Balance as of January 31, 2018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0"/>
              </w:rPr>
              <w:t>159,552</w:t>
            </w:r>
          </w:p>
        </w:tc>
        <w:tc>
          <w:tcPr>
            <w:tcW w:w="120" w:type="dxa"/>
            <w:vAlign w:val="bottom"/>
            <w:tcBorders>
              <w:right w:val="single" w:sz="8" w:color="32406B"/>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4"/>
              </w:rPr>
              <w:t>82,609,638</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80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6,517</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32406B"/>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(531)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32406B"/>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(32,737)</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32406B"/>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(26,671)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32406B"/>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32406B"/>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32406B"/>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32406B"/>
            </w:tcBorders>
            <w:gridSpan w:val="2"/>
          </w:tcPr>
          <w:p>
            <w:pPr>
              <w:jc w:val="right"/>
              <w:ind w:right="120"/>
              <w:spacing w:after="0"/>
              <w:rPr>
                <w:sz w:val="20"/>
                <w:szCs w:val="20"/>
                <w:color w:val="auto"/>
              </w:rPr>
            </w:pPr>
            <w:r>
              <w:rPr>
                <w:rFonts w:ascii="Arial" w:cs="Arial" w:eastAsia="Arial" w:hAnsi="Arial"/>
                <w:sz w:val="14"/>
                <w:szCs w:val="14"/>
                <w:color w:val="32406B"/>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32406B"/>
              </w:rPr>
              <w:t>7,717,797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32406B"/>
              </w:rPr>
              <w:t>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32406B"/>
              </w:rPr>
              <w:t>2,026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32406B"/>
              </w:rPr>
              <w:t>2,034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32406B"/>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32406B"/>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32406B"/>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276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32406B"/>
              </w:rPr>
              <w:t>277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32406B"/>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32406B"/>
            </w:tcBorders>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32406B"/>
              </w:rPr>
              <w:t>8,941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32406B"/>
              </w:rPr>
              <w:t>8,941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Other comprehensive income</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32406B"/>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396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32406B"/>
              </w:rPr>
              <w:t>Net income</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w:t>
            </w:r>
          </w:p>
        </w:tc>
        <w:tc>
          <w:tcPr>
            <w:tcW w:w="120" w:type="dxa"/>
            <w:vAlign w:val="bottom"/>
            <w:tcBorders>
              <w:right w:val="single" w:sz="8" w:color="32406B"/>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7,584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7,584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32406B"/>
                <w:w w:val="89"/>
              </w:rPr>
              <w:t>Balance as of January 31, 2019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0"/>
              </w:rPr>
              <w:t>159,552</w:t>
            </w:r>
          </w:p>
        </w:tc>
        <w:tc>
          <w:tcPr>
            <w:tcW w:w="120" w:type="dxa"/>
            <w:vAlign w:val="bottom"/>
            <w:tcBorders>
              <w:right w:val="single" w:sz="8" w:color="32406B"/>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4"/>
              </w:rPr>
              <w:t>90,327,435</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89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17,760</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32406B"/>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(135)</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32406B"/>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(25,153)</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32406B"/>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(7,439)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32406B"/>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F-6</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32406B"/>
                <w:w w:val="94"/>
              </w:rPr>
              <w:t>Year Ended January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2018</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operating activities: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32406B"/>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32406B"/>
              </w:rPr>
              <w:t>(14)</w:t>
            </w: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32406B"/>
              </w:rPr>
              <w:t>(3,822)</w:t>
            </w:r>
          </w:p>
        </w:tc>
        <w:tc>
          <w:tcPr>
            <w:tcW w:w="14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32406B"/>
              </w:rPr>
              <w:t>Adjustments to reconcile net income (loss) to net cash provided by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2,786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7,008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Amortization of deferred contract acquisition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9,023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20,839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Stock-based compensation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1,039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10,329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8,941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Provision for accounts receivable allowances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727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95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Changes in operating assets and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32406B"/>
              </w:rPr>
              <w:t>Accounts receivable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32406B"/>
              </w:rPr>
              <w:t>(5,882)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32406B"/>
              </w:rPr>
              <w:t>(16,560)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(41,040)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Prepaid expenses and 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32406B"/>
              </w:rPr>
              <w:t>(901)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(3,443)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32406B"/>
              </w:rPr>
              <w:t>Deferred contract acquisition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32406B"/>
                <w:w w:val="92"/>
              </w:rPr>
              <w:t>(11,230)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32406B"/>
              </w:rPr>
              <w:t>(27,470)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(45,769)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Accounts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1,254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32406B"/>
              </w:rPr>
              <w:t>Accrued expenses and other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6,082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15,011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w w:val="98"/>
              </w:rPr>
              <w:t>27,407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Deferred revenue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15,045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31,496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8"/>
              </w:rPr>
              <w:t>71,511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32406B"/>
              </w:rPr>
              <w:t>Net cash provided by operating activities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9,361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19,426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51,332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Purchases of marketable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32406B"/>
                <w:w w:val="88"/>
              </w:rPr>
              <w:t>(143,329)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(78,016)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Maturities of marketable securities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39,710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68,747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Purchases of property and equipment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32406B"/>
              </w:rPr>
              <w:t>(4,824)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32406B"/>
              </w:rPr>
              <w:t>(9,738)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(28,432)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Purchases of intangible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Payment received from loan to related party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2,000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32406B"/>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32406B"/>
              </w:rPr>
              <w:t>Net cash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32406B"/>
              </w:rPr>
              <w:t>(2,824)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88"/>
              </w:rPr>
              <w:t>(113,357)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9"/>
              </w:rPr>
              <w:t>(39,719)</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32406B"/>
              </w:rPr>
              <w:t>Cash flows from financing activities: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Proceeds from issuance of convertible preferred stock, net of issuance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114,830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Proceeds from exercise of stock options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733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3,565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Proceeds from issuance of convertible promissory notes and derivatives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Repurchase of convertible preferred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32406B"/>
                <w:w w:val="92"/>
              </w:rPr>
              <w:t>(14,966)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32406B"/>
              </w:rPr>
              <w:t>(4,610)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Principal payments on capital lease obligations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(120)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Payments of deferred offering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32406B"/>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32406B"/>
              </w:rPr>
              <w:t>Net cash provided by (used in)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100,267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(3,997)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17,534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32406B"/>
              </w:rPr>
              <w:t>Net increase (decrease) in cash, cash equivalents, and restricted cash</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106,804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2"/>
              </w:rPr>
              <w:t>(97,928)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8"/>
              </w:rPr>
              <w:t>29,147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32406B"/>
              </w:rPr>
              <w:t>Cash, cash equivalents, and restricted cash – beginning of period</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27,945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5"/>
              </w:rPr>
              <w:t>134,749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8"/>
              </w:rPr>
              <w:t>36,821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32406B"/>
              </w:rPr>
              <w:t>Cash, cash equivalents, and restricted cash – end of period</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6"/>
              </w:rPr>
              <w:t>134,749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36,821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8"/>
              </w:rPr>
              <w:t>65,968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Supplemental disclosures of cash flow information</w:t>
            </w:r>
            <w:r>
              <w:rPr>
                <w:rFonts w:ascii="Arial" w:cs="Arial" w:eastAsia="Arial" w:hAnsi="Arial"/>
                <w:sz w:val="18"/>
                <w:szCs w:val="18"/>
                <w:color w:val="32406B"/>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32406B"/>
              </w:rPr>
              <w:t>Cash paid for income taxes</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15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40" w:type="dxa"/>
            <w:vAlign w:val="bottom"/>
          </w:tcPr>
          <w:p>
            <w:pPr>
              <w:jc w:val="right"/>
              <w:spacing w:after="0"/>
              <w:rPr>
                <w:sz w:val="20"/>
                <w:szCs w:val="20"/>
                <w:color w:val="auto"/>
              </w:rPr>
            </w:pPr>
            <w:r>
              <w:rPr>
                <w:rFonts w:ascii="Arial" w:cs="Arial" w:eastAsia="Arial" w:hAnsi="Arial"/>
                <w:sz w:val="18"/>
                <w:szCs w:val="18"/>
                <w:color w:val="32406B"/>
              </w:rPr>
              <w:t>133</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Supplemental disclosures of noncash investing and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spacing w:after="0" w:line="201" w:lineRule="exact"/>
              <w:rPr>
                <w:sz w:val="20"/>
                <w:szCs w:val="20"/>
                <w:color w:val="auto"/>
              </w:rPr>
            </w:pPr>
            <w:r>
              <w:rPr>
                <w:rFonts w:ascii="Arial" w:cs="Arial" w:eastAsia="Arial" w:hAnsi="Arial"/>
                <w:sz w:val="18"/>
                <w:szCs w:val="18"/>
                <w:color w:val="32406B"/>
                <w:w w:val="95"/>
              </w:rPr>
              <w:t>Purchases of property and equipment during the period included in accounts payable and accrued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32406B"/>
              </w:rPr>
              <w:t>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121</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40" w:type="dxa"/>
            <w:vAlign w:val="bottom"/>
          </w:tcPr>
          <w:p>
            <w:pPr>
              <w:jc w:val="right"/>
              <w:spacing w:after="0"/>
              <w:rPr>
                <w:sz w:val="20"/>
                <w:szCs w:val="20"/>
                <w:color w:val="auto"/>
              </w:rPr>
            </w:pPr>
            <w:r>
              <w:rPr>
                <w:rFonts w:ascii="Arial" w:cs="Arial" w:eastAsia="Arial" w:hAnsi="Arial"/>
                <w:sz w:val="18"/>
                <w:szCs w:val="18"/>
                <w:color w:val="32406B"/>
              </w:rPr>
              <w:t>392</w:t>
            </w:r>
          </w:p>
        </w:tc>
        <w:tc>
          <w:tcPr>
            <w:tcW w:w="4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3,284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32406B"/>
              </w:rPr>
              <w:t>Purchase of property and equipment under capital lease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32406B"/>
              </w:rPr>
              <w:t>Vesting of early exercised stock options and restricted stock awards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32406B"/>
              </w:rPr>
              <w:t>Deferred offering costs, accrued but not paid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32406B"/>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32406B"/>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F-7</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 Summary of Business and Significant Accounting Policies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Description of Business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Zoom Video Communications, Inc. and its subsidiaries (together, Zoom, the Company, we, us, or our) provide video communications services through a video-first communications platform. Our platform combines video, audio, phone, screen sharing and chat functionalities. The Company was incorporated in the state of Delaware in April 2011 and is headquartered in San Jose, California.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Fiscal Year</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32406B"/>
        </w:rPr>
        <w:t>Our fiscal year ends on January 31. References to fiscal 2017, 2018 and 2019, refer to the fiscal year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Basis of Presentation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Unaudited Pro Forma Consolidated Balance Sheet Information</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32406B"/>
        </w:rPr>
        <w:t>We have presented unaudited pro forma consolidated balance sheet information as of January 31, 2019 in order to show the assumed effect on the balance sheet of the automatic conversion of (i) the outstanding convertible preferred stock upon the consummation of a qualified initial public offering (IPO) as described in Note 7; and (ii) the convertible promissory notes and accrued interest and the related reclassification of the embedded derivative liabilities as described in Note 5. Upon the consummation of an IPO, all of the shares of outstanding convertible preferred stock will automatically convert into 152,665,804 shares of Class B common stock, and all outstanding convertible promissory notes and accrued interest will automatically convert into a number of shares of Class A common stock based on the offering price in the IPO. The unaudited pro forma consolidated balance sheet information does not give effect to any proceeds from the assumed IPO.</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Stock Split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In January 2018, our board of directors approved the amendment and restatement of the Company’s certificate of incorporation to effect a four-for-one forward stock split of the Company’s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Use of Estimates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The preparation of consolidated financial statements in conformity with U.S. GAAP requires management to make estimates and assumptions that affect the reported amounts of assets and liabilities and disclosure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F-8</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240"/>
        <w:spacing w:after="0" w:line="297" w:lineRule="auto"/>
        <w:rPr>
          <w:sz w:val="20"/>
          <w:szCs w:val="20"/>
          <w:color w:val="auto"/>
        </w:rPr>
      </w:pPr>
      <w:r>
        <w:rPr>
          <w:rFonts w:ascii="Arial" w:cs="Arial" w:eastAsia="Arial" w:hAnsi="Arial"/>
          <w:sz w:val="16"/>
          <w:szCs w:val="16"/>
          <w:color w:val="32406B"/>
        </w:rPr>
        <w:t>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allowance for doubtful accounts, the useful lives of long-lived assets, the valuation of derivative liabilities, the value of common stock and other assumptions used to measure stock-based compensation, sales and other tax liabilities, the valuation of deferred income tax assets and uncertain tax positions. Actual results could differ from those estimates.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Concentration of Risks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32406B"/>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32406B"/>
        </w:rPr>
        <w:t>No single customer accounted for more than 10% of accounts receivable at January 31, 2018 or 2019. No single customer accounted for 10% or more of total revenue during the fiscal years ended January 31, 2017, 2018 or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Cash, Cash Equivalents and Restricted Cash</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32406B"/>
        </w:rPr>
        <w:t>Cash and cash equivalents consist of cash in banks and highly liquid investments, primarily money market funds, purchased with an original maturity of three months or less.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32406B"/>
        </w:rPr>
        <w:t>Restricted cash consists of certificates of deposit collateralizing our operating leases and corporate credit cards. We have $0.7 million and $2.3 million of restricted cash as of January 31, 2018 and 2019, respectively, which are included in prepaid expenses and other current assets and other assets, non-current in the consolidated balance sheets.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32406B"/>
                <w:w w:val="95"/>
              </w:rPr>
              <w:t>February 1,</w:t>
            </w: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32406B"/>
              </w:rPr>
              <w:t>January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2016</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32406B"/>
              </w:rPr>
              <w:t>2017</w:t>
            </w:r>
          </w:p>
        </w:tc>
        <w:tc>
          <w:tcPr>
            <w:tcW w:w="9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32406B"/>
              </w:rPr>
              <w:t>2018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32406B"/>
              </w:rPr>
              <w:t>(in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27,695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$134,324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$36,146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$63,624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32406B"/>
              </w:rPr>
              <w:t>Restricted cash included in 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32406B"/>
              </w:rPr>
              <w:t>250</w:t>
            </w:r>
          </w:p>
        </w:tc>
        <w:tc>
          <w:tcPr>
            <w:tcW w:w="3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200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32406B"/>
              </w:rPr>
              <w:t>Restricted cash included in other assets, 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675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32406B"/>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27,945</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$134,749</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$36,821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$65,968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Marketable Securities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32406B"/>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F-9</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32406B"/>
        </w:rPr>
        <w:t>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(deficit) equity. We evaluate our securities to assess whether those with unrealized loss positions are other than temporarily impaired. We consider impairments to be other than 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net in the consolidated statements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Fair Value Measurements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32406B"/>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Level 1 – Quoted prices in active markets for identical assets or liabilities.</w:t>
      </w:r>
    </w:p>
    <w:p>
      <w:pPr>
        <w:spacing w:after="0" w:line="225"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32406B"/>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32406B"/>
        </w:rPr>
        <w:t>Financial instruments consist of cash equivalents, restricted cash, marketable securities, accounts receivable, accounts payable, convertible promissory notes and derivative liabilities. Cash equivalents, restricted cash, marketable securities and derivative liabilities are stated at fair value on a recurring basis. Accounts receivable and accounts payable are stated at their carrying value, which approximates fair value due to the short time to the expected receipt or payment date. The principal amount of the convertible promissory notes approximate fair value as the stated interest rates approximate market rates currently available to 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Accounts Receivable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32406B"/>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F-10</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Property and Equipment, Net</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32406B"/>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Software Development Costs</w:t>
      </w:r>
    </w:p>
    <w:p>
      <w:pPr>
        <w:spacing w:after="0" w:line="11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32406B"/>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software’s estimated useful life, which is generally three years, and are recorded in cost of revenue in the consolidated statements of operations. Capitalized software development costs were not material to our consolidated financial statements during the fiscal years ended January 31, 2017 or 2018. We have capitalized $2.5 million of software development costs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Impairment of Long-Lived Assets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2018 or 2019.</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Deferred Offering Costs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32406B"/>
        </w:rPr>
        <w:t>Deferred offering costs consist primarily of accounting, legal, and other fees related to our proposed IPO. Upon consummation of the IPO, the deferred offering costs will be reclassified to shareholders’ (deficit) equity and recorded against the proceeds from the offering. In the event the offering is aborted, deferred offering costs will be expensed. We capitalized $2.4 million of deferred offering costs within other assets, non-current in the consolidated balance sheets as of January 31, 2019. No offering costs were capitalized as of January 31,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Revenue Recognition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32406B"/>
        </w:rPr>
        <w:t>Revenue from Contracts with Customers</w:t>
      </w:r>
      <w:r>
        <w:rPr>
          <w:rFonts w:ascii="Arial" w:cs="Arial" w:eastAsia="Arial" w:hAnsi="Arial"/>
          <w:sz w:val="18"/>
          <w:szCs w:val="18"/>
          <w:color w:val="32406B"/>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F-11</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32406B"/>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1. Identification of the contract, or contracts, with the customer</w:t>
      </w:r>
    </w:p>
    <w:p>
      <w:pPr>
        <w:spacing w:after="0" w:line="117" w:lineRule="exact"/>
        <w:rPr>
          <w:sz w:val="20"/>
          <w:szCs w:val="20"/>
          <w:color w:val="auto"/>
        </w:rPr>
      </w:pPr>
    </w:p>
    <w:p>
      <w:pPr>
        <w:ind w:left="640" w:right="140" w:firstLine="423"/>
        <w:spacing w:after="0" w:line="273" w:lineRule="auto"/>
        <w:rPr>
          <w:sz w:val="20"/>
          <w:szCs w:val="20"/>
          <w:color w:val="auto"/>
        </w:rPr>
      </w:pPr>
      <w:r>
        <w:rPr>
          <w:rFonts w:ascii="Arial" w:cs="Arial" w:eastAsia="Arial" w:hAnsi="Arial"/>
          <w:sz w:val="17"/>
          <w:szCs w:val="17"/>
          <w:color w:val="32406B"/>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2. Identification of the performance obligations in the contract</w:t>
      </w:r>
    </w:p>
    <w:p>
      <w:pPr>
        <w:spacing w:after="0" w:line="117" w:lineRule="exact"/>
        <w:rPr>
          <w:sz w:val="20"/>
          <w:szCs w:val="20"/>
          <w:color w:val="auto"/>
        </w:rPr>
      </w:pPr>
    </w:p>
    <w:p>
      <w:pPr>
        <w:ind w:left="640" w:right="160" w:firstLine="423"/>
        <w:spacing w:after="0" w:line="255" w:lineRule="auto"/>
        <w:rPr>
          <w:sz w:val="20"/>
          <w:szCs w:val="20"/>
          <w:color w:val="auto"/>
        </w:rPr>
      </w:pPr>
      <w:r>
        <w:rPr>
          <w:rFonts w:ascii="Arial" w:cs="Arial" w:eastAsia="Arial" w:hAnsi="Arial"/>
          <w:sz w:val="18"/>
          <w:szCs w:val="18"/>
          <w:color w:val="32406B"/>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9"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32406B"/>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3. Determination of the transaction price</w:t>
      </w:r>
    </w:p>
    <w:p>
      <w:pPr>
        <w:spacing w:after="0" w:line="117" w:lineRule="exact"/>
        <w:rPr>
          <w:sz w:val="20"/>
          <w:szCs w:val="20"/>
          <w:color w:val="auto"/>
        </w:rPr>
      </w:pPr>
    </w:p>
    <w:p>
      <w:pPr>
        <w:ind w:left="640" w:right="80" w:firstLine="423"/>
        <w:spacing w:after="0" w:line="257" w:lineRule="auto"/>
        <w:rPr>
          <w:sz w:val="20"/>
          <w:szCs w:val="20"/>
          <w:color w:val="auto"/>
        </w:rPr>
      </w:pPr>
      <w:r>
        <w:rPr>
          <w:rFonts w:ascii="Arial" w:cs="Arial" w:eastAsia="Arial" w:hAnsi="Arial"/>
          <w:sz w:val="18"/>
          <w:szCs w:val="18"/>
          <w:color w:val="32406B"/>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88" w:lineRule="exact"/>
        <w:rPr>
          <w:sz w:val="20"/>
          <w:szCs w:val="20"/>
          <w:color w:val="auto"/>
        </w:rPr>
      </w:pPr>
    </w:p>
    <w:p>
      <w:pPr>
        <w:ind w:left="640" w:firstLine="423"/>
        <w:spacing w:after="0" w:line="273" w:lineRule="auto"/>
        <w:rPr>
          <w:sz w:val="20"/>
          <w:szCs w:val="20"/>
          <w:color w:val="auto"/>
        </w:rPr>
      </w:pPr>
      <w:r>
        <w:rPr>
          <w:rFonts w:ascii="Arial" w:cs="Arial" w:eastAsia="Arial" w:hAnsi="Arial"/>
          <w:sz w:val="17"/>
          <w:szCs w:val="17"/>
          <w:color w:val="32406B"/>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F-12</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4. Allocation of the transaction price to the performance obligations in the contract</w:t>
      </w:r>
    </w:p>
    <w:p>
      <w:pPr>
        <w:spacing w:after="0" w:line="117" w:lineRule="exact"/>
        <w:rPr>
          <w:sz w:val="20"/>
          <w:szCs w:val="20"/>
          <w:color w:val="auto"/>
        </w:rPr>
      </w:pPr>
    </w:p>
    <w:p>
      <w:pPr>
        <w:jc w:val="both"/>
        <w:ind w:left="640" w:right="100" w:firstLine="423"/>
        <w:spacing w:after="0" w:line="259" w:lineRule="auto"/>
        <w:rPr>
          <w:sz w:val="20"/>
          <w:szCs w:val="20"/>
          <w:color w:val="auto"/>
        </w:rPr>
      </w:pPr>
      <w:r>
        <w:rPr>
          <w:rFonts w:ascii="Arial" w:cs="Arial" w:eastAsia="Arial" w:hAnsi="Arial"/>
          <w:sz w:val="18"/>
          <w:szCs w:val="18"/>
          <w:color w:val="32406B"/>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5. Recognition of the revenue when, or as, a performance obligation is satisfied</w:t>
      </w:r>
    </w:p>
    <w:p>
      <w:pPr>
        <w:spacing w:after="0" w:line="117" w:lineRule="exact"/>
        <w:rPr>
          <w:sz w:val="20"/>
          <w:szCs w:val="20"/>
          <w:color w:val="auto"/>
        </w:rPr>
      </w:pPr>
    </w:p>
    <w:p>
      <w:pPr>
        <w:ind w:left="640" w:right="340" w:firstLine="423"/>
        <w:spacing w:after="0" w:line="302" w:lineRule="auto"/>
        <w:rPr>
          <w:sz w:val="20"/>
          <w:szCs w:val="20"/>
          <w:color w:val="auto"/>
        </w:rPr>
      </w:pPr>
      <w:r>
        <w:rPr>
          <w:rFonts w:ascii="Arial" w:cs="Arial" w:eastAsia="Arial" w:hAnsi="Arial"/>
          <w:sz w:val="16"/>
          <w:szCs w:val="16"/>
          <w:color w:val="32406B"/>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54"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32406B"/>
        </w:rPr>
        <w:t>Services are time-based arrangements and revenue is recognized as these services are performed. Fees for services represent less than 3% of revenue in the periods presented.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32406B"/>
        </w:rPr>
        <w:t>Disaggregation of 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summarizes revenue by region based on the billing address of customers: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32406B"/>
              </w:rPr>
              <w:t>Year Ended January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2019</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jc w:val="center"/>
              <w:ind w:left="320"/>
              <w:spacing w:after="0" w:line="119" w:lineRule="exact"/>
              <w:rPr>
                <w:sz w:val="20"/>
                <w:szCs w:val="20"/>
                <w:color w:val="auto"/>
              </w:rPr>
            </w:pPr>
            <w:r>
              <w:rPr>
                <w:rFonts w:ascii="Arial" w:cs="Arial" w:eastAsia="Arial" w:hAnsi="Arial"/>
                <w:sz w:val="13"/>
                <w:szCs w:val="13"/>
                <w:b w:val="1"/>
                <w:bCs w:val="1"/>
                <w:color w:val="32406B"/>
                <w:w w:val="96"/>
              </w:rPr>
              <w:t>Percentage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32406B"/>
                <w:w w:val="96"/>
              </w:rPr>
              <w:t>Percentage</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32406B"/>
                <w:w w:val="96"/>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32406B"/>
                <w:w w:val="98"/>
              </w:rPr>
              <w:t>Amount</w:t>
            </w:r>
          </w:p>
        </w:tc>
        <w:tc>
          <w:tcPr>
            <w:tcW w:w="4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0"/>
              </w:rPr>
              <w:t>of</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32406B"/>
              </w:rPr>
              <w:t>Amount</w:t>
            </w:r>
          </w:p>
        </w:tc>
        <w:tc>
          <w:tcPr>
            <w:tcW w:w="4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32406B"/>
                <w:w w:val="90"/>
              </w:rPr>
              <w:t>of</w:t>
            </w:r>
          </w:p>
        </w:tc>
        <w:tc>
          <w:tcPr>
            <w:tcW w:w="200" w:type="dxa"/>
            <w:vAlign w:val="bottom"/>
          </w:tcPr>
          <w:p>
            <w:pPr>
              <w:spacing w:after="0"/>
              <w:rPr>
                <w:sz w:val="12"/>
                <w:szCs w:val="12"/>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32406B"/>
              </w:rPr>
              <w:t>Amount</w:t>
            </w:r>
          </w:p>
        </w:tc>
        <w:tc>
          <w:tcPr>
            <w:tcW w:w="4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0"/>
              </w:rPr>
              <w:t>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32406B"/>
                <w:w w:val="89"/>
              </w:rPr>
              <w:t>Revenue</w:t>
            </w: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32406B"/>
                <w:w w:val="89"/>
              </w:rPr>
              <w:t>Revenue</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89"/>
              </w:rPr>
              <w:t>Revenue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32406B"/>
                <w:w w:val="94"/>
              </w:rPr>
              <w:t>(in thousands, except percentages)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32406B"/>
              </w:rPr>
              <w:t>Americas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89"/>
              </w:rPr>
              <w:t>$50,676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2406B"/>
              </w:rPr>
              <w:t>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$125,428</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$270,132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32406B"/>
              </w:rPr>
              <w:t>APAC</w:t>
            </w: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5,756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32406B"/>
              </w:rPr>
              <w:t>10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32406B"/>
              </w:rPr>
              <w:t>13,652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32406B"/>
              </w:rPr>
              <w:t>9</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27,720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32406B"/>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32406B"/>
              </w:rPr>
              <w:t>EMEA</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4,385</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12,398</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32,665</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32406B"/>
              </w:rPr>
              <w:t>Total</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w w:val="86"/>
              </w:rPr>
              <w:t>$60,817</w:t>
            </w: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32406B"/>
              </w:rPr>
              <w:t>100%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w w:val="90"/>
              </w:rPr>
              <w:t>$151,478</w:t>
            </w: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32406B"/>
              </w:rPr>
              <w:t>100%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32406B"/>
                <w:w w:val="87"/>
              </w:rPr>
              <w:t>$330,517</w:t>
            </w: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32406B"/>
        </w:rPr>
        <w:t>Contract Balances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32406B"/>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on the consolidated balance sheets was $2.5 million and $7.2 million as of January 31, 2018 and 2019, respectively.</w:t>
      </w:r>
    </w:p>
    <w:p>
      <w:pPr>
        <w:spacing w:after="0" w:line="154"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32406B"/>
        </w:rPr>
        <w:t>Contract liabilities consist of deferred revenue. Revenue is deferred when we have the right to invoice in advance of performance under a customer contract. The current portion of deferred revenue balances are recognized during the following 12-month period. The amount of revenue recognized during the fiscal years ended January 31, 2017, 2018 and 2019 that was included in deferred revenue at the beginning of each period was $7.1 million, $21.3 million and $50.3 million,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F-13</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32406B"/>
        </w:rPr>
        <w:t>Remaining Performance Obligation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32406B"/>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32406B"/>
        </w:rPr>
        <w:t>Cost to Obtain a Contract</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32406B"/>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32406B"/>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represents a rollforward of deferred contract acquisition costs: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32406B"/>
              </w:rPr>
              <w:t>Year Ended January 31,</w:t>
            </w: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32406B"/>
              </w:rPr>
              <w:t>2017</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32406B"/>
              </w:rPr>
              <w:t>2018</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32406B"/>
                <w:w w:val="95"/>
              </w:rPr>
              <w:t>(in thousands)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4,023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$12,139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$ 30,586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32406B"/>
              </w:rPr>
              <w:t>Additions to deferred contract acquisition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w w:val="87"/>
              </w:rPr>
              <w:t>11,230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32406B"/>
              </w:rPr>
              <w:t>27,470</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2406B"/>
              </w:rPr>
              <w:t>45,769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Amortization of deferred contract acquisition costs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(3,114)</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(9,023)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(20,839)</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32406B"/>
              </w:rPr>
              <w:t>Ending balance</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12,139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$30,586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1"/>
              </w:rPr>
              <w:t>$ 55,516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Deferred contract acquisition costs, current (to be amortized in next 12 months)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5,261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$13,888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$ 26,453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32406B"/>
              </w:rPr>
              <w:t>Deferred contract acquisition costs, non-current</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6,878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16,698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29,063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32406B"/>
              </w:rPr>
              <w:t>Total deferred contract acquisition costs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12,139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$30,586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$ 55,516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Cost of Revenue</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32406B"/>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F-14</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32406B"/>
        </w:rPr>
        <w:t>services, personnel-related expenses,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Research and Development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32406B"/>
        </w:rPr>
        <w:t>Research and development costs include personnel-related expenses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Advertising Costs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32406B"/>
        </w:rPr>
        <w:t>Advertising costs are expensed as incurred in sales and marketing expense and amounted to $3.7 million, $17.1 million and $36.1 million for the fiscal years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Leases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32406B"/>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Foreign Currency</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Income Taxes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32406B"/>
        </w:rPr>
        <w:t>We use the asset and liability method of accounting for income taxes. Under this method, deferred tax assets and liabilities are determined based on the differences between the financial reporting and the tax bases of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F-15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32406B"/>
        </w:rPr>
        <w:t>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a deferred tax asset will not be fully realized. Due to our lack of earnings history, the net deferred tax assets have been fully offset by a valuation allowance.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32406B"/>
        </w:rPr>
        <w:t>We recognize benefits of uncertain tax positions if it is more likely than not that such positions will be sustained upon examination based solely on their technical merits at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Net Income (Loss) Per Share Attributable to Common Stockholders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32406B"/>
        </w:rPr>
        <w:t>We calculate our net income (loss) per share attributable to Class A and Class B common stock using the two-class method required for companies with participating securities. We consider our convertible preferred stock and unvested common stock, which includes early exercised stock options and restricted stock awards, to be participating securities as holders of such securities have non-forfeitable dividend rights in the event of our declaration of a dividend for shares of common stock.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Distributed and undistributed earnings allocated to participating securities are subtracted from net income (loss) in determining net income attributable to common stockholders. Basic net income (loss) per share is computed by dividing net income attributable to common stockholders by the weighted-average number of shares of our Class A and Class B common stock outstanding.</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Unaudited Pro Forma Net Income Per Share Attributable to Common Stockholders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Unaudited pro forma basic and diluted net income per share attributable to common stockholders for fiscal 2019 has been computed to give effect to the conversion of convertible preferred stock and convertible promissory notes and accrued interest into common stock as of the beginning of the period or the original date of issuance, if later.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Segment Information</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32406B"/>
        </w:rPr>
        <w:t>We operate in one operating segment. Operating segments are defined as components of an enterprise about which separate financial information is evaluated regularly by the chief operating decision maker, who is our Chief Executive Officer, in deciding how to allocate resources and assessing performance. Our chief operating decision maker allocates resources and assesses performance based upon consolidated financial information.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F-16</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32406B"/>
        </w:rPr>
        <w:t>Revenue by geographical region can be found in the revenue recognition disclosures in Note 1 above. The following table presents our property and equipment, net of depreciation and amortization, by geographic region:</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32406B"/>
              </w:rPr>
              <w:t>January 31,</w:t>
            </w: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32406B"/>
              </w:rPr>
              <w:t>2018</w:t>
            </w:r>
          </w:p>
        </w:tc>
        <w:tc>
          <w:tcPr>
            <w:tcW w:w="9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32406B"/>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32406B"/>
              </w:rPr>
              <w:t>Americas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9,612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$26,048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32406B"/>
              </w:rPr>
              <w:t>APAC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2,746</w:t>
            </w:r>
          </w:p>
        </w:tc>
        <w:tc>
          <w:tcPr>
            <w:tcW w:w="920" w:type="dxa"/>
            <w:vAlign w:val="bottom"/>
            <w:gridSpan w:val="2"/>
          </w:tcPr>
          <w:p>
            <w:pPr>
              <w:jc w:val="right"/>
              <w:spacing w:after="0"/>
              <w:rPr>
                <w:sz w:val="20"/>
                <w:szCs w:val="20"/>
                <w:color w:val="auto"/>
              </w:rPr>
            </w:pPr>
            <w:r>
              <w:rPr>
                <w:rFonts w:ascii="Arial" w:cs="Arial" w:eastAsia="Arial" w:hAnsi="Arial"/>
                <w:sz w:val="18"/>
                <w:szCs w:val="18"/>
                <w:color w:val="32406B"/>
              </w:rPr>
              <w:t>8,928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32406B"/>
              </w:rPr>
              <w:t>Rest of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2,299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32406B"/>
              </w:rPr>
              <w:t>Total 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13,032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$37,275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Recently Adopted Accounting Pronouncements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32406B"/>
        </w:rPr>
        <w:t xml:space="preserve">In May 2014, the FASB issued ASU No. 2014-09, </w:t>
      </w:r>
      <w:r>
        <w:rPr>
          <w:rFonts w:ascii="Arial" w:cs="Arial" w:eastAsia="Arial" w:hAnsi="Arial"/>
          <w:sz w:val="16"/>
          <w:szCs w:val="16"/>
          <w:i w:val="1"/>
          <w:iCs w:val="1"/>
          <w:color w:val="32406B"/>
        </w:rPr>
        <w:t>Revenue from Contracts with Customers (Topic 606)</w:t>
      </w:r>
      <w:r>
        <w:rPr>
          <w:rFonts w:ascii="Arial" w:cs="Arial" w:eastAsia="Arial" w:hAnsi="Arial"/>
          <w:sz w:val="16"/>
          <w:szCs w:val="16"/>
          <w:color w:val="32406B"/>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2018 and 2019 under ASC 606.</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32406B"/>
        </w:rPr>
        <w:t xml:space="preserve">In November 2016, the FASB issued ASU No. 2016-18, </w:t>
      </w:r>
      <w:r>
        <w:rPr>
          <w:rFonts w:ascii="Arial" w:cs="Arial" w:eastAsia="Arial" w:hAnsi="Arial"/>
          <w:sz w:val="18"/>
          <w:szCs w:val="18"/>
          <w:i w:val="1"/>
          <w:iCs w:val="1"/>
          <w:color w:val="32406B"/>
        </w:rPr>
        <w:t>Statement of Cash Flows (Topic 230): Restricted Cash</w:t>
      </w:r>
      <w:r>
        <w:rPr>
          <w:rFonts w:ascii="Arial" w:cs="Arial" w:eastAsia="Arial" w:hAnsi="Arial"/>
          <w:sz w:val="18"/>
          <w:szCs w:val="18"/>
          <w:color w:val="32406B"/>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Recently Issued Accounting Pronouncements</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32406B"/>
        </w:rPr>
        <w:t xml:space="preserve">In February 2016, the FASB issued ASU 2016-02, </w:t>
      </w:r>
      <w:r>
        <w:rPr>
          <w:rFonts w:ascii="Arial" w:cs="Arial" w:eastAsia="Arial" w:hAnsi="Arial"/>
          <w:sz w:val="17"/>
          <w:szCs w:val="17"/>
          <w:i w:val="1"/>
          <w:iCs w:val="1"/>
          <w:color w:val="32406B"/>
        </w:rPr>
        <w:t>Leases (Topic 842)</w:t>
      </w:r>
      <w:r>
        <w:rPr>
          <w:rFonts w:ascii="Arial" w:cs="Arial" w:eastAsia="Arial" w:hAnsi="Arial"/>
          <w:sz w:val="17"/>
          <w:szCs w:val="17"/>
          <w:color w:val="32406B"/>
        </w:rPr>
        <w:t xml:space="preserve">, which supersedes FASB ASC Topic 840, </w:t>
      </w:r>
      <w:r>
        <w:rPr>
          <w:rFonts w:ascii="Arial" w:cs="Arial" w:eastAsia="Arial" w:hAnsi="Arial"/>
          <w:sz w:val="17"/>
          <w:szCs w:val="17"/>
          <w:i w:val="1"/>
          <w:iCs w:val="1"/>
          <w:color w:val="32406B"/>
        </w:rPr>
        <w:t>Leases</w:t>
      </w:r>
      <w:r>
        <w:rPr>
          <w:rFonts w:ascii="Arial" w:cs="Arial" w:eastAsia="Arial" w:hAnsi="Arial"/>
          <w:sz w:val="17"/>
          <w:szCs w:val="17"/>
          <w:color w:val="32406B"/>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the standard as of February 1, 2019, and have elected the transition method that allows us to apply the standard as of the adoption date and record a cumulative adjustment in accumulated deficit, if applicable. At a minimum, total assets and total liabilities will increase upon adoption as we expect to record a right of use asset and a lease liability for our office space operating leases. We are in the process of concluding certain policy elections available under Topic 842 and plan to apply the package of practical expedients under which we have not reassessed whether any expired or existing contracts are or contain leases, the classification of any expired or existing leases, or the initial direct costs for any existing leases. See Note 6 to these consolidated financial statements for details on our current lease arrangements, the amounts of which represent the future undiscounted commitments.</w:t>
      </w:r>
    </w:p>
    <w:p>
      <w:pPr>
        <w:spacing w:after="0" w:line="18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32406B"/>
        </w:rPr>
        <w:t xml:space="preserve">In June 2018, the FASB issued ASU No. 2018-07, </w:t>
      </w:r>
      <w:r>
        <w:rPr>
          <w:rFonts w:ascii="Arial" w:cs="Arial" w:eastAsia="Arial" w:hAnsi="Arial"/>
          <w:sz w:val="17"/>
          <w:szCs w:val="17"/>
          <w:i w:val="1"/>
          <w:iCs w:val="1"/>
          <w:color w:val="32406B"/>
        </w:rPr>
        <w:t>Improvements to Nonemployee Share-Based Payment Accounting</w:t>
      </w:r>
      <w:r>
        <w:rPr>
          <w:rFonts w:ascii="Arial" w:cs="Arial" w:eastAsia="Arial" w:hAnsi="Arial"/>
          <w:sz w:val="17"/>
          <w:szCs w:val="17"/>
          <w:color w:val="32406B"/>
        </w:rPr>
        <w:t>. The standard simplifies the accounting for share-based payments granted to nonemployees for goods and services and aligns most of the guidance on such payments to the nonemployees with the requirements for share-based payments granted to employees. ASU 2018-07 is effective for the annual periods in fiscal years beginning after December 15, 2018, and interim periods therein, using a modified retrospective approach. Early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F-17</w:t>
      </w:r>
    </w:p>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32406B"/>
        </w:rPr>
        <w:t>adoption is permitted. We are required to adopt ASU 2018-07 on February 1, 2019. The impact of the adoption of the standard is not expected to have a material impact on our consolidated financial statements and related disclosures.</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32406B"/>
        </w:rPr>
        <w:t xml:space="preserve">In August 2018, the FASB issued ASU No. 2018-13, </w:t>
      </w:r>
      <w:r>
        <w:rPr>
          <w:rFonts w:ascii="Arial" w:cs="Arial" w:eastAsia="Arial" w:hAnsi="Arial"/>
          <w:sz w:val="16"/>
          <w:szCs w:val="16"/>
          <w:i w:val="1"/>
          <w:iCs w:val="1"/>
          <w:color w:val="32406B"/>
        </w:rPr>
        <w:t>Fair Value Measurement (Topic 820): Disclosure Framework-Changes to the Disclosure</w:t>
      </w:r>
      <w:r>
        <w:rPr>
          <w:rFonts w:ascii="Arial" w:cs="Arial" w:eastAsia="Arial" w:hAnsi="Arial"/>
          <w:sz w:val="16"/>
          <w:szCs w:val="16"/>
          <w:color w:val="32406B"/>
        </w:rPr>
        <w:t xml:space="preserve"> </w:t>
      </w:r>
      <w:r>
        <w:rPr>
          <w:rFonts w:ascii="Arial" w:cs="Arial" w:eastAsia="Arial" w:hAnsi="Arial"/>
          <w:sz w:val="16"/>
          <w:szCs w:val="16"/>
          <w:i w:val="1"/>
          <w:iCs w:val="1"/>
          <w:color w:val="32406B"/>
        </w:rPr>
        <w:t>Requirements for Fair Value Measurement</w:t>
      </w:r>
      <w:r>
        <w:rPr>
          <w:rFonts w:ascii="Arial" w:cs="Arial" w:eastAsia="Arial" w:hAnsi="Arial"/>
          <w:sz w:val="16"/>
          <w:szCs w:val="16"/>
          <w:color w:val="32406B"/>
        </w:rPr>
        <w:t>. The standard no longer requires disclosure of the amount and reasons for transfers between Level 1 and</w:t>
      </w:r>
      <w:r>
        <w:rPr>
          <w:rFonts w:ascii="Arial" w:cs="Arial" w:eastAsia="Arial" w:hAnsi="Arial"/>
          <w:sz w:val="16"/>
          <w:szCs w:val="16"/>
          <w:i w:val="1"/>
          <w:iCs w:val="1"/>
          <w:color w:val="32406B"/>
        </w:rPr>
        <w:t xml:space="preserve"> </w:t>
      </w:r>
      <w:r>
        <w:rPr>
          <w:rFonts w:ascii="Arial" w:cs="Arial" w:eastAsia="Arial" w:hAnsi="Arial"/>
          <w:sz w:val="16"/>
          <w:szCs w:val="16"/>
          <w:color w:val="32406B"/>
        </w:rPr>
        <w:t>Level 2 of the fair value hierarchy, however public companies will be required to disclose the range and weighted-average used to develop significant unobservable inputs for Level 3 fair value measurements. ASU 2018-13 is effective for the annual periods in fiscal years beginning after December 15, 2019, and interim periods therein. Early adoption is permitted. The removed and modified disclosures will be adopted on a retrospective basis, and the new disclosures will be adopted on a prospective basis. We are required to adopt ASU 2018-13 on February 1, 2020. We are currently evaluating the effect that ASU 2018-13 will have on our consolidated financial statements and related disclosures.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2. Marketable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As of January 31, 2018 and 2019, our marketable securities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32406B"/>
              </w:rPr>
              <w:t>January 31, 2018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32406B"/>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32406B"/>
                <w:w w:val="95"/>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32406B"/>
                <w:w w:val="90"/>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32406B"/>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140" w:type="dxa"/>
            <w:vAlign w:val="bottom"/>
            <w:gridSpan w:val="4"/>
          </w:tcPr>
          <w:p>
            <w:pPr>
              <w:jc w:val="center"/>
              <w:ind w:left="334"/>
              <w:spacing w:after="0" w:line="149" w:lineRule="exact"/>
              <w:rPr>
                <w:sz w:val="20"/>
                <w:szCs w:val="20"/>
                <w:color w:val="auto"/>
              </w:rPr>
            </w:pPr>
            <w:r>
              <w:rPr>
                <w:rFonts w:ascii="Arial" w:cs="Arial" w:eastAsia="Arial" w:hAnsi="Arial"/>
                <w:sz w:val="14"/>
                <w:szCs w:val="14"/>
                <w:b w:val="1"/>
                <w:bCs w:val="1"/>
                <w:color w:val="32406B"/>
                <w:w w:val="95"/>
              </w:rPr>
              <w:t>Unrealized</w:t>
            </w:r>
          </w:p>
        </w:tc>
        <w:tc>
          <w:tcPr>
            <w:tcW w:w="1400" w:type="dxa"/>
            <w:vAlign w:val="bottom"/>
            <w:gridSpan w:val="4"/>
          </w:tcPr>
          <w:p>
            <w:pPr>
              <w:jc w:val="center"/>
              <w:ind w:left="54"/>
              <w:spacing w:after="0" w:line="149" w:lineRule="exact"/>
              <w:rPr>
                <w:sz w:val="20"/>
                <w:szCs w:val="20"/>
                <w:color w:val="auto"/>
              </w:rPr>
            </w:pPr>
            <w:r>
              <w:rPr>
                <w:rFonts w:ascii="Arial" w:cs="Arial" w:eastAsia="Arial" w:hAnsi="Arial"/>
                <w:sz w:val="14"/>
                <w:szCs w:val="14"/>
                <w:b w:val="1"/>
                <w:bCs w:val="1"/>
                <w:color w:val="32406B"/>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32406B"/>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32406B"/>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32406B"/>
              </w:rPr>
              <w:t>Commercial paper</w:t>
            </w:r>
          </w:p>
        </w:tc>
        <w:tc>
          <w:tcPr>
            <w:tcW w:w="23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3,838</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32406B"/>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41,639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32406B"/>
              </w:rPr>
              <w:t>(236)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41,403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32406B"/>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44,940</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(233)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44,707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32406B"/>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13,170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32406B"/>
                <w:w w:val="88"/>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32406B"/>
              </w:rPr>
              <w:t>(62)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13,108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$103,587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(531)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$103,056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32406B"/>
              </w:rPr>
              <w:t>January 31, 2019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32406B"/>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32406B"/>
                <w:w w:val="90"/>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32406B"/>
                <w:w w:val="95"/>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32406B"/>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32406B"/>
                <w:w w:val="93"/>
              </w:rPr>
              <w:t>Unrealized</w:t>
            </w:r>
          </w:p>
        </w:tc>
        <w:tc>
          <w:tcPr>
            <w:tcW w:w="460" w:type="dxa"/>
            <w:vAlign w:val="bottom"/>
          </w:tcPr>
          <w:p>
            <w:pPr>
              <w:spacing w:after="0"/>
              <w:rPr>
                <w:sz w:val="12"/>
                <w:szCs w:val="12"/>
                <w:color w:val="auto"/>
              </w:rPr>
            </w:pP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32406B"/>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32406B"/>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32406B"/>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32406B"/>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32406B"/>
              </w:rPr>
              <w:t>Commercial paper</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32406B"/>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32406B"/>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32406B"/>
                <w:w w:val="98"/>
              </w:rPr>
              <w:t>53,267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32406B"/>
              </w:rPr>
              <w:t>(53)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53,214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32406B"/>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8"/>
              </w:rPr>
              <w:t>32,675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(71)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32,604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32406B"/>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32406B"/>
                <w:w w:val="98"/>
              </w:rPr>
              <w:t>24,028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32406B"/>
              </w:rPr>
              <w:t>(11)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2406B"/>
                <w:w w:val="94"/>
              </w:rPr>
              <w:t>24,017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32406B"/>
              </w:rPr>
              <w:t>Treasury bills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1,699</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32406B"/>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32406B"/>
              </w:rPr>
              <w:t>Total</w:t>
            </w:r>
          </w:p>
        </w:tc>
        <w:tc>
          <w:tcPr>
            <w:tcW w:w="21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32406B"/>
                <w:w w:val="87"/>
              </w:rPr>
              <w:t>$112,912</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32406B"/>
                <w:w w:val="87"/>
              </w:rPr>
              <w:t>$112,777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32406B"/>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January 31, 2018 and 2019, are temporary in nature. There were no material realized gains or losses from available-for-sale securities that were reclassified out of accumulated other comprehensive loss for fiscal 2017, 2018 or 2019.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F-18</w:t>
      </w:r>
    </w:p>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presents the contractual maturities of our marketable securities as of January 31, 2018 and 2019:</w:t>
      </w:r>
    </w:p>
    <w:p>
      <w:pPr>
        <w:spacing w:after="0" w:line="244"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32406B"/>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6350</wp:posOffset>
            </wp:positionV>
            <wp:extent cx="10807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-3175</wp:posOffset>
            </wp:positionV>
            <wp:extent cx="10807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860"/>
        <w:spacing w:after="0" w:line="233" w:lineRule="auto"/>
        <w:rPr>
          <w:sz w:val="20"/>
          <w:szCs w:val="20"/>
          <w:color w:val="auto"/>
        </w:rPr>
      </w:pPr>
      <w:r>
        <w:rPr>
          <w:rFonts w:ascii="Arial" w:cs="Arial" w:eastAsia="Arial" w:hAnsi="Arial"/>
          <w:sz w:val="14"/>
          <w:szCs w:val="14"/>
          <w:b w:val="1"/>
          <w:bCs w:val="1"/>
          <w:color w:val="32406B"/>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32406B"/>
              </w:rPr>
              <w:t>Less than one year</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58,347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85,077</w:t>
            </w:r>
          </w:p>
        </w:tc>
        <w:tc>
          <w:tcPr>
            <w:tcW w:w="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32406B"/>
              </w:rPr>
              <w:t>Due in one to five years</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44,709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27,700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103,056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112,777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3. Fair Value Measurements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32406B"/>
        </w:rPr>
        <w:t>The following table presents information about our financial instruments that are measured at fair value on a recurring basis using the input categories further discussed in Note 1:</w:t>
      </w: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32406B"/>
              </w:rPr>
              <w:t>January 31, 2018</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32406B"/>
                <w:w w:val="95"/>
              </w:rPr>
              <w:t>Fair Value</w:t>
            </w: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32406B"/>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32406B"/>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Financial Assets: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32406B"/>
              </w:rPr>
              <w:t>Money market fund</w:t>
            </w:r>
          </w:p>
        </w:tc>
        <w:tc>
          <w:tcPr>
            <w:tcW w:w="3220" w:type="dxa"/>
            <w:vAlign w:val="bottom"/>
            <w:gridSpan w:val="2"/>
          </w:tcPr>
          <w:p>
            <w:pPr>
              <w:ind w:left="3120"/>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7,471</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$7,471</w:t>
            </w:r>
          </w:p>
        </w:tc>
        <w:tc>
          <w:tcPr>
            <w:tcW w:w="5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Cash equivalents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7,471</w:t>
            </w: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7,471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32406B"/>
              </w:rPr>
              <w:t>Commercial paper</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3,838</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3,838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Corporate bonds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41,403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41,403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32406B"/>
              </w:rPr>
              <w:t>Agency bonds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44,707</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44,707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U.S. government agency securities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13,108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13,108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32406B"/>
              </w:rPr>
              <w:t>Marketable securities</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103,056</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103,056</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Certificate of deposit</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675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32406B"/>
              </w:rPr>
              <w:t>Other assets, non-current</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675</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675</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32406B"/>
              </w:rPr>
              <w:t>Total financial assets</w:t>
            </w:r>
          </w:p>
        </w:tc>
        <w:tc>
          <w:tcPr>
            <w:tcW w:w="32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111,202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$7,471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103,731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gridSpan w:val="2"/>
          </w:tcPr>
          <w:p>
            <w:pPr>
              <w:ind w:left="1240"/>
              <w:spacing w:after="0"/>
              <w:rPr>
                <w:sz w:val="20"/>
                <w:szCs w:val="20"/>
                <w:color w:val="auto"/>
              </w:rPr>
            </w:pPr>
            <w:r>
              <w:rPr>
                <w:rFonts w:ascii="Arial" w:cs="Arial" w:eastAsia="Arial" w:hAnsi="Arial"/>
                <w:sz w:val="18"/>
                <w:szCs w:val="18"/>
                <w:color w:val="32406B"/>
              </w:rPr>
              <w:t>F-19</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32406B"/>
              </w:rPr>
              <w:t>January 31, 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32406B"/>
                <w:w w:val="95"/>
              </w:rPr>
              <w:t>Fair Value</w:t>
            </w:r>
          </w:p>
        </w:tc>
        <w:tc>
          <w:tcPr>
            <w:tcW w:w="92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32406B"/>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32406B"/>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32406B"/>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32406B"/>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Financial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32406B"/>
              </w:rPr>
              <w:t>Money market fund</w:t>
            </w:r>
          </w:p>
        </w:tc>
        <w:tc>
          <w:tcPr>
            <w:tcW w:w="80" w:type="dxa"/>
            <w:vAlign w:val="bottom"/>
            <w:gridSpan w:val="2"/>
          </w:tcPr>
          <w:p>
            <w:pPr>
              <w:spacing w:after="0"/>
              <w:rPr>
                <w:sz w:val="20"/>
                <w:szCs w:val="20"/>
                <w:color w:val="auto"/>
              </w:rPr>
            </w:pPr>
            <w:r>
              <w:rPr>
                <w:rFonts w:ascii="Arial" w:cs="Arial" w:eastAsia="Arial" w:hAnsi="Arial"/>
                <w:sz w:val="15"/>
                <w:szCs w:val="15"/>
                <w:color w:val="32406B"/>
                <w:w w:val="71"/>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78</w:t>
            </w:r>
          </w:p>
        </w:tc>
        <w:tc>
          <w:tcPr>
            <w:tcW w:w="580" w:type="dxa"/>
            <w:vAlign w:val="bottom"/>
            <w:gridSpan w:val="2"/>
          </w:tcPr>
          <w:p>
            <w:pPr>
              <w:ind w:left="460"/>
              <w:spacing w:after="0"/>
              <w:rPr>
                <w:sz w:val="20"/>
                <w:szCs w:val="20"/>
                <w:color w:val="auto"/>
              </w:rPr>
            </w:pPr>
            <w:r>
              <w:rPr>
                <w:rFonts w:ascii="Arial" w:cs="Arial" w:eastAsia="Arial" w:hAnsi="Arial"/>
                <w:sz w:val="18"/>
                <w:szCs w:val="18"/>
                <w:color w:val="32406B"/>
                <w:w w:val="99"/>
              </w:rPr>
              <w:t>$</w:t>
            </w:r>
          </w:p>
        </w:tc>
        <w:tc>
          <w:tcPr>
            <w:tcW w:w="340" w:type="dxa"/>
            <w:vAlign w:val="bottom"/>
          </w:tcPr>
          <w:p>
            <w:pPr>
              <w:ind w:left="140"/>
              <w:spacing w:after="0"/>
              <w:rPr>
                <w:sz w:val="20"/>
                <w:szCs w:val="20"/>
                <w:color w:val="auto"/>
              </w:rPr>
            </w:pPr>
            <w:r>
              <w:rPr>
                <w:rFonts w:ascii="Arial" w:cs="Arial" w:eastAsia="Arial" w:hAnsi="Arial"/>
                <w:sz w:val="18"/>
                <w:szCs w:val="18"/>
                <w:color w:val="32406B"/>
                <w:w w:val="89"/>
              </w:rPr>
              <w:t>78</w:t>
            </w:r>
          </w:p>
        </w:tc>
        <w:tc>
          <w:tcPr>
            <w:tcW w:w="5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80" w:type="dxa"/>
            <w:vAlign w:val="bottom"/>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Cash equivalents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78</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32406B"/>
                <w:w w:val="89"/>
              </w:rPr>
              <w:t>78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32406B"/>
              </w:rPr>
              <w:t>Commercial paper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1,243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1,243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53,214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53,214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32406B"/>
              </w:rPr>
              <w:t>Agency bonds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32,604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32,604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U.S. government agency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24,017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24,017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32406B"/>
              </w:rPr>
              <w:t>Treasury bills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1,699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1,699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112,777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6"/>
              </w:rPr>
              <w:t>112,777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30"/>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32406B"/>
              </w:rPr>
              <w:t>Certificate of deposit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200</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200</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32406B"/>
              </w:rPr>
              <w:t>Certificate of deposit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2,144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2,144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Other assets, non-current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2,144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32406B"/>
              </w:rPr>
              <w:t>Total financial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32406B"/>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115,199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32406B"/>
                <w:w w:val="89"/>
              </w:rPr>
              <w:t>78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115,121</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Financial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32406B"/>
              </w:rPr>
              <w:t>Convertible promissory notes – bifurcated derivative liabilities</w:t>
            </w:r>
          </w:p>
        </w:tc>
        <w:tc>
          <w:tcPr>
            <w:tcW w:w="80" w:type="dxa"/>
            <w:vAlign w:val="bottom"/>
            <w:gridSpan w:val="2"/>
          </w:tcPr>
          <w:p>
            <w:pPr>
              <w:spacing w:after="0"/>
              <w:rPr>
                <w:sz w:val="20"/>
                <w:szCs w:val="20"/>
                <w:color w:val="auto"/>
              </w:rPr>
            </w:pPr>
            <w:r>
              <w:rPr>
                <w:rFonts w:ascii="Arial" w:cs="Arial" w:eastAsia="Arial" w:hAnsi="Arial"/>
                <w:sz w:val="15"/>
                <w:szCs w:val="15"/>
                <w:color w:val="32406B"/>
                <w:w w:val="71"/>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163</w:t>
            </w:r>
          </w:p>
        </w:tc>
        <w:tc>
          <w:tcPr>
            <w:tcW w:w="580" w:type="dxa"/>
            <w:vAlign w:val="bottom"/>
            <w:gridSpan w:val="2"/>
          </w:tcPr>
          <w:p>
            <w:pPr>
              <w:ind w:left="460"/>
              <w:spacing w:after="0"/>
              <w:rPr>
                <w:sz w:val="20"/>
                <w:szCs w:val="20"/>
                <w:color w:val="auto"/>
              </w:rPr>
            </w:pPr>
            <w:r>
              <w:rPr>
                <w:rFonts w:ascii="Arial" w:cs="Arial" w:eastAsia="Arial" w:hAnsi="Arial"/>
                <w:sz w:val="18"/>
                <w:szCs w:val="18"/>
                <w:color w:val="32406B"/>
                <w:w w:val="99"/>
              </w:rPr>
              <w:t>$</w:t>
            </w:r>
          </w:p>
        </w:tc>
        <w:tc>
          <w:tcPr>
            <w:tcW w:w="340" w:type="dxa"/>
            <w:vAlign w:val="bottom"/>
          </w:tcPr>
          <w:p>
            <w:pPr>
              <w:ind w:left="140"/>
              <w:spacing w:after="0"/>
              <w:rPr>
                <w:sz w:val="20"/>
                <w:szCs w:val="20"/>
                <w:color w:val="auto"/>
              </w:rPr>
            </w:pPr>
            <w:r>
              <w:rPr>
                <w:rFonts w:ascii="Arial" w:cs="Arial" w:eastAsia="Arial" w:hAnsi="Arial"/>
                <w:sz w:val="18"/>
                <w:szCs w:val="18"/>
                <w:color w:val="32406B"/>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80" w:type="dxa"/>
            <w:vAlign w:val="bottom"/>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320" w:type="dxa"/>
            <w:vAlign w:val="bottom"/>
          </w:tcPr>
          <w:p>
            <w:pPr>
              <w:jc w:val="right"/>
              <w:spacing w:after="0"/>
              <w:rPr>
                <w:sz w:val="20"/>
                <w:szCs w:val="20"/>
                <w:color w:val="auto"/>
              </w:rPr>
            </w:pPr>
            <w:r>
              <w:rPr>
                <w:rFonts w:ascii="Arial" w:cs="Arial" w:eastAsia="Arial" w:hAnsi="Arial"/>
                <w:sz w:val="18"/>
                <w:szCs w:val="18"/>
                <w:color w:val="32406B"/>
                <w:w w:val="99"/>
              </w:rPr>
              <w:t>163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Other liabilities, non-current</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163</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9"/>
              </w:rPr>
              <w:t>163</w:t>
            </w:r>
          </w:p>
        </w:tc>
        <w:tc>
          <w:tcPr>
            <w:tcW w:w="6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32406B"/>
              </w:rPr>
              <w:t>Total financial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32406B"/>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32406B"/>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9"/>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32406B"/>
        </w:rPr>
        <w:t>We classify our highly liquid money market funds within Level 1 of the fair value hierarchy because they are valued based on quoted market prices in active markets. We classify our commercial paper, agency bonds, corporate bonds, U.S. government agency securities, treasury bills and certificate of deposit within Level 2 because they are valued using inputs other than quoted prices which are directly or indirectly observable in the market, including readily-available pricing sources for the identical underlying security which may not be actively traded. We classify the derivative liabilities as Level 3 due to the lack of relevant observable market data over fair value inputs such as the probability-weighting of the various scenarios that can impact settlement of the arrangement. There were no transfers of financial instruments between Level 1, Level 2 and Level 3 during the periods presented.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a summary of the changes in the fair value of our Level 3 financial instruments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32406B"/>
              </w:rPr>
              <w:t>Derivative</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32406B"/>
              </w:rPr>
              <w:t>Liabilities</w:t>
            </w: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32406B"/>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32406B"/>
              </w:rPr>
              <w:t>Balance - January 31, 2018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32406B"/>
              </w:rPr>
              <w:t>Derivative liabilities bifurcated from convertible promissory notes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32406B"/>
              </w:rPr>
              <w:t>Change in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w:t>
            </w:r>
          </w:p>
        </w:tc>
        <w:tc>
          <w:tcPr>
            <w:tcW w:w="60" w:type="dxa"/>
            <w:vAlign w:val="bottom"/>
            <w:shd w:val="clear" w:color="auto" w:fill="CCEEFF"/>
          </w:tcPr>
          <w:p>
            <w:pPr>
              <w:spacing w:after="0"/>
              <w:rPr>
                <w:sz w:val="18"/>
                <w:szCs w:val="18"/>
                <w:color w:val="auto"/>
              </w:rPr>
            </w:pPr>
          </w:p>
        </w:tc>
      </w:tr>
      <w:tr>
        <w:trPr>
          <w:trHeight w:val="223"/>
        </w:trPr>
        <w:tc>
          <w:tcPr>
            <w:tcW w:w="10100" w:type="dxa"/>
            <w:vAlign w:val="bottom"/>
            <w:gridSpan w:val="2"/>
          </w:tcPr>
          <w:p>
            <w:pPr>
              <w:spacing w:after="0"/>
              <w:rPr>
                <w:sz w:val="20"/>
                <w:szCs w:val="20"/>
                <w:color w:val="auto"/>
              </w:rPr>
            </w:pPr>
            <w:r>
              <w:rPr>
                <w:rFonts w:ascii="Arial" w:cs="Arial" w:eastAsia="Arial" w:hAnsi="Arial"/>
                <w:sz w:val="18"/>
                <w:szCs w:val="18"/>
                <w:color w:val="32406B"/>
              </w:rPr>
              <w:t>Balance - January 31, 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32406B"/>
        </w:rPr>
        <w:t>The fair value of the derivative liabilities were measured using a with-and-without approach. Inputs used to determine the estimated fair value of the derivative instruments include the probability estimates of potential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F-20</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32406B"/>
        </w:rPr>
        <w:t>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4. Consolidated Balance Sheet Components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Property and Equipment,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Property and equipment,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32406B"/>
              </w:rPr>
              <w:t>January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32406B"/>
              </w:rPr>
              <w:t>2018</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8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Computer and office equipment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$13,865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$ 32,515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Furniture and fixtures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32406B"/>
              </w:rPr>
              <w:t>512</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32406B"/>
              </w:rPr>
              <w:t>1,993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32406B"/>
              </w:rPr>
              <w:t>Software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6,575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Leasehold improvements</w:t>
            </w:r>
          </w:p>
        </w:tc>
        <w:tc>
          <w:tcPr>
            <w:tcW w:w="2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7,660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Property and equipment, gross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17,732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48,743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32406B"/>
              </w:rPr>
              <w:t>Less: accumulated depreciation and amortization</w:t>
            </w:r>
          </w:p>
        </w:tc>
        <w:tc>
          <w:tcPr>
            <w:tcW w:w="28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32406B"/>
              </w:rPr>
              <w:t>(4,700)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32406B"/>
              </w:rPr>
              <w:t>(11,468)</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Property and equipment, net</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$13,032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$ 37,275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32406B"/>
        </w:rPr>
        <w:t>Depreciation and amortization expense was $1.2 million, $2.8 million and $7.0 million for the fiscal years ended January 31, 2017, 2018 and 2019, respectively.</w:t>
      </w:r>
    </w:p>
    <w:p>
      <w:pPr>
        <w:spacing w:after="0" w:line="170" w:lineRule="exact"/>
        <w:rPr>
          <w:sz w:val="20"/>
          <w:szCs w:val="20"/>
          <w:color w:val="auto"/>
        </w:rPr>
      </w:pPr>
    </w:p>
    <w:p>
      <w:pPr>
        <w:ind w:left="200" w:right="2920" w:firstLine="441"/>
        <w:spacing w:after="0" w:line="277" w:lineRule="auto"/>
        <w:rPr>
          <w:sz w:val="20"/>
          <w:szCs w:val="20"/>
          <w:color w:val="auto"/>
        </w:rPr>
      </w:pPr>
      <w:r>
        <w:rPr>
          <w:rFonts w:ascii="Arial" w:cs="Arial" w:eastAsia="Arial" w:hAnsi="Arial"/>
          <w:sz w:val="18"/>
          <w:szCs w:val="18"/>
          <w:color w:val="32406B"/>
        </w:rPr>
        <w:t>As of January 31, 2018, property and equipment financed under capital leases were immaterial. We had no property and equipment financed under capital lease as of January 31,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Accrued Expenses and Other Current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Accrued expenses and other current liabilities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32406B"/>
              </w:rPr>
              <w:t>January 31,</w:t>
            </w: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32406B"/>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32406B"/>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Accrued compensation and benefits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9,206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$12,004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Accrued expenses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3,920</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13,596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Liability for early exercise of common stock options</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1,781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32406B"/>
              </w:rPr>
              <w:t>Sales and other tax liabilities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481</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1,183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32406B"/>
              </w:rPr>
              <w:t>Other</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3,692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32406B"/>
              </w:rPr>
              <w:t>Accrued expenses and other current liabilities</w:t>
            </w:r>
          </w:p>
        </w:tc>
        <w:tc>
          <w:tcPr>
            <w:tcW w:w="4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15,455</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$32,256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940" w:type="dxa"/>
            <w:vAlign w:val="bottom"/>
            <w:gridSpan w:val="2"/>
          </w:tcPr>
          <w:p>
            <w:pPr>
              <w:jc w:val="right"/>
              <w:ind w:right="3745"/>
              <w:spacing w:after="0"/>
              <w:rPr>
                <w:sz w:val="20"/>
                <w:szCs w:val="20"/>
                <w:color w:val="auto"/>
              </w:rPr>
            </w:pPr>
            <w:r>
              <w:rPr>
                <w:rFonts w:ascii="Arial" w:cs="Arial" w:eastAsia="Arial" w:hAnsi="Arial"/>
                <w:sz w:val="18"/>
                <w:szCs w:val="18"/>
                <w:color w:val="32406B"/>
              </w:rPr>
              <w:t>F-21</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Other Liabilities, Non-current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Other liabilities, non-current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32406B"/>
              </w:rPr>
              <w:t>January 31,</w:t>
            </w: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32406B"/>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32406B"/>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32406B"/>
              </w:rPr>
              <w:t>Sales and other tax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87"/>
              </w:rPr>
              <w:t>$8,395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$20,817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32406B"/>
              </w:rPr>
              <w:t>Convertible promissory notes, net of debt discount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14,858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32406B"/>
              </w:rPr>
              <w:t>Derivative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32406B"/>
              </w:rPr>
              <w:t>Deferred 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764</w:t>
            </w:r>
          </w:p>
        </w:tc>
        <w:tc>
          <w:tcPr>
            <w:tcW w:w="980" w:type="dxa"/>
            <w:vAlign w:val="bottom"/>
            <w:gridSpan w:val="2"/>
          </w:tcPr>
          <w:p>
            <w:pPr>
              <w:jc w:val="right"/>
              <w:spacing w:after="0"/>
              <w:rPr>
                <w:sz w:val="20"/>
                <w:szCs w:val="20"/>
                <w:color w:val="auto"/>
              </w:rPr>
            </w:pPr>
            <w:r>
              <w:rPr>
                <w:rFonts w:ascii="Arial" w:cs="Arial" w:eastAsia="Arial" w:hAnsi="Arial"/>
                <w:sz w:val="18"/>
                <w:szCs w:val="18"/>
                <w:color w:val="32406B"/>
              </w:rPr>
              <w:t>2,314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32406B"/>
              </w:rPr>
              <w:t>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1,308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32406B"/>
              </w:rPr>
              <w:t>Other liabilities, non-current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3"/>
              </w:rPr>
              <w:t>$9,698</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$39,460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5. Convertible Promissory Notes</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32406B"/>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notes” throughout the notes to the consolidated financial statements, unless otherwise stated. The notes will automatically convert into shares of Class A common stock upon an IPO at a conversion price equal to the IPO price. The notes are automatically redeemed upon the occurrence of a “Liquidation Event” (defined as (1) the acquisition of the Company by another entity (other than an acquisition in which holders of the voting securities outstanding immediately prior to the transaction retain, immediately after the transaction, at least a majority of the total voting power), (2) a sale, lease, exclusive license or other disposition of all or substantially all of the Company’s assets by means of a transaction or series of transactions (other than a sale, lease, exclusive license or other disposition made to a wholly-owned subsidiary), or (3) any dissolution, liquidation or winding-up of the Company, whether voluntary or involuntary) for a cash amount equal to 1.2 times the principal plus accrued and unpaid interest as of the date of the liquidation event. In the event of a “Qualified Financing” (defined as a transaction or series of transactions in which we issue newly-issued preferred stock for aggregate gross proceeds of at least $25.0 million), the notes will automatically convert into shares of newly-issued preferred stock at a conversion price equal to 80% of the preferred stock price. The holders of the notes also have the right, at their option, to convert the notes into shares of newly-issued preferred stock in a financing that is not a “Qualified Financing” at a conversion price equal to 80% of the preferred stock price.</w:t>
      </w:r>
    </w:p>
    <w:p>
      <w:pPr>
        <w:spacing w:after="0" w:line="17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32406B"/>
        </w:rPr>
        <w:t>We concluded that the conversion term on both the Liquidation Event and Qualified Financing should be bifurcated as embedded derivatives. The impact of the change in fair value of the derivatives was reported in other income, net on the consolidated statement of operations. We will remeasure the fair value of each embedded derivative at each reporting period and recognize the change in the consolidated statement of operations. The excess of the principal amount of the Dropbox and Atlassian notes over the liability component (debt discount) is amortized to interest expense over the contractual term of the notes at an effective interest rate of 3.22% and 5.39%, respectively. We recorded interest expense of $0.2 million during fiscal 2019 related to the notes. We present a summary of the changes in the fair value of our embedded derivatives in Note 3 above.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F-22</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a summary of the outstanding convertible promissory notes: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3"/>
              </w:rPr>
              <w:t>Convertible</w:t>
            </w:r>
          </w:p>
        </w:tc>
      </w:tr>
      <w:tr>
        <w:trPr>
          <w:trHeight w:val="149"/>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0"/>
              </w:rPr>
              <w:t>Promissory</w:t>
            </w:r>
          </w:p>
        </w:tc>
      </w:tr>
      <w:tr>
        <w:trPr>
          <w:trHeight w:val="17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87"/>
              </w:rPr>
              <w:t>Notes</w:t>
            </w:r>
          </w:p>
        </w:tc>
      </w:tr>
      <w:tr>
        <w:trPr>
          <w:trHeight w:val="142"/>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32406B"/>
                <w:w w:val="89"/>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32406B"/>
              </w:rPr>
              <w:t>Balance—January 31, 2018</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32406B"/>
              </w:rPr>
              <w:t>Convertible promissory notes issued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32406B"/>
              </w:rPr>
              <w:t>Unamortized debt discount, net of accretion during the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(142)</w:t>
            </w:r>
          </w:p>
        </w:tc>
      </w:tr>
      <w:tr>
        <w:trPr>
          <w:trHeight w:val="223"/>
        </w:trPr>
        <w:tc>
          <w:tcPr>
            <w:tcW w:w="10040" w:type="dxa"/>
            <w:vAlign w:val="bottom"/>
            <w:gridSpan w:val="2"/>
          </w:tcPr>
          <w:p>
            <w:pPr>
              <w:spacing w:after="0"/>
              <w:rPr>
                <w:sz w:val="20"/>
                <w:szCs w:val="20"/>
                <w:color w:val="auto"/>
              </w:rPr>
            </w:pPr>
            <w:r>
              <w:rPr>
                <w:rFonts w:ascii="Arial" w:cs="Arial" w:eastAsia="Arial" w:hAnsi="Arial"/>
                <w:sz w:val="18"/>
                <w:szCs w:val="18"/>
                <w:color w:val="32406B"/>
              </w:rPr>
              <w:t>Balance—January 31, 2019</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14,858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6. Commitments and Contingencies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Operating Leases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32406B"/>
        </w:rPr>
        <w:t>We lease our office facilities in Australia, China, the United Kingdom and the United States under noncancelable agreements that expire at various dates through January 2028. Rent expense during the fiscal year ended January 31, 2017, 2018 and 2019 was $1.6 million, $3.3 million and $7.2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Future minimum payments related to operating leases as of January 31, 2019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32406B"/>
              </w:rPr>
              <w:t>January 31,</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32406B"/>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32406B"/>
              </w:rPr>
              <w:t>Year Ending January 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32406B"/>
              </w:rPr>
              <w:t>2020</w:t>
            </w:r>
          </w:p>
        </w:tc>
        <w:tc>
          <w:tcPr>
            <w:tcW w:w="180" w:type="dxa"/>
            <w:vAlign w:val="bottom"/>
            <w:gridSpan w:val="2"/>
          </w:tcPr>
          <w:p>
            <w:pPr>
              <w:spacing w:after="0"/>
              <w:rPr>
                <w:sz w:val="20"/>
                <w:szCs w:val="20"/>
                <w:color w:val="auto"/>
              </w:rPr>
            </w:pPr>
            <w:r>
              <w:rPr>
                <w:rFonts w:ascii="Arial" w:cs="Arial" w:eastAsia="Arial" w:hAnsi="Arial"/>
                <w:sz w:val="18"/>
                <w:szCs w:val="18"/>
                <w:color w:val="32406B"/>
              </w:rPr>
              <w:t>$</w:t>
            </w:r>
          </w:p>
        </w:tc>
        <w:tc>
          <w:tcPr>
            <w:tcW w:w="700" w:type="dxa"/>
            <w:vAlign w:val="bottom"/>
          </w:tcPr>
          <w:p>
            <w:pPr>
              <w:jc w:val="right"/>
              <w:spacing w:after="0"/>
              <w:rPr>
                <w:sz w:val="20"/>
                <w:szCs w:val="20"/>
                <w:color w:val="auto"/>
              </w:rPr>
            </w:pPr>
            <w:r>
              <w:rPr>
                <w:rFonts w:ascii="Arial" w:cs="Arial" w:eastAsia="Arial" w:hAnsi="Arial"/>
                <w:sz w:val="18"/>
                <w:szCs w:val="18"/>
                <w:color w:val="32406B"/>
              </w:rPr>
              <w:t>7,609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7,837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32406B"/>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7,888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7,514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32406B"/>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7,174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18,635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80" w:type="dxa"/>
            <w:vAlign w:val="bottom"/>
          </w:tcPr>
          <w:p>
            <w:pPr>
              <w:ind w:left="700"/>
              <w:spacing w:after="0"/>
              <w:rPr>
                <w:sz w:val="20"/>
                <w:szCs w:val="20"/>
                <w:color w:val="auto"/>
              </w:rPr>
            </w:pPr>
            <w:r>
              <w:rPr>
                <w:rFonts w:ascii="Arial" w:cs="Arial" w:eastAsia="Arial" w:hAnsi="Arial"/>
                <w:sz w:val="18"/>
                <w:szCs w:val="18"/>
                <w:color w:val="32406B"/>
              </w:rPr>
              <w:t>Total future minimum payments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56,657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Non-cancelable Purchase Obligations</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32406B"/>
        </w:rPr>
        <w:t>In the normal course of business, we enter into non-cancelable purchase commitments with various parties to purchase primarily software-based services. As of January 31, 2019, we had outstanding non-cancelable purchase obligations with a term of 12 months or longer of $25.1 million.</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Indemnifications and Contingency</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In addition, we have indemnification agreements with our directors and our executive officers that require us, among other things, to indemnify our directors and executive officers for costs associated with any fees,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F-23</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32406B"/>
        </w:rPr>
        <w:t>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Sales and Other Tax Liabilities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32406B"/>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2018 and 2019, we recorded sales and other tax liabilities of $8.9 million and $22.0 million, respectively, of which $0.5 million and $1.2 million are included in accrued expenses and other current liabilities, respectively, and $8.4 million and $20.8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Other Contingencies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32406B"/>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32406B"/>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and OFAC. If we are found to be in violation of U.S. economic sanctions or export control laws, it could result in fines and penalties. We may also be adversely affected through other penalties, reputational harm, loss of access to certain markets or other factors. No loss has been recognized in the financial statements for this loss contingency as it is not probable a loss has been incurred and the range of a possible loss is not estimable.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2406B"/>
        </w:rPr>
        <w:t>F-24</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Legal Proceedings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32406B"/>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26" w:lineRule="exact"/>
        <w:rPr>
          <w:sz w:val="20"/>
          <w:szCs w:val="20"/>
          <w:color w:val="auto"/>
        </w:rPr>
      </w:pPr>
    </w:p>
    <w:p>
      <w:pPr>
        <w:ind w:left="740" w:hanging="536"/>
        <w:spacing w:after="0"/>
        <w:tabs>
          <w:tab w:leader="none" w:pos="740" w:val="left"/>
        </w:tabs>
        <w:numPr>
          <w:ilvl w:val="0"/>
          <w:numId w:val="93"/>
        </w:numPr>
        <w:rPr>
          <w:rFonts w:ascii="Arial" w:cs="Arial" w:eastAsia="Arial" w:hAnsi="Arial"/>
          <w:sz w:val="18"/>
          <w:szCs w:val="18"/>
          <w:b w:val="1"/>
          <w:bCs w:val="1"/>
          <w:color w:val="32406B"/>
        </w:rPr>
      </w:pPr>
      <w:r>
        <w:rPr>
          <w:rFonts w:ascii="Arial" w:cs="Arial" w:eastAsia="Arial" w:hAnsi="Arial"/>
          <w:sz w:val="18"/>
          <w:szCs w:val="18"/>
          <w:b w:val="1"/>
          <w:bCs w:val="1"/>
          <w:color w:val="32406B"/>
        </w:rPr>
        <w:t>Convertible Preferred Stock, Stockholders’ Deficit and Equity Incentive Plan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Convertible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Convertible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32406B"/>
                <w:w w:val="94"/>
              </w:rPr>
              <w:t>January 31, 2018 and 2019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6"/>
              </w:rPr>
              <w:t>Designated</w:t>
            </w:r>
          </w:p>
        </w:tc>
        <w:tc>
          <w:tcPr>
            <w:tcW w:w="26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32406B"/>
                <w:w w:val="97"/>
              </w:rPr>
              <w:t>Shares Issued</w:t>
            </w:r>
          </w:p>
        </w:tc>
        <w:tc>
          <w:tcPr>
            <w:tcW w:w="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32406B"/>
                <w:w w:val="96"/>
              </w:rPr>
              <w:t>Aggregate</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5"/>
              </w:rPr>
              <w:t>Shares</w:t>
            </w:r>
          </w:p>
        </w:tc>
        <w:tc>
          <w:tcPr>
            <w:tcW w:w="2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88"/>
              </w:rPr>
              <w:t>and</w:t>
            </w: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32406B"/>
                <w:w w:val="95"/>
              </w:rPr>
              <w:t>Liquidation</w:t>
            </w:r>
          </w:p>
        </w:tc>
      </w:t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32406B"/>
                <w:w w:val="92"/>
              </w:rPr>
              <w:t>Authorized</w:t>
            </w:r>
          </w:p>
        </w:tc>
        <w:tc>
          <w:tcPr>
            <w:tcW w:w="2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4"/>
              </w:rPr>
              <w:t>Outstanding</w:t>
            </w:r>
          </w:p>
        </w:tc>
        <w:tc>
          <w:tcPr>
            <w:tcW w:w="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32406B"/>
                <w:w w:val="91"/>
              </w:rPr>
              <w:t>Preference</w:t>
            </w: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72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32406B"/>
              </w:rPr>
              <w:t>(in thousands, except share data)</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Series 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67,083,500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61,717,700</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9,258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32406B"/>
              </w:rPr>
              <w:t>Series B</w:t>
            </w:r>
          </w:p>
        </w:tc>
        <w:tc>
          <w:tcPr>
            <w:tcW w:w="1020" w:type="dxa"/>
            <w:vAlign w:val="bottom"/>
          </w:tcPr>
          <w:p>
            <w:pPr>
              <w:jc w:val="right"/>
              <w:spacing w:after="0"/>
              <w:rPr>
                <w:sz w:val="20"/>
                <w:szCs w:val="20"/>
                <w:color w:val="auto"/>
              </w:rPr>
            </w:pPr>
            <w:r>
              <w:rPr>
                <w:rFonts w:ascii="Arial" w:cs="Arial" w:eastAsia="Arial" w:hAnsi="Arial"/>
                <w:sz w:val="18"/>
                <w:szCs w:val="18"/>
                <w:color w:val="32406B"/>
              </w:rPr>
              <w:t>25,857,784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32406B"/>
              </w:rPr>
              <w:t>25,857,784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2406B"/>
              </w:rPr>
              <w:t>6,500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34,363,256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34,363,256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32406B"/>
              </w:rPr>
              <w:t>Series 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30,800,000</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30,727,064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5"/>
              </w:rPr>
              <w:t>114,966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158,104,540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152,665,804</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160,724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holders of the convertible preferred stock have the following rights, preferences and privileges:</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32406B"/>
        </w:rPr>
        <w:t xml:space="preserve">Dividend Rights </w:t>
      </w:r>
      <w:r>
        <w:rPr>
          <w:rFonts w:ascii="Arial" w:cs="Arial" w:eastAsia="Arial" w:hAnsi="Arial"/>
          <w:sz w:val="18"/>
          <w:szCs w:val="18"/>
          <w:color w:val="32406B"/>
        </w:rPr>
        <w:t>– Holders of convertible preferred stock are entitled to receive noncumulative dividends at the rate of 6% of their applicable</w:t>
      </w:r>
      <w:r>
        <w:rPr>
          <w:rFonts w:ascii="Arial" w:cs="Arial" w:eastAsia="Arial" w:hAnsi="Arial"/>
          <w:sz w:val="18"/>
          <w:szCs w:val="18"/>
          <w:i w:val="1"/>
          <w:iCs w:val="1"/>
          <w:color w:val="32406B"/>
        </w:rPr>
        <w:t xml:space="preserve"> </w:t>
      </w:r>
      <w:r>
        <w:rPr>
          <w:rFonts w:ascii="Arial" w:cs="Arial" w:eastAsia="Arial" w:hAnsi="Arial"/>
          <w:sz w:val="18"/>
          <w:szCs w:val="18"/>
          <w:color w:val="32406B"/>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18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i w:val="1"/>
          <w:iCs w:val="1"/>
          <w:color w:val="32406B"/>
        </w:rPr>
        <w:t xml:space="preserve">Conversion Rights </w:t>
      </w:r>
      <w:r>
        <w:rPr>
          <w:rFonts w:ascii="Arial" w:cs="Arial" w:eastAsia="Arial" w:hAnsi="Arial"/>
          <w:sz w:val="16"/>
          <w:szCs w:val="16"/>
          <w:color w:val="32406B"/>
        </w:rPr>
        <w:t>– Holders of convertible preferred stock have the right to convert at any time into shares of Class B common stock at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applicable conversion ratio arrived at by dividing the original issuance price by the applicable conversion price. All shares of the convertible preferred stock shall be automatically converted into shares of Class B common stock (i) upon the written request from holders of each of (a) a majority of the Series A convertible preferred stock then outstanding, (b) a majority of the Series B convertible preferred stock then outstanding, (c) a majority of the Series C convertible preferred stock then outstanding, and (d) a majority of the Series D convertible preferred stock outstanding, or (ii) into shares of Class B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166"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i w:val="1"/>
          <w:iCs w:val="1"/>
          <w:color w:val="32406B"/>
        </w:rPr>
        <w:t xml:space="preserve">Liquidation Preference </w:t>
      </w:r>
      <w:r>
        <w:rPr>
          <w:rFonts w:ascii="Arial" w:cs="Arial" w:eastAsia="Arial" w:hAnsi="Arial"/>
          <w:sz w:val="16"/>
          <w:szCs w:val="16"/>
          <w:color w:val="32406B"/>
        </w:rPr>
        <w:t>– In the event of any liquidation, dissolution or winding up of the Company, either voluntary or involuntary, the holders of</w:t>
      </w:r>
      <w:r>
        <w:rPr>
          <w:rFonts w:ascii="Arial" w:cs="Arial" w:eastAsia="Arial" w:hAnsi="Arial"/>
          <w:sz w:val="16"/>
          <w:szCs w:val="16"/>
          <w:i w:val="1"/>
          <w:iCs w:val="1"/>
          <w:color w:val="32406B"/>
        </w:rPr>
        <w:t xml:space="preserve"> </w:t>
      </w:r>
      <w:r>
        <w:rPr>
          <w:rFonts w:ascii="Arial" w:cs="Arial" w:eastAsia="Arial" w:hAnsi="Arial"/>
          <w:sz w:val="16"/>
          <w:szCs w:val="16"/>
          <w:color w:val="32406B"/>
        </w:rPr>
        <w:t>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F-25</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32406B"/>
        </w:rPr>
        <w:t>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Class B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Class B common stock. The remaining funds are distributed with equal priority and pro rata among the holders of preferred stock and common stock.</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i w:val="1"/>
          <w:iCs w:val="1"/>
          <w:color w:val="32406B"/>
        </w:rPr>
        <w:t xml:space="preserve">Voting Rights </w:t>
      </w:r>
      <w:r>
        <w:rPr>
          <w:rFonts w:ascii="Arial" w:cs="Arial" w:eastAsia="Arial" w:hAnsi="Arial"/>
          <w:sz w:val="18"/>
          <w:szCs w:val="18"/>
          <w:color w:val="32406B"/>
        </w:rPr>
        <w:t>– The holders of convertible preferred stock are entitled to vote on all matters and are entitled to the number of votes equal to ten</w:t>
      </w:r>
      <w:r>
        <w:rPr>
          <w:rFonts w:ascii="Arial" w:cs="Arial" w:eastAsia="Arial" w:hAnsi="Arial"/>
          <w:sz w:val="18"/>
          <w:szCs w:val="18"/>
          <w:i w:val="1"/>
          <w:iCs w:val="1"/>
          <w:color w:val="32406B"/>
        </w:rPr>
        <w:t xml:space="preserve"> </w:t>
      </w:r>
      <w:r>
        <w:rPr>
          <w:rFonts w:ascii="Arial" w:cs="Arial" w:eastAsia="Arial" w:hAnsi="Arial"/>
          <w:sz w:val="18"/>
          <w:szCs w:val="18"/>
          <w:color w:val="32406B"/>
        </w:rPr>
        <w:t>times the number of shares of Class B common stock into which each share of convertible preferred stock is then convertible. The holders of convertible preferred stock vote together with the holders of Class B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Class B common stock, voting as a separate class, are entitled to elect two members of the board of directors. The holders of convertible preferred stock and Class B common stock, voting together as a single class on an as-if-converted basis, are entitled to elect remaining members of the board of directors.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32406B"/>
        </w:rPr>
        <w:t xml:space="preserve">Redemption </w:t>
      </w:r>
      <w:r>
        <w:rPr>
          <w:rFonts w:ascii="Arial" w:cs="Arial" w:eastAsia="Arial" w:hAnsi="Arial"/>
          <w:sz w:val="18"/>
          <w:szCs w:val="18"/>
          <w:color w:val="32406B"/>
        </w:rPr>
        <w:t>– The convertible preferred stock does not contain any date-certain redemption features.</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32406B"/>
        </w:rPr>
        <w:t xml:space="preserve">Classification of Convertible Preferred Stock </w:t>
      </w:r>
      <w:r>
        <w:rPr>
          <w:rFonts w:ascii="Arial" w:cs="Arial" w:eastAsia="Arial" w:hAnsi="Arial"/>
          <w:sz w:val="18"/>
          <w:szCs w:val="18"/>
          <w:color w:val="32406B"/>
        </w:rPr>
        <w:t>– The deemed liquidation preference provisions of the convertible preferred stock are considered</w:t>
      </w:r>
      <w:r>
        <w:rPr>
          <w:rFonts w:ascii="Arial" w:cs="Arial" w:eastAsia="Arial" w:hAnsi="Arial"/>
          <w:sz w:val="18"/>
          <w:szCs w:val="18"/>
          <w:i w:val="1"/>
          <w:iCs w:val="1"/>
          <w:color w:val="32406B"/>
        </w:rPr>
        <w:t xml:space="preserve"> </w:t>
      </w:r>
      <w:r>
        <w:rPr>
          <w:rFonts w:ascii="Arial" w:cs="Arial" w:eastAsia="Arial" w:hAnsi="Arial"/>
          <w:sz w:val="18"/>
          <w:szCs w:val="18"/>
          <w:color w:val="32406B"/>
        </w:rPr>
        <w:t>contingent redemption provisions that are not solely within our control. Accordingly, the convertible preferred stock has been presented outside of permanent equity in the mezzanine section of the consolidated balance sheets.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32406B"/>
        </w:rPr>
        <w:t>Repurchases of Convertible Preferred Stock</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32406B"/>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32406B"/>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Dual Class Common Stock Structure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32406B"/>
        </w:rPr>
        <w:t>In November 2018, we implemented a dual class common stock structure pursuant to which all then-outstanding shares of our common stock were reclassified as Class B common stock and a new class of Class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F-26</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32406B"/>
        </w:rPr>
        <w:t>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the closing of our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7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32406B"/>
        </w:rPr>
        <w:t>Upon the effectiveness of the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referred to as common stock throughout the notes to the consolidated financial statements, unless otherwise noted.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We have the following shares of common stock reserved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440" w:type="dxa"/>
            <w:vAlign w:val="bottom"/>
            <w:gridSpan w:val="4"/>
          </w:tcPr>
          <w:p>
            <w:pPr>
              <w:ind w:left="820"/>
              <w:spacing w:after="0"/>
              <w:rPr>
                <w:sz w:val="20"/>
                <w:szCs w:val="20"/>
                <w:color w:val="auto"/>
              </w:rPr>
            </w:pPr>
            <w:r>
              <w:rPr>
                <w:rFonts w:ascii="Arial" w:cs="Arial" w:eastAsia="Arial" w:hAnsi="Arial"/>
                <w:sz w:val="14"/>
                <w:szCs w:val="14"/>
                <w:b w:val="1"/>
                <w:bCs w:val="1"/>
                <w:color w:val="32406B"/>
              </w:rPr>
              <w:t>January 31,</w:t>
            </w: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32406B"/>
              </w:rPr>
              <w:t>2018</w:t>
            </w:r>
          </w:p>
        </w:tc>
        <w:tc>
          <w:tcPr>
            <w:tcW w:w="1320" w:type="dxa"/>
            <w:vAlign w:val="bottom"/>
            <w:tcBorders>
              <w:top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32406B"/>
              </w:rPr>
              <w:t>2019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Conversion of convertible preferred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152,665,804</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152,665,804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32406B"/>
              </w:rPr>
              <w:t>Outstanding stock options</w:t>
            </w:r>
          </w:p>
        </w:tc>
        <w:tc>
          <w:tcPr>
            <w:tcW w:w="1040" w:type="dxa"/>
            <w:vAlign w:val="bottom"/>
          </w:tcPr>
          <w:p>
            <w:pPr>
              <w:jc w:val="right"/>
              <w:spacing w:after="0"/>
              <w:rPr>
                <w:sz w:val="20"/>
                <w:szCs w:val="20"/>
                <w:color w:val="auto"/>
              </w:rPr>
            </w:pPr>
            <w:r>
              <w:rPr>
                <w:rFonts w:ascii="Arial" w:cs="Arial" w:eastAsia="Arial" w:hAnsi="Arial"/>
                <w:sz w:val="18"/>
                <w:szCs w:val="18"/>
                <w:color w:val="32406B"/>
              </w:rPr>
              <w:t>34,170,489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32406B"/>
              </w:rPr>
              <w:t>35,064,465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32406B"/>
              </w:rPr>
              <w:t>Remaining shares available for future issuance under the 2011 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10,459,873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1,848,100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32406B"/>
              </w:rPr>
              <w:t>Total shares of common stock reserved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197,296,166</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189,578,369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Equity Incentive Plan</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32406B"/>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7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32406B"/>
        </w:rPr>
        <w:t>As of January 31, 2018 and 2019, our board of directors had authorized 71,240,000 shares of common stock to be reserved for grants of awards under the 2011 Plan.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F-27</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 summary of stock option activity under our equity incentive plan and related information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32406B"/>
                <w:w w:val="93"/>
              </w:rPr>
              <w:t>Options Outstanding</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32406B"/>
              </w:rPr>
              <w:t>Weighted-</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8"/>
              </w:rPr>
              <w:t>Weighted-</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32406B"/>
                <w:w w:val="85"/>
              </w:rPr>
              <w:t>Shares</w:t>
            </w:r>
          </w:p>
        </w:tc>
        <w:tc>
          <w:tcPr>
            <w:tcW w:w="26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32406B"/>
                <w:w w:val="94"/>
              </w:rPr>
              <w:t>Outstanding</w:t>
            </w:r>
          </w:p>
        </w:tc>
        <w:tc>
          <w:tcPr>
            <w:tcW w:w="9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0"/>
              </w:rPr>
              <w:t>Average</w:t>
            </w:r>
          </w:p>
        </w:tc>
        <w:tc>
          <w:tcPr>
            <w:tcW w:w="940" w:type="dxa"/>
            <w:vAlign w:val="bottom"/>
            <w:gridSpan w:val="3"/>
            <w:vMerge w:val="restart"/>
          </w:tcPr>
          <w:p>
            <w:pPr>
              <w:jc w:val="center"/>
              <w:ind w:left="35"/>
              <w:spacing w:after="0"/>
              <w:rPr>
                <w:sz w:val="20"/>
                <w:szCs w:val="20"/>
                <w:color w:val="auto"/>
              </w:rPr>
            </w:pPr>
            <w:r>
              <w:rPr>
                <w:rFonts w:ascii="Arial" w:cs="Arial" w:eastAsia="Arial" w:hAnsi="Arial"/>
                <w:sz w:val="14"/>
                <w:szCs w:val="14"/>
                <w:b w:val="1"/>
                <w:bCs w:val="1"/>
                <w:color w:val="32406B"/>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90"/>
              </w:rPr>
              <w:t>Average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2"/>
              </w:rPr>
              <w:t>Remaining</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95"/>
              </w:rPr>
              <w:t>Available for</w:t>
            </w:r>
          </w:p>
        </w:tc>
        <w:tc>
          <w:tcPr>
            <w:tcW w:w="2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89"/>
              </w:rPr>
              <w:t>Stock</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90"/>
              </w:rPr>
              <w:t>Exercise</w:t>
            </w:r>
          </w:p>
        </w:tc>
        <w:tc>
          <w:tcPr>
            <w:tcW w:w="110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32406B"/>
              </w:rPr>
              <w:t>Contractual</w:t>
            </w:r>
          </w:p>
        </w:tc>
        <w:tc>
          <w:tcPr>
            <w:tcW w:w="940" w:type="dxa"/>
            <w:vAlign w:val="bottom"/>
            <w:gridSpan w:val="3"/>
          </w:tcPr>
          <w:p>
            <w:pPr>
              <w:jc w:val="center"/>
              <w:ind w:left="15"/>
              <w:spacing w:after="0" w:line="149" w:lineRule="exact"/>
              <w:rPr>
                <w:sz w:val="20"/>
                <w:szCs w:val="20"/>
                <w:color w:val="auto"/>
              </w:rPr>
            </w:pPr>
            <w:r>
              <w:rPr>
                <w:rFonts w:ascii="Arial" w:cs="Arial" w:eastAsia="Arial" w:hAnsi="Arial"/>
                <w:sz w:val="14"/>
                <w:szCs w:val="14"/>
                <w:b w:val="1"/>
                <w:bCs w:val="1"/>
                <w:color w:val="32406B"/>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6"/>
              </w:rPr>
              <w:t>Grant</w:t>
            </w:r>
          </w:p>
        </w:tc>
        <w:tc>
          <w:tcPr>
            <w:tcW w:w="2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4"/>
              </w:rPr>
              <w:t>Options</w:t>
            </w:r>
          </w:p>
        </w:tc>
        <w:tc>
          <w:tcPr>
            <w:tcW w:w="260" w:type="dxa"/>
            <w:vAlign w:val="bottom"/>
          </w:tcPr>
          <w:p>
            <w:pPr>
              <w:spacing w:after="0"/>
              <w:rPr>
                <w:sz w:val="14"/>
                <w:szCs w:val="14"/>
                <w:color w:val="auto"/>
              </w:rPr>
            </w:pPr>
          </w:p>
        </w:tc>
        <w:tc>
          <w:tcPr>
            <w:tcW w:w="720" w:type="dxa"/>
            <w:vAlign w:val="bottom"/>
          </w:tcPr>
          <w:p>
            <w:pPr>
              <w:jc w:val="center"/>
              <w:ind w:right="192"/>
              <w:spacing w:after="0"/>
              <w:rPr>
                <w:sz w:val="20"/>
                <w:szCs w:val="20"/>
                <w:color w:val="auto"/>
              </w:rPr>
            </w:pPr>
            <w:r>
              <w:rPr>
                <w:rFonts w:ascii="Arial" w:cs="Arial" w:eastAsia="Arial" w:hAnsi="Arial"/>
                <w:sz w:val="14"/>
                <w:szCs w:val="14"/>
                <w:b w:val="1"/>
                <w:bCs w:val="1"/>
                <w:color w:val="32406B"/>
                <w:w w:val="93"/>
              </w:rPr>
              <w:t>Price</w:t>
            </w: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32406B"/>
              </w:rPr>
              <w:t>Life (Years)</w:t>
            </w:r>
          </w:p>
        </w:tc>
        <w:tc>
          <w:tcPr>
            <w:tcW w:w="2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32406B"/>
                <w:w w:val="92"/>
              </w:rPr>
              <w:t>(in thousands, except share, life and per share data)</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32406B"/>
              </w:rPr>
              <w:t>Balance as of February 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10,758,016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31,802,500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0.06</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32406B"/>
              </w:rPr>
              <w:t>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32406B"/>
              </w:rPr>
              <w:t>Granted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32406B"/>
                <w:w w:val="97"/>
              </w:rPr>
              <w:t>(5,808,000)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32406B"/>
              </w:rPr>
              <w:t>5,808,000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32406B"/>
              </w:rPr>
              <w:t>0.30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(8,971,412)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0.04</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32406B"/>
              </w:rPr>
              <w:t>Cancelled/forfeited/expired</w:t>
            </w:r>
          </w:p>
        </w:tc>
        <w:tc>
          <w:tcPr>
            <w:tcW w:w="860" w:type="dxa"/>
            <w:vAlign w:val="bottom"/>
          </w:tcPr>
          <w:p>
            <w:pPr>
              <w:jc w:val="right"/>
              <w:spacing w:after="0"/>
              <w:rPr>
                <w:sz w:val="20"/>
                <w:szCs w:val="20"/>
                <w:color w:val="auto"/>
              </w:rPr>
            </w:pPr>
            <w:r>
              <w:rPr>
                <w:rFonts w:ascii="Arial" w:cs="Arial" w:eastAsia="Arial" w:hAnsi="Arial"/>
                <w:sz w:val="18"/>
                <w:szCs w:val="18"/>
                <w:color w:val="32406B"/>
              </w:rPr>
              <w:t>628,088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32406B"/>
              </w:rPr>
              <w:t>(628,088)</w:t>
            </w: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32406B"/>
              </w:rPr>
              <w:t>0.19</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32406B"/>
              </w:rPr>
              <w:t>Balance as of January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5,578,104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3"/>
              </w:rPr>
              <w:t>28,011,000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0.11</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32406B"/>
              </w:rPr>
              <w:t>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32406B"/>
              </w:rPr>
              <w:t>Shares authorized</w:t>
            </w:r>
          </w:p>
        </w:tc>
        <w:tc>
          <w:tcPr>
            <w:tcW w:w="860" w:type="dxa"/>
            <w:vAlign w:val="bottom"/>
          </w:tcPr>
          <w:p>
            <w:pPr>
              <w:jc w:val="right"/>
              <w:spacing w:after="0"/>
              <w:rPr>
                <w:sz w:val="20"/>
                <w:szCs w:val="20"/>
                <w:color w:val="auto"/>
              </w:rPr>
            </w:pPr>
            <w:r>
              <w:rPr>
                <w:rFonts w:ascii="Arial" w:cs="Arial" w:eastAsia="Arial" w:hAnsi="Arial"/>
                <w:sz w:val="18"/>
                <w:szCs w:val="18"/>
                <w:color w:val="32406B"/>
                <w:w w:val="93"/>
              </w:rPr>
              <w:t>14,000,000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7"/>
              </w:rPr>
              <w:t>(9,765,200)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9,765,200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0.87</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32406B"/>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32406B"/>
              </w:rPr>
              <w:t>(2,958,742)</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32406B"/>
              </w:rPr>
              <w:t>0.25</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646,969</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(646,969)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0.39</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32406B"/>
              </w:rPr>
              <w:t>Balance as of January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3"/>
              </w:rPr>
              <w:t>10,459,873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3"/>
              </w:rPr>
              <w:t>34,170,489</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32406B"/>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32406B"/>
              </w:rPr>
              <w:t>0.31</w:t>
            </w:r>
          </w:p>
        </w:tc>
        <w:tc>
          <w:tcPr>
            <w:tcW w:w="1100" w:type="dxa"/>
            <w:vAlign w:val="bottom"/>
          </w:tcPr>
          <w:p>
            <w:pPr>
              <w:jc w:val="right"/>
              <w:ind w:right="80"/>
              <w:spacing w:after="0"/>
              <w:rPr>
                <w:sz w:val="20"/>
                <w:szCs w:val="20"/>
                <w:color w:val="auto"/>
              </w:rPr>
            </w:pPr>
            <w:r>
              <w:rPr>
                <w:rFonts w:ascii="Arial" w:cs="Arial" w:eastAsia="Arial" w:hAnsi="Arial"/>
                <w:sz w:val="18"/>
                <w:szCs w:val="18"/>
                <w:color w:val="32406B"/>
              </w:rPr>
              <w:t>6.9</w:t>
            </w:r>
          </w:p>
        </w:tc>
        <w:tc>
          <w:tcPr>
            <w:tcW w:w="280" w:type="dxa"/>
            <w:vAlign w:val="bottom"/>
          </w:tcPr>
          <w:p>
            <w:pPr>
              <w:jc w:val="right"/>
              <w:spacing w:after="0"/>
              <w:rPr>
                <w:sz w:val="20"/>
                <w:szCs w:val="20"/>
                <w:color w:val="auto"/>
              </w:rPr>
            </w:pPr>
            <w:r>
              <w:rPr>
                <w:rFonts w:ascii="Arial" w:cs="Arial" w:eastAsia="Arial" w:hAnsi="Arial"/>
                <w:sz w:val="18"/>
                <w:szCs w:val="18"/>
                <w:color w:val="32406B"/>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53,947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7"/>
              </w:rPr>
              <w:t>(9,192,700)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9,192,700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4.92</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32406B"/>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32406B"/>
              </w:rPr>
              <w:t>(7,717,797)</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32406B"/>
              </w:rPr>
              <w:t>0.46</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60,849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580,927</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32406B"/>
              </w:rPr>
              <w:t>(580,927)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1.10</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32406B"/>
              </w:rPr>
              <w:t>Balance as of January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1,848,100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3"/>
              </w:rPr>
              <w:t>35,064,465</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32406B"/>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32406B"/>
              </w:rPr>
              <w:t>1.48</w:t>
            </w:r>
          </w:p>
        </w:tc>
        <w:tc>
          <w:tcPr>
            <w:tcW w:w="1100" w:type="dxa"/>
            <w:vAlign w:val="bottom"/>
          </w:tcPr>
          <w:p>
            <w:pPr>
              <w:jc w:val="right"/>
              <w:ind w:right="80"/>
              <w:spacing w:after="0"/>
              <w:rPr>
                <w:sz w:val="20"/>
                <w:szCs w:val="20"/>
                <w:color w:val="auto"/>
              </w:rPr>
            </w:pPr>
            <w:r>
              <w:rPr>
                <w:rFonts w:ascii="Arial" w:cs="Arial" w:eastAsia="Arial" w:hAnsi="Arial"/>
                <w:sz w:val="18"/>
                <w:szCs w:val="18"/>
                <w:color w:val="32406B"/>
              </w:rPr>
              <w:t>6.8</w:t>
            </w:r>
          </w:p>
        </w:tc>
        <w:tc>
          <w:tcPr>
            <w:tcW w:w="280" w:type="dxa"/>
            <w:vAlign w:val="bottom"/>
          </w:tcPr>
          <w:p>
            <w:pPr>
              <w:jc w:val="right"/>
              <w:spacing w:after="0"/>
              <w:rPr>
                <w:sz w:val="20"/>
                <w:szCs w:val="20"/>
                <w:color w:val="auto"/>
              </w:rPr>
            </w:pPr>
            <w:r>
              <w:rPr>
                <w:rFonts w:ascii="Arial" w:cs="Arial" w:eastAsia="Arial" w:hAnsi="Arial"/>
                <w:sz w:val="18"/>
                <w:szCs w:val="18"/>
                <w:color w:val="32406B"/>
              </w:rPr>
              <w:t>$</w:t>
            </w:r>
          </w:p>
        </w:tc>
        <w:tc>
          <w:tcPr>
            <w:tcW w:w="600" w:type="dxa"/>
            <w:vAlign w:val="bottom"/>
          </w:tcPr>
          <w:p>
            <w:pPr>
              <w:jc w:val="right"/>
              <w:spacing w:after="0"/>
              <w:rPr>
                <w:sz w:val="20"/>
                <w:szCs w:val="20"/>
                <w:color w:val="auto"/>
              </w:rPr>
            </w:pPr>
            <w:r>
              <w:rPr>
                <w:rFonts w:ascii="Arial" w:cs="Arial" w:eastAsia="Arial" w:hAnsi="Arial"/>
                <w:sz w:val="18"/>
                <w:szCs w:val="18"/>
                <w:color w:val="32406B"/>
                <w:w w:val="89"/>
              </w:rPr>
              <w:t>534,572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32406B"/>
              </w:rPr>
              <w:t>Vested as of January 31, 2019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19,132,388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32406B"/>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0.24</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32406B"/>
              </w:rPr>
              <w:t>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315,380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32406B"/>
        </w:rPr>
        <w:t>The weighted-average grant date fair value of options granted to employees during the fiscal years ended January 31, 2017, 2018 and 2019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32406B"/>
        </w:rPr>
        <w:t>$0.23, $0.67 and $6.28, respectively. As of January 31, 2019, unrecognized stock-based compensation cost related to outstanding unvested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32406B"/>
        </w:rPr>
        <w:t>was $57.1 million, which is expected to be recognized over a weighted-average period of 3.4 years.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Black-Scholes assumptions used to value the employee options at the grant dates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32406B"/>
              </w:rPr>
              <w:t>Year Ended January 31,</w:t>
            </w: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2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32406B"/>
              </w:rPr>
              <w:t>2017</w:t>
            </w:r>
          </w:p>
        </w:tc>
        <w:tc>
          <w:tcPr>
            <w:tcW w:w="1660" w:type="dxa"/>
            <w:vAlign w:val="bottom"/>
            <w:gridSpan w:val="3"/>
          </w:tcPr>
          <w:p>
            <w:pPr>
              <w:jc w:val="right"/>
              <w:ind w:right="490"/>
              <w:spacing w:after="0" w:line="142" w:lineRule="exact"/>
              <w:rPr>
                <w:sz w:val="20"/>
                <w:szCs w:val="20"/>
                <w:color w:val="auto"/>
              </w:rPr>
            </w:pPr>
            <w:r>
              <w:rPr>
                <w:rFonts w:ascii="Arial" w:cs="Arial" w:eastAsia="Arial" w:hAnsi="Arial"/>
                <w:sz w:val="14"/>
                <w:szCs w:val="14"/>
                <w:b w:val="1"/>
                <w:bCs w:val="1"/>
                <w:color w:val="32406B"/>
              </w:rPr>
              <w:t>2018</w:t>
            </w:r>
          </w:p>
        </w:tc>
        <w:tc>
          <w:tcPr>
            <w:tcW w:w="220" w:type="dxa"/>
            <w:vAlign w:val="bottom"/>
          </w:tcPr>
          <w:p>
            <w:pPr>
              <w:spacing w:after="0"/>
              <w:rPr>
                <w:sz w:val="12"/>
                <w:szCs w:val="12"/>
                <w:color w:val="auto"/>
              </w:rPr>
            </w:pPr>
          </w:p>
        </w:tc>
        <w:tc>
          <w:tcPr>
            <w:tcW w:w="146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32406B"/>
              </w:rPr>
              <w:t>2019</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Expected term (years)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5.4</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32406B"/>
              </w:rPr>
              <w:t>– 6.1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5.6</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32406B"/>
              </w:rPr>
              <w:t>– 6.7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5.0</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32406B"/>
              </w:rPr>
              <w:t>– 6.2</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32406B"/>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32406B"/>
              </w:rPr>
              <w:t>48.2%</w:t>
            </w:r>
          </w:p>
        </w:tc>
        <w:tc>
          <w:tcPr>
            <w:tcW w:w="780" w:type="dxa"/>
            <w:vAlign w:val="bottom"/>
          </w:tcPr>
          <w:p>
            <w:pPr>
              <w:ind w:left="20"/>
              <w:spacing w:after="0"/>
              <w:rPr>
                <w:sz w:val="20"/>
                <w:szCs w:val="20"/>
                <w:color w:val="auto"/>
              </w:rPr>
            </w:pPr>
            <w:r>
              <w:rPr>
                <w:rFonts w:ascii="Arial" w:cs="Arial" w:eastAsia="Arial" w:hAnsi="Arial"/>
                <w:sz w:val="18"/>
                <w:szCs w:val="18"/>
                <w:color w:val="32406B"/>
              </w:rPr>
              <w:t>– 56.3%</w:t>
            </w:r>
          </w:p>
        </w:tc>
        <w:tc>
          <w:tcPr>
            <w:tcW w:w="880" w:type="dxa"/>
            <w:vAlign w:val="bottom"/>
            <w:gridSpan w:val="2"/>
          </w:tcPr>
          <w:p>
            <w:pPr>
              <w:jc w:val="right"/>
              <w:spacing w:after="0"/>
              <w:rPr>
                <w:sz w:val="20"/>
                <w:szCs w:val="20"/>
                <w:color w:val="auto"/>
              </w:rPr>
            </w:pPr>
            <w:r>
              <w:rPr>
                <w:rFonts w:ascii="Arial" w:cs="Arial" w:eastAsia="Arial" w:hAnsi="Arial"/>
                <w:sz w:val="18"/>
                <w:szCs w:val="18"/>
                <w:color w:val="32406B"/>
              </w:rPr>
              <w:t>47.7%</w:t>
            </w:r>
          </w:p>
        </w:tc>
        <w:tc>
          <w:tcPr>
            <w:tcW w:w="1000" w:type="dxa"/>
            <w:vAlign w:val="bottom"/>
            <w:gridSpan w:val="2"/>
          </w:tcPr>
          <w:p>
            <w:pPr>
              <w:ind w:left="20"/>
              <w:spacing w:after="0"/>
              <w:rPr>
                <w:sz w:val="20"/>
                <w:szCs w:val="20"/>
                <w:color w:val="auto"/>
              </w:rPr>
            </w:pPr>
            <w:r>
              <w:rPr>
                <w:rFonts w:ascii="Arial" w:cs="Arial" w:eastAsia="Arial" w:hAnsi="Arial"/>
                <w:sz w:val="18"/>
                <w:szCs w:val="18"/>
                <w:color w:val="32406B"/>
              </w:rPr>
              <w:t>– 52.0%</w:t>
            </w:r>
          </w:p>
        </w:tc>
        <w:tc>
          <w:tcPr>
            <w:tcW w:w="660" w:type="dxa"/>
            <w:vAlign w:val="bottom"/>
          </w:tcPr>
          <w:p>
            <w:pPr>
              <w:jc w:val="right"/>
              <w:spacing w:after="0"/>
              <w:rPr>
                <w:sz w:val="20"/>
                <w:szCs w:val="20"/>
                <w:color w:val="auto"/>
              </w:rPr>
            </w:pPr>
            <w:r>
              <w:rPr>
                <w:rFonts w:ascii="Arial" w:cs="Arial" w:eastAsia="Arial" w:hAnsi="Arial"/>
                <w:sz w:val="18"/>
                <w:szCs w:val="18"/>
                <w:color w:val="32406B"/>
              </w:rPr>
              <w:t>44.6%</w:t>
            </w:r>
          </w:p>
        </w:tc>
        <w:tc>
          <w:tcPr>
            <w:tcW w:w="800" w:type="dxa"/>
            <w:vAlign w:val="bottom"/>
          </w:tcPr>
          <w:p>
            <w:pPr>
              <w:ind w:left="20"/>
              <w:spacing w:after="0"/>
              <w:rPr>
                <w:sz w:val="20"/>
                <w:szCs w:val="20"/>
                <w:color w:val="auto"/>
              </w:rPr>
            </w:pPr>
            <w:r>
              <w:rPr>
                <w:rFonts w:ascii="Arial" w:cs="Arial" w:eastAsia="Arial" w:hAnsi="Arial"/>
                <w:sz w:val="18"/>
                <w:szCs w:val="18"/>
                <w:color w:val="32406B"/>
              </w:rPr>
              <w:t>– 48.2%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32406B"/>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 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 3.1%</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32406B"/>
              </w:rPr>
              <w:t>Expected dividend yield</w:t>
            </w:r>
          </w:p>
        </w:tc>
        <w:tc>
          <w:tcPr>
            <w:tcW w:w="1420" w:type="dxa"/>
            <w:vAlign w:val="bottom"/>
            <w:gridSpan w:val="2"/>
          </w:tcPr>
          <w:p>
            <w:pPr>
              <w:jc w:val="right"/>
              <w:ind w:right="430"/>
              <w:spacing w:after="0"/>
              <w:rPr>
                <w:sz w:val="20"/>
                <w:szCs w:val="20"/>
                <w:color w:val="auto"/>
              </w:rPr>
            </w:pPr>
            <w:r>
              <w:rPr>
                <w:rFonts w:ascii="Arial" w:cs="Arial" w:eastAsia="Arial" w:hAnsi="Arial"/>
                <w:sz w:val="18"/>
                <w:szCs w:val="18"/>
                <w:color w:val="32406B"/>
              </w:rPr>
              <w:t>0.0%</w:t>
            </w:r>
          </w:p>
        </w:tc>
        <w:tc>
          <w:tcPr>
            <w:tcW w:w="1660" w:type="dxa"/>
            <w:vAlign w:val="bottom"/>
            <w:gridSpan w:val="3"/>
          </w:tcPr>
          <w:p>
            <w:pPr>
              <w:jc w:val="right"/>
              <w:ind w:right="450"/>
              <w:spacing w:after="0"/>
              <w:rPr>
                <w:sz w:val="20"/>
                <w:szCs w:val="20"/>
                <w:color w:val="auto"/>
              </w:rPr>
            </w:pPr>
            <w:r>
              <w:rPr>
                <w:rFonts w:ascii="Arial" w:cs="Arial" w:eastAsia="Arial" w:hAnsi="Arial"/>
                <w:sz w:val="18"/>
                <w:szCs w:val="18"/>
                <w:color w:val="32406B"/>
              </w:rPr>
              <w:t>0.0%</w:t>
            </w:r>
          </w:p>
        </w:tc>
        <w:tc>
          <w:tcPr>
            <w:tcW w:w="220" w:type="dxa"/>
            <w:vAlign w:val="bottom"/>
          </w:tcPr>
          <w:p>
            <w:pPr>
              <w:spacing w:after="0"/>
              <w:rPr>
                <w:sz w:val="20"/>
                <w:szCs w:val="20"/>
                <w:color w:val="auto"/>
              </w:rPr>
            </w:pPr>
          </w:p>
        </w:tc>
        <w:tc>
          <w:tcPr>
            <w:tcW w:w="1460" w:type="dxa"/>
            <w:vAlign w:val="bottom"/>
            <w:gridSpan w:val="2"/>
          </w:tcPr>
          <w:p>
            <w:pPr>
              <w:jc w:val="right"/>
              <w:ind w:right="470"/>
              <w:spacing w:after="0"/>
              <w:rPr>
                <w:sz w:val="20"/>
                <w:szCs w:val="20"/>
                <w:color w:val="auto"/>
              </w:rPr>
            </w:pPr>
            <w:r>
              <w:rPr>
                <w:rFonts w:ascii="Arial" w:cs="Arial" w:eastAsia="Arial" w:hAnsi="Arial"/>
                <w:sz w:val="18"/>
                <w:szCs w:val="18"/>
                <w:color w:val="32406B"/>
              </w:rPr>
              <w:t>0.0%</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These assumptions and estimates were determined as follows:</w:t>
      </w:r>
    </w:p>
    <w:p>
      <w:pPr>
        <w:spacing w:after="0" w:line="131" w:lineRule="exact"/>
        <w:rPr>
          <w:sz w:val="20"/>
          <w:szCs w:val="20"/>
          <w:color w:val="auto"/>
        </w:rPr>
      </w:pPr>
    </w:p>
    <w:p>
      <w:pPr>
        <w:ind w:left="1060" w:right="360" w:hanging="424"/>
        <w:spacing w:after="0" w:line="279" w:lineRule="auto"/>
        <w:tabs>
          <w:tab w:leader="none" w:pos="1060" w:val="left"/>
        </w:tabs>
        <w:numPr>
          <w:ilvl w:val="0"/>
          <w:numId w:val="94"/>
        </w:numPr>
        <w:rPr>
          <w:rFonts w:ascii="Arial" w:cs="Arial" w:eastAsia="Arial" w:hAnsi="Arial"/>
          <w:sz w:val="17"/>
          <w:szCs w:val="17"/>
          <w:color w:val="32406B"/>
        </w:rPr>
      </w:pPr>
      <w:r>
        <w:rPr>
          <w:rFonts w:ascii="Arial" w:cs="Arial" w:eastAsia="Arial" w:hAnsi="Arial"/>
          <w:sz w:val="17"/>
          <w:szCs w:val="17"/>
          <w:i w:val="1"/>
          <w:iCs w:val="1"/>
          <w:color w:val="32406B"/>
        </w:rPr>
        <w:t xml:space="preserve">Fair Value of Common Stock. </w:t>
      </w:r>
      <w:r>
        <w:rPr>
          <w:rFonts w:ascii="Arial" w:cs="Arial" w:eastAsia="Arial" w:hAnsi="Arial"/>
          <w:sz w:val="17"/>
          <w:szCs w:val="17"/>
          <w:color w:val="32406B"/>
        </w:rPr>
        <w:t>As our common stock is not publicly traded, the fair value was determined by our board of directors, with</w:t>
      </w:r>
      <w:r>
        <w:rPr>
          <w:rFonts w:ascii="Arial" w:cs="Arial" w:eastAsia="Arial" w:hAnsi="Arial"/>
          <w:sz w:val="17"/>
          <w:szCs w:val="17"/>
          <w:i w:val="1"/>
          <w:iCs w:val="1"/>
          <w:color w:val="32406B"/>
        </w:rPr>
        <w:t xml:space="preserve"> </w:t>
      </w:r>
      <w:r>
        <w:rPr>
          <w:rFonts w:ascii="Arial" w:cs="Arial" w:eastAsia="Arial" w:hAnsi="Arial"/>
          <w:sz w:val="17"/>
          <w:szCs w:val="17"/>
          <w:color w:val="32406B"/>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32406B"/>
        </w:rPr>
      </w:pPr>
    </w:p>
    <w:p>
      <w:pPr>
        <w:ind w:left="1060" w:right="180" w:hanging="424"/>
        <w:spacing w:after="0" w:line="277" w:lineRule="auto"/>
        <w:tabs>
          <w:tab w:leader="none" w:pos="1060" w:val="left"/>
        </w:tabs>
        <w:numPr>
          <w:ilvl w:val="0"/>
          <w:numId w:val="94"/>
        </w:numPr>
        <w:rPr>
          <w:rFonts w:ascii="Arial" w:cs="Arial" w:eastAsia="Arial" w:hAnsi="Arial"/>
          <w:sz w:val="18"/>
          <w:szCs w:val="18"/>
          <w:color w:val="32406B"/>
        </w:rPr>
      </w:pPr>
      <w:r>
        <w:rPr>
          <w:rFonts w:ascii="Arial" w:cs="Arial" w:eastAsia="Arial" w:hAnsi="Arial"/>
          <w:sz w:val="18"/>
          <w:szCs w:val="18"/>
          <w:i w:val="1"/>
          <w:iCs w:val="1"/>
          <w:color w:val="32406B"/>
        </w:rPr>
        <w:t xml:space="preserve">Risk-Free Interest Rate. </w:t>
      </w:r>
      <w:r>
        <w:rPr>
          <w:rFonts w:ascii="Arial" w:cs="Arial" w:eastAsia="Arial" w:hAnsi="Arial"/>
          <w:sz w:val="18"/>
          <w:szCs w:val="18"/>
          <w:color w:val="32406B"/>
        </w:rPr>
        <w:t>The risk-free interest rate for the expected term of the options was based on the U.S. Treasury yield curve in effect</w:t>
      </w:r>
      <w:r>
        <w:rPr>
          <w:rFonts w:ascii="Arial" w:cs="Arial" w:eastAsia="Arial" w:hAnsi="Arial"/>
          <w:sz w:val="18"/>
          <w:szCs w:val="18"/>
          <w:i w:val="1"/>
          <w:iCs w:val="1"/>
          <w:color w:val="32406B"/>
        </w:rPr>
        <w:t xml:space="preserve"> </w:t>
      </w:r>
      <w:r>
        <w:rPr>
          <w:rFonts w:ascii="Arial" w:cs="Arial" w:eastAsia="Arial" w:hAnsi="Arial"/>
          <w:sz w:val="18"/>
          <w:szCs w:val="18"/>
          <w:color w:val="32406B"/>
        </w:rPr>
        <w:t>at the time of the grant.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F-28</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1060" w:right="60" w:hanging="424"/>
        <w:spacing w:after="0" w:line="257" w:lineRule="auto"/>
        <w:tabs>
          <w:tab w:leader="none" w:pos="1060" w:val="left"/>
        </w:tabs>
        <w:numPr>
          <w:ilvl w:val="0"/>
          <w:numId w:val="95"/>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Term. </w:t>
      </w:r>
      <w:r>
        <w:rPr>
          <w:rFonts w:ascii="Arial" w:cs="Arial" w:eastAsia="Arial" w:hAnsi="Arial"/>
          <w:sz w:val="18"/>
          <w:szCs w:val="18"/>
          <w:color w:val="32406B"/>
        </w:rPr>
        <w:t>The expected term of options represents the period of time that options are expected to be outstanding. Our historical stock</w:t>
      </w:r>
      <w:r>
        <w:rPr>
          <w:rFonts w:ascii="Arial" w:cs="Arial" w:eastAsia="Arial" w:hAnsi="Arial"/>
          <w:sz w:val="18"/>
          <w:szCs w:val="18"/>
          <w:i w:val="1"/>
          <w:iCs w:val="1"/>
          <w:color w:val="32406B"/>
        </w:rPr>
        <w:t xml:space="preserve"> </w:t>
      </w:r>
      <w:r>
        <w:rPr>
          <w:rFonts w:ascii="Arial" w:cs="Arial" w:eastAsia="Arial" w:hAnsi="Arial"/>
          <w:sz w:val="18"/>
          <w:szCs w:val="18"/>
          <w:color w:val="32406B"/>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93" w:lineRule="exact"/>
        <w:rPr>
          <w:rFonts w:ascii="Arial" w:cs="Arial" w:eastAsia="Arial" w:hAnsi="Arial"/>
          <w:sz w:val="18"/>
          <w:szCs w:val="18"/>
          <w:color w:val="32406B"/>
        </w:rPr>
      </w:pPr>
    </w:p>
    <w:p>
      <w:pPr>
        <w:jc w:val="both"/>
        <w:ind w:left="1060" w:right="160" w:hanging="424"/>
        <w:spacing w:after="0" w:line="264" w:lineRule="auto"/>
        <w:tabs>
          <w:tab w:leader="none" w:pos="1060" w:val="left"/>
        </w:tabs>
        <w:numPr>
          <w:ilvl w:val="0"/>
          <w:numId w:val="95"/>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Volatility. </w:t>
      </w:r>
      <w:r>
        <w:rPr>
          <w:rFonts w:ascii="Arial" w:cs="Arial" w:eastAsia="Arial" w:hAnsi="Arial"/>
          <w:sz w:val="18"/>
          <w:szCs w:val="18"/>
          <w:color w:val="32406B"/>
        </w:rPr>
        <w:t>As we do not have a trading history for our common stock, the expected volatility was estimated by taking the average</w:t>
      </w:r>
      <w:r>
        <w:rPr>
          <w:rFonts w:ascii="Arial" w:cs="Arial" w:eastAsia="Arial" w:hAnsi="Arial"/>
          <w:sz w:val="18"/>
          <w:szCs w:val="18"/>
          <w:i w:val="1"/>
          <w:iCs w:val="1"/>
          <w:color w:val="32406B"/>
        </w:rPr>
        <w:t xml:space="preserve"> </w:t>
      </w:r>
      <w:r>
        <w:rPr>
          <w:rFonts w:ascii="Arial" w:cs="Arial" w:eastAsia="Arial" w:hAnsi="Arial"/>
          <w:sz w:val="18"/>
          <w:szCs w:val="18"/>
          <w:color w:val="32406B"/>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32406B"/>
        </w:rPr>
      </w:pPr>
    </w:p>
    <w:p>
      <w:pPr>
        <w:ind w:left="1060" w:right="680" w:hanging="424"/>
        <w:spacing w:after="0" w:line="277" w:lineRule="auto"/>
        <w:tabs>
          <w:tab w:leader="none" w:pos="1060" w:val="left"/>
        </w:tabs>
        <w:numPr>
          <w:ilvl w:val="0"/>
          <w:numId w:val="95"/>
        </w:numPr>
        <w:rPr>
          <w:rFonts w:ascii="Arial" w:cs="Arial" w:eastAsia="Arial" w:hAnsi="Arial"/>
          <w:sz w:val="18"/>
          <w:szCs w:val="18"/>
          <w:color w:val="32406B"/>
        </w:rPr>
      </w:pPr>
      <w:r>
        <w:rPr>
          <w:rFonts w:ascii="Arial" w:cs="Arial" w:eastAsia="Arial" w:hAnsi="Arial"/>
          <w:sz w:val="18"/>
          <w:szCs w:val="18"/>
          <w:i w:val="1"/>
          <w:iCs w:val="1"/>
          <w:color w:val="32406B"/>
        </w:rPr>
        <w:t xml:space="preserve">Expected Dividend Yield. </w:t>
      </w:r>
      <w:r>
        <w:rPr>
          <w:rFonts w:ascii="Arial" w:cs="Arial" w:eastAsia="Arial" w:hAnsi="Arial"/>
          <w:sz w:val="18"/>
          <w:szCs w:val="18"/>
          <w:color w:val="32406B"/>
        </w:rPr>
        <w:t>We have never declared or paid any cash dividends and do not presently plan to pay cash dividends in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foreseeable future. As a result, an expected dividend yield of zero percent was used.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Early Exercise of Common Stock Options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32406B"/>
        </w:rPr>
        <w:t>Our board of directors authorized certain stock option holders to exercise unvested options to purchase shares of common stock. Shares received from such early exercises are subject to repurchase in the event of the optionee’s termination of service as a Service Provider (as defined in the 2011 Plan), at the original issuance price, until the options are fully vested. As of January 31, 2018 and 2019, 1,941,667 and 1,261,230 shares of Class B common stock were subject to repurchase at a weighted average price of $0.26 and $1.41 per share, respectively. As of January 31, 2018 and 2019, the cash proceeds received for unvested shares of common stock recorded within accrued expenses and other current liabilities in the consolidated balance sheets were $0.5 million and $1.8 million, respectively.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Restricted Stock Award</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32406B"/>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For the fiscal years ended January 31, 2017, 2018 and 2019, 180,408 shares of the restricted common stock vested in each period, and the related stock-based compensation expense for such shares of common stock was immaterial. As of January 31, 2019, 180,408 shares of common stock were unvested and subject to repurchase.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Third-Party Stock Transactions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2406B"/>
        </w:rPr>
        <w:t>F-29</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The stock-based compensation expense by line item in the accompanying consolidated statements of operations is summarized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32406B"/>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32406B"/>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32406B"/>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32406B"/>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32406B"/>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32406B"/>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2406B"/>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32406B"/>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8.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components of the net income (loss) before the provision for income taxes were as follows:</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32406B"/>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6350</wp:posOffset>
            </wp:positionV>
            <wp:extent cx="13550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040"/>
        <w:spacing w:after="0"/>
        <w:tabs>
          <w:tab w:leader="none" w:pos="9840" w:val="left"/>
          <w:tab w:leader="none" w:pos="10700" w:val="left"/>
        </w:tabs>
        <w:rPr>
          <w:sz w:val="20"/>
          <w:szCs w:val="20"/>
          <w:color w:val="auto"/>
        </w:rPr>
      </w:pPr>
      <w:r>
        <w:rPr>
          <w:rFonts w:ascii="Arial" w:cs="Arial" w:eastAsia="Arial" w:hAnsi="Arial"/>
          <w:sz w:val="14"/>
          <w:szCs w:val="14"/>
          <w:b w:val="1"/>
          <w:bCs w:val="1"/>
          <w:color w:val="32406B"/>
        </w:rPr>
        <w:t>2017</w:t>
      </w:r>
      <w:r>
        <w:rPr>
          <w:sz w:val="20"/>
          <w:szCs w:val="20"/>
          <w:color w:val="auto"/>
        </w:rPr>
        <w:tab/>
      </w:r>
      <w:r>
        <w:rPr>
          <w:rFonts w:ascii="Arial" w:cs="Arial" w:eastAsia="Arial" w:hAnsi="Arial"/>
          <w:sz w:val="14"/>
          <w:szCs w:val="14"/>
          <w:b w:val="1"/>
          <w:bCs w:val="1"/>
          <w:color w:val="32406B"/>
        </w:rPr>
        <w:t>2018</w:t>
      </w:r>
      <w:r>
        <w:rPr>
          <w:sz w:val="20"/>
          <w:szCs w:val="20"/>
          <w:color w:val="auto"/>
        </w:rPr>
        <w:tab/>
      </w:r>
      <w:r>
        <w:rPr>
          <w:rFonts w:ascii="Arial" w:cs="Arial" w:eastAsia="Arial" w:hAnsi="Arial"/>
          <w:sz w:val="13"/>
          <w:szCs w:val="13"/>
          <w:b w:val="1"/>
          <w:bCs w:val="1"/>
          <w:color w:val="32406B"/>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-3175</wp:posOffset>
            </wp:positionV>
            <wp:extent cx="13550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620"/>
        <w:spacing w:after="0" w:line="233" w:lineRule="auto"/>
        <w:rPr>
          <w:sz w:val="20"/>
          <w:szCs w:val="20"/>
          <w:color w:val="auto"/>
        </w:rPr>
      </w:pPr>
      <w:r>
        <w:rPr>
          <w:rFonts w:ascii="Arial" w:cs="Arial" w:eastAsia="Arial" w:hAnsi="Arial"/>
          <w:sz w:val="14"/>
          <w:szCs w:val="14"/>
          <w:b w:val="1"/>
          <w:bCs w:val="1"/>
          <w:color w:val="32406B"/>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32406B"/>
              </w:rPr>
              <w:t>Domestic</w:t>
            </w:r>
          </w:p>
        </w:tc>
        <w:tc>
          <w:tcPr>
            <w:tcW w:w="3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32406B"/>
              </w:rPr>
              <w:t>$(115)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$(3,782)</w:t>
            </w:r>
          </w:p>
        </w:tc>
        <w:tc>
          <w:tcPr>
            <w:tcW w:w="2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w w:val="98"/>
              </w:rPr>
              <w:t>$ (204)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32406B"/>
              </w:rPr>
              <w:t>Foreign</w:t>
            </w:r>
          </w:p>
        </w:tc>
        <w:tc>
          <w:tcPr>
            <w:tcW w:w="242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8,553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$ 158</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$(3,518)</w:t>
            </w: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w w:val="90"/>
              </w:rPr>
              <w:t>$8,349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32406B"/>
              </w:rPr>
              <w:t>The provision for income taxes were as follows:</w:t>
            </w: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32406B"/>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560" w:type="dxa"/>
            <w:vAlign w:val="bottom"/>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32406B"/>
              </w:rPr>
              <w:t>2017</w:t>
            </w: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5"/>
          </w:tcPr>
          <w:p>
            <w:pPr>
              <w:jc w:val="center"/>
              <w:ind w:left="35"/>
              <w:spacing w:after="0" w:line="142" w:lineRule="exact"/>
              <w:rPr>
                <w:sz w:val="20"/>
                <w:szCs w:val="20"/>
                <w:color w:val="auto"/>
              </w:rPr>
            </w:pPr>
            <w:r>
              <w:rPr>
                <w:rFonts w:ascii="Arial" w:cs="Arial" w:eastAsia="Arial" w:hAnsi="Arial"/>
                <w:sz w:val="14"/>
                <w:szCs w:val="14"/>
                <w:b w:val="1"/>
                <w:bCs w:val="1"/>
                <w:color w:val="32406B"/>
                <w:w w:val="91"/>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32406B"/>
              </w:rPr>
              <w:t>Current:</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32406B"/>
              </w:rPr>
              <w:t>Federal</w:t>
            </w:r>
          </w:p>
        </w:tc>
        <w:tc>
          <w:tcPr>
            <w:tcW w:w="24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32406B"/>
              </w:rPr>
              <w:t>$  —</w:t>
            </w:r>
          </w:p>
        </w:tc>
        <w:tc>
          <w:tcPr>
            <w:tcW w:w="180" w:type="dxa"/>
            <w:vAlign w:val="bottom"/>
          </w:tcPr>
          <w:p>
            <w:pPr>
              <w:spacing w:after="0"/>
              <w:rPr>
                <w:sz w:val="18"/>
                <w:szCs w:val="18"/>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32406B"/>
              </w:rPr>
              <w:t>$  —</w:t>
            </w:r>
          </w:p>
        </w:tc>
        <w:tc>
          <w:tcPr>
            <w:tcW w:w="2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32406B"/>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State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46</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32406B"/>
              </w:rPr>
              <w:t>Foreign</w:t>
            </w:r>
          </w:p>
        </w:tc>
        <w:tc>
          <w:tcPr>
            <w:tcW w:w="256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32406B"/>
              </w:rPr>
              <w:t>161</w:t>
            </w:r>
          </w:p>
        </w:tc>
        <w:tc>
          <w:tcPr>
            <w:tcW w:w="380" w:type="dxa"/>
            <w:vAlign w:val="bottom"/>
            <w:gridSpan w:val="2"/>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258</w:t>
            </w:r>
          </w:p>
        </w:tc>
        <w:tc>
          <w:tcPr>
            <w:tcW w:w="2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Total current income tax expense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32406B"/>
              </w:rPr>
              <w:t>Deferred:</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Federal</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32406B"/>
              </w:rPr>
              <w:t>State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Foreign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32406B"/>
              </w:rPr>
              <w:t>Total deferred income tax expense</w:t>
            </w: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32406B"/>
              </w:rPr>
              <w:t>Total provision for income taxes</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$ 172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$ 304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$ 765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32406B"/>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 earnings of foreign subsidiaries that is payable over eight years (Transition Tax) and a reduction in the corporate tax rate to 21%. The Tax Act also establishes new tax laws that will affect later years, a general limitation of 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F-30</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32406B"/>
        </w:rPr>
        <w:t>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do not expect a financial statement impact as a result of this legislation. We performed a re-measurement of deferred tax assets and liabilities as a result of the decrease in the corporate federal income tax rate to 21%, which was offset by the valuation allowance. We have elected to treat taxes on GILTI as period costs starting in the current year.</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32406B"/>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As of January 31, 2019, no provisional estimate had been recorded as we have completed our accounting under the Tax Act.</w:t>
      </w:r>
    </w:p>
    <w:p>
      <w:pPr>
        <w:spacing w:after="0" w:line="16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32406B"/>
        </w:rPr>
        <w:t>Our accounting for the following elements of the Tax Act is complete: Reduction of U.S. federal Corporate Tax Rate: The Tax Act reduces the corporate tax rate to 21%, effective January 1, 2018. Accordingly, we have re-measured all deferred taxes at 21% as of December 31, 2017 and recorded a decrease related to the net deferred tax asset balance of $0.9 million with a corresponding net adjustment to our valuation allowance. We expect that the U.S. Treasury will issue regulations and other guidance on the application of certain provisions of the Tax Act. We will analyze that guidance and other necessary information to refine our estimates and complete our accounting for the tax effects of the 2017 Tax Act, as necessary.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provision for income taxes differs from the amount computed by applying the statutory federal tax rate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32406B"/>
                <w:w w:val="93"/>
              </w:rPr>
              <w:t>Year Ended January 31,</w:t>
            </w: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32406B"/>
              </w:rPr>
              <w:t>2018</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32406B"/>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32406B"/>
              </w:rPr>
              <w:t>Tax at federal statutory rate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1"/>
              </w:rPr>
              <w:t>(1,157)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32406B"/>
              </w:rPr>
              <w:t>State taxes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32406B"/>
              </w:rPr>
              <w:t>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32406B"/>
              </w:rPr>
              <w:t>Foreign rate differential</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1"/>
              </w:rPr>
              <w:t>(1,627)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32406B"/>
              </w:rPr>
              <w:t>Stock-based compensation</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8"/>
                <w:szCs w:val="18"/>
                <w:color w:val="32406B"/>
                <w:w w:val="90"/>
              </w:rPr>
              <w:t>(243)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3,272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1,662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32406B"/>
              </w:rPr>
              <w:t>Permanent items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32406B"/>
              </w:rPr>
              <w:t>Differences in U.S. GAAP to local statutory accounting</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358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1,039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 credits, net of FIN48</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32406B"/>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(289)</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32406B"/>
              </w:rPr>
              <w:t>Tax uncertainties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32406B"/>
              </w:rPr>
              <w:t>924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516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515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32406B"/>
              </w:rPr>
              <w:t>Change in valuation allowance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32406B"/>
                <w:w w:val="90"/>
              </w:rPr>
              <w:t>(648)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1"/>
              </w:rPr>
              <w:t>(1,895)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1"/>
              </w:rPr>
              <w:t>(2,477)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32406B"/>
              </w:rPr>
              <w:t>Change in federal tax rate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32406B"/>
              </w:rPr>
              <w:t>(881)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32406B"/>
              </w:rPr>
              <w:t>Other</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(698)</w:t>
            </w: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32406B"/>
              </w:rPr>
              <w:t>Total</w:t>
            </w:r>
          </w:p>
        </w:tc>
        <w:tc>
          <w:tcPr>
            <w:tcW w:w="3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920" w:type="dxa"/>
            <w:vAlign w:val="bottom"/>
            <w:gridSpan w:val="2"/>
          </w:tcPr>
          <w:p>
            <w:pPr>
              <w:jc w:val="right"/>
              <w:ind w:right="2847"/>
              <w:spacing w:after="0"/>
              <w:rPr>
                <w:sz w:val="20"/>
                <w:szCs w:val="20"/>
                <w:color w:val="auto"/>
              </w:rPr>
            </w:pPr>
            <w:r>
              <w:rPr>
                <w:rFonts w:ascii="Arial" w:cs="Arial" w:eastAsia="Arial" w:hAnsi="Arial"/>
                <w:sz w:val="18"/>
                <w:szCs w:val="18"/>
                <w:color w:val="32406B"/>
              </w:rPr>
              <w:t>F-31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32406B"/>
        </w:rPr>
        <w:t>Deferred income taxes result from differences in the recognition of expenses for tax and financial reporting purposes, as well as operating loss and tax credit carryforwards. Significant components of our deferred income tax assets as of January 31, 2018 and 2019 are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32406B"/>
              </w:rPr>
              <w:t>January 31,</w:t>
            </w: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w w:val="96"/>
              </w:rPr>
              <w:t>2018</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32406B"/>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32406B"/>
              </w:rPr>
              <w:t>Deferred taxes: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32406B"/>
              </w:rPr>
              <w:t>Net operating loss carryforwards</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460" w:type="dxa"/>
            <w:vAlign w:val="bottom"/>
          </w:tcPr>
          <w:p>
            <w:pPr>
              <w:jc w:val="right"/>
              <w:spacing w:after="0"/>
              <w:rPr>
                <w:sz w:val="20"/>
                <w:szCs w:val="20"/>
                <w:color w:val="auto"/>
              </w:rPr>
            </w:pPr>
            <w:r>
              <w:rPr>
                <w:rFonts w:ascii="Arial" w:cs="Arial" w:eastAsia="Arial" w:hAnsi="Arial"/>
                <w:sz w:val="18"/>
                <w:szCs w:val="18"/>
                <w:color w:val="32406B"/>
                <w:w w:val="97"/>
              </w:rPr>
              <w:t>6,040</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60" w:type="dxa"/>
            <w:vAlign w:val="bottom"/>
          </w:tcPr>
          <w:p>
            <w:pPr>
              <w:jc w:val="right"/>
              <w:spacing w:after="0"/>
              <w:rPr>
                <w:sz w:val="20"/>
                <w:szCs w:val="20"/>
                <w:color w:val="auto"/>
              </w:rPr>
            </w:pPr>
            <w:r>
              <w:rPr>
                <w:rFonts w:ascii="Arial" w:cs="Arial" w:eastAsia="Arial" w:hAnsi="Arial"/>
                <w:sz w:val="18"/>
                <w:szCs w:val="18"/>
                <w:color w:val="32406B"/>
              </w:rPr>
              <w:t>6,517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Research and development credit carryforward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32406B"/>
              </w:rPr>
              <w:t>Stock-based compensation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178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133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Accruals and reserves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3,036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32406B"/>
              </w:rPr>
              <w:t>Property and equipment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32406B"/>
                <w:w w:val="87"/>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(4,779)</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32406B"/>
              </w:rPr>
              <w:t>Deferred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2,646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32406B"/>
              </w:rPr>
              <w:t>Deferred contract acquisition costs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32406B"/>
                <w:w w:val="87"/>
              </w:rPr>
              <w:t>(6,290)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(11,468)</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700"/>
              <w:spacing w:after="0"/>
              <w:rPr>
                <w:sz w:val="20"/>
                <w:szCs w:val="20"/>
                <w:color w:val="auto"/>
              </w:rPr>
            </w:pPr>
            <w:r>
              <w:rPr>
                <w:rFonts w:ascii="Arial" w:cs="Arial" w:eastAsia="Arial" w:hAnsi="Arial"/>
                <w:sz w:val="18"/>
                <w:szCs w:val="18"/>
                <w:color w:val="32406B"/>
              </w:rPr>
              <w:t>Gross deferred taxes</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3,154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877</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32406B"/>
              </w:rPr>
              <w:t>Valuation allowance</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w w:val="77"/>
              </w:rPr>
              <w:t>(3,154)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2406B"/>
              </w:rPr>
              <w:t>(877)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32406B"/>
              </w:rPr>
              <w:t>Total net deferred taxes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32406B"/>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by $3.1 million and $2.3 million for the fiscal years ended January 31, 2018 and 2019, respectively.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32406B"/>
        </w:rPr>
        <w:t>As of January 31, 2019, we had net operating loss carryforwards of approximately $26.9 million for federal income tax purposes which will begin to expire in 2032 if unused. We had net operating loss carryforwards of approximately $10.7 million for state income tax purposes which will begin to expire in the year 2027 if unused.</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32406B"/>
        </w:rPr>
        <w:t>As of January 31, 2019, we also had research and development credit carryforwards of approximately $1.1 million for federal income tax and $1.1 million for state income tax purposes. The federal research and development tax credit will begin to expire in 2036 if unused. State research and development tax credits carryforward indefinitely.</w:t>
      </w:r>
    </w:p>
    <w:p>
      <w:pPr>
        <w:spacing w:after="0" w:line="18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32406B"/>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We have completed a Section 382 calculation and have determined that none of the operating losses will expire solely due to Section 382 limitation(s).</w:t>
      </w:r>
    </w:p>
    <w:p>
      <w:pPr>
        <w:spacing w:after="0" w:line="154"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32406B"/>
        </w:rPr>
        <w:t xml:space="preserve">We comply with ASC 740-10, </w:t>
      </w:r>
      <w:r>
        <w:rPr>
          <w:rFonts w:ascii="Arial" w:cs="Arial" w:eastAsia="Arial" w:hAnsi="Arial"/>
          <w:sz w:val="17"/>
          <w:szCs w:val="17"/>
          <w:i w:val="1"/>
          <w:iCs w:val="1"/>
          <w:color w:val="32406B"/>
        </w:rPr>
        <w:t>Accounting for Uncertainty in Income Taxes</w:t>
      </w:r>
      <w:r>
        <w:rPr>
          <w:rFonts w:ascii="Arial" w:cs="Arial" w:eastAsia="Arial" w:hAnsi="Arial"/>
          <w:sz w:val="17"/>
          <w:szCs w:val="17"/>
          <w:color w:val="32406B"/>
        </w:rPr>
        <w:t xml:space="preserve"> which prescribes a comprehensive model for the recognition, measurement, presentation and disclosure in financial statements of any uncertain tax positions that have been taken or expected to be taken on a tax return. In 2011, we adopted the provisions set forth in ASC 740-10, issued originally as FASB Interpretation No. 48, Accounting for Uncertainty in Income Taxes. This pronouncement sets a “more likely than not” criterion for recognizing the tax benefit of</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F-32</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32406B"/>
        </w:rPr>
        <w:t>uncertain tax positions. Total unrecognized income tax benefits were $2.8 million as of January 31, 2019. We do not anticipate any significant changes to unrecognized tax benefits in the next 12 months. We recognize interest and penalties related to uncertain tax positions in income tax expense.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A reconciliation of the beginning and ending balance of total unrecognized tax position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32406B"/>
                <w:w w:val="99"/>
              </w:rPr>
              <w:t>Unrecognized</w:t>
            </w: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32406B"/>
              </w:rPr>
              <w:t>Tax Benefits</w:t>
            </w: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32406B"/>
                <w:w w:val="89"/>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Balance—January 31, 2016</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32406B"/>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Balance—January 31, 2017</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32406B"/>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Balance—January 31, 2018</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1,976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32406B"/>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Balance—January 31, 2019</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2,778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32406B"/>
        </w:rPr>
        <w:t>Our policy is to recognize interest and penalties accrued on any unrecognized tax benefits as a component of income tax expense. During the fiscal years ended January 31, 2018 and 2019,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$1.0 million would affect our effective tax rate.</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32406B"/>
        </w:rPr>
        <w:t>We file income tax returns in the U.S. federal jurisdiction, various state jurisdictions and various foreign jurisdictions. As of January 31, 2019, all of the years remain open to examination by the federal and state tax authorities for three or four years from the tax year in which net operating losses or tax credits are utilized. There have been no examinations of our income tax returns by any tax authority.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9. Net Income (Loss) Per Share Attributable to Common Stockholders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The following table sets forth the computation of basic and diluted net income (loss) per share attributable to common stockholders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32406B"/>
              </w:rPr>
              <w:t>Year Ended January 31,</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2019</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32406B"/>
                <w:w w:val="85"/>
              </w:rPr>
              <w:t>Class A</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32406B"/>
                <w:w w:val="85"/>
              </w:rPr>
              <w:t>Class B</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3"/>
              </w:rPr>
              <w:t>Class B</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3"/>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9"/>
          </w:tcPr>
          <w:p>
            <w:pPr>
              <w:jc w:val="right"/>
              <w:ind w:right="374"/>
              <w:spacing w:after="0" w:line="142" w:lineRule="exact"/>
              <w:rPr>
                <w:sz w:val="20"/>
                <w:szCs w:val="20"/>
                <w:color w:val="auto"/>
              </w:rPr>
            </w:pPr>
            <w:r>
              <w:rPr>
                <w:rFonts w:ascii="Arial" w:cs="Arial" w:eastAsia="Arial" w:hAnsi="Arial"/>
                <w:sz w:val="14"/>
                <w:szCs w:val="14"/>
                <w:b w:val="1"/>
                <w:bCs w:val="1"/>
                <w:color w:val="32406B"/>
              </w:rPr>
              <w:t>(in thousands, except share and per share data)</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Numerator:</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32406B"/>
              </w:rPr>
              <w:t>Net income (loss)</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32406B"/>
              </w:rPr>
              <w:t>$   —</w:t>
            </w:r>
          </w:p>
        </w:tc>
        <w:tc>
          <w:tcPr>
            <w:tcW w:w="120" w:type="dxa"/>
            <w:vAlign w:val="bottom"/>
            <w:gridSpan w:val="2"/>
          </w:tcPr>
          <w:p>
            <w:pPr>
              <w:jc w:val="right"/>
              <w:spacing w:after="0"/>
              <w:rPr>
                <w:sz w:val="20"/>
                <w:szCs w:val="20"/>
                <w:color w:val="auto"/>
              </w:rPr>
            </w:pPr>
            <w:r>
              <w:rPr>
                <w:rFonts w:ascii="Arial" w:cs="Arial" w:eastAsia="Arial" w:hAnsi="Arial"/>
                <w:sz w:val="18"/>
                <w:szCs w:val="18"/>
                <w:color w:val="32406B"/>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32406B"/>
              </w:rPr>
              <w:t>(14)</w:t>
            </w:r>
          </w:p>
        </w:tc>
        <w:tc>
          <w:tcPr>
            <w:tcW w:w="740" w:type="dxa"/>
            <w:vAlign w:val="bottom"/>
            <w:gridSpan w:val="2"/>
          </w:tcPr>
          <w:p>
            <w:pPr>
              <w:jc w:val="right"/>
              <w:spacing w:after="0"/>
              <w:rPr>
                <w:sz w:val="20"/>
                <w:szCs w:val="20"/>
                <w:color w:val="auto"/>
              </w:rPr>
            </w:pPr>
            <w:r>
              <w:rPr>
                <w:rFonts w:ascii="Arial" w:cs="Arial" w:eastAsia="Arial" w:hAnsi="Arial"/>
                <w:sz w:val="18"/>
                <w:szCs w:val="18"/>
                <w:color w:val="32406B"/>
              </w:rPr>
              <w:t>$   —</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32406B"/>
              </w:rPr>
              <w:t>$(3,822)</w:t>
            </w:r>
          </w:p>
        </w:tc>
        <w:tc>
          <w:tcPr>
            <w:tcW w:w="760" w:type="dxa"/>
            <w:vAlign w:val="bottom"/>
            <w:gridSpan w:val="2"/>
          </w:tcPr>
          <w:p>
            <w:pPr>
              <w:jc w:val="right"/>
              <w:spacing w:after="0"/>
              <w:rPr>
                <w:sz w:val="20"/>
                <w:szCs w:val="20"/>
                <w:color w:val="auto"/>
              </w:rPr>
            </w:pPr>
            <w:r>
              <w:rPr>
                <w:rFonts w:ascii="Arial" w:cs="Arial" w:eastAsia="Arial" w:hAnsi="Arial"/>
                <w:sz w:val="18"/>
                <w:szCs w:val="18"/>
                <w:color w:val="32406B"/>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32406B"/>
              </w:rPr>
              <w:t>$ 7,584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Less: Distributed earnings attributable to participating</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securities</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89"/>
              </w:rPr>
              <w:t>(14,366)</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(4,405)</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32406B"/>
                <w:w w:val="99"/>
              </w:rPr>
              <w:t>Less: Undistributed earnings attributable to participating</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32406B"/>
              </w:rPr>
              <w:t>securities</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32406B"/>
              </w:rPr>
              <w:t>(7,584)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Net income (loss) attributable to common stockholders,</w:t>
            </w: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500" w:type="dxa"/>
            <w:vAlign w:val="bottom"/>
            <w:vMerge w:val="restart"/>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basic and diluted</w:t>
            </w:r>
          </w:p>
        </w:tc>
        <w:tc>
          <w:tcPr>
            <w:tcW w:w="42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89"/>
              </w:rPr>
              <w:t>(14,380)</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(8,227)</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F-33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32406B"/>
                <w:w w:val="97"/>
              </w:rPr>
              <w:t>Year Ended January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2017</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8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794"/>
              <w:spacing w:after="0" w:line="142" w:lineRule="exact"/>
              <w:rPr>
                <w:sz w:val="20"/>
                <w:szCs w:val="20"/>
                <w:color w:val="auto"/>
              </w:rPr>
            </w:pPr>
            <w:r>
              <w:rPr>
                <w:rFonts w:ascii="Arial" w:cs="Arial" w:eastAsia="Arial" w:hAnsi="Arial"/>
                <w:sz w:val="14"/>
                <w:szCs w:val="14"/>
                <w:b w:val="1"/>
                <w:bCs w:val="1"/>
                <w:color w:val="32406B"/>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w w:val="81"/>
              </w:rPr>
              <w:t>Class A</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Class B</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w w:val="85"/>
              </w:rPr>
              <w:t>Class A</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32406B"/>
              </w:rPr>
              <w:t>Class B</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w w:val="85"/>
              </w:rPr>
              <w:t>Class A</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32406B"/>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jc w:val="right"/>
              <w:ind w:right="20"/>
              <w:spacing w:after="0" w:line="142" w:lineRule="exact"/>
              <w:rPr>
                <w:sz w:val="20"/>
                <w:szCs w:val="20"/>
                <w:color w:val="auto"/>
              </w:rPr>
            </w:pPr>
            <w:r>
              <w:rPr>
                <w:rFonts w:ascii="Arial" w:cs="Arial" w:eastAsia="Arial" w:hAnsi="Arial"/>
                <w:sz w:val="14"/>
                <w:szCs w:val="14"/>
                <w:b w:val="1"/>
                <w:bCs w:val="1"/>
                <w:color w:val="32406B"/>
                <w:w w:val="91"/>
              </w:rPr>
              <w:t>(in thousands, except share and per share data)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Denominator: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32406B"/>
              </w:rPr>
              <w:t>Weighted-average shares used in computing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32406B"/>
              </w:rPr>
              <w:t>income (loss) per share attributable to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32406B"/>
              </w:rPr>
              <w:t>common stockholders, basic</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8"/>
              </w:rPr>
              <w:t>70,309,256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8"/>
              </w:rPr>
              <w:t>78,119,865</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9"/>
              </w:rPr>
              <w:t>84,483,094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Weighted-average shares used in computing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income (loss) per share attributable to</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common stockholders, diluted</w:t>
            </w: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70,309,256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78,119,865</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116,005,681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32406B"/>
              </w:rPr>
              <w:t>Net income (loss) per share attributable to</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32406B"/>
              </w:rPr>
              <w:t>common stockholders: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32406B"/>
              </w:rPr>
              <w:t>Basic</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32406B"/>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(0.20)</w:t>
            </w:r>
          </w:p>
        </w:tc>
        <w:tc>
          <w:tcPr>
            <w:tcW w:w="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(0.11)</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32406B"/>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32406B"/>
              </w:rPr>
              <w:t>Diluted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32406B"/>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32406B"/>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(0.11)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32406B"/>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5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32406B"/>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32406B"/>
                <w:w w:val="99"/>
              </w:rPr>
              <w:t>Year Ended January 31,</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32406B"/>
              </w:rPr>
              <w:t>2017</w:t>
            </w:r>
          </w:p>
        </w:tc>
        <w:tc>
          <w:tcPr>
            <w:tcW w:w="3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32406B"/>
              </w:rPr>
              <w:t>2018</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634"/>
              <w:spacing w:after="0" w:line="142" w:lineRule="exact"/>
              <w:rPr>
                <w:sz w:val="20"/>
                <w:szCs w:val="20"/>
                <w:color w:val="auto"/>
              </w:rPr>
            </w:pPr>
            <w:r>
              <w:rPr>
                <w:rFonts w:ascii="Arial" w:cs="Arial" w:eastAsia="Arial" w:hAnsi="Arial"/>
                <w:sz w:val="14"/>
                <w:szCs w:val="14"/>
                <w:b w:val="1"/>
                <w:bCs w:val="1"/>
                <w:color w:val="32406B"/>
              </w:rPr>
              <w:t>2019</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32406B"/>
                <w:w w:val="89"/>
              </w:rPr>
              <w:t>Class A</w:t>
            </w:r>
          </w:p>
        </w:tc>
        <w:tc>
          <w:tcPr>
            <w:tcW w:w="3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32406B"/>
              </w:rPr>
              <w:t>Class B</w:t>
            </w:r>
          </w:p>
        </w:tc>
        <w:tc>
          <w:tcPr>
            <w:tcW w:w="3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32406B"/>
                <w:w w:val="89"/>
              </w:rPr>
              <w:t>Class A</w:t>
            </w:r>
          </w:p>
        </w:tc>
        <w:tc>
          <w:tcPr>
            <w:tcW w:w="3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32406B"/>
              </w:rPr>
              <w:t>Class B</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32406B"/>
                <w:w w:val="93"/>
              </w:rPr>
              <w:t>Class A</w:t>
            </w:r>
          </w:p>
        </w:tc>
        <w:tc>
          <w:tcPr>
            <w:tcW w:w="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32406B"/>
              </w:rPr>
              <w:t>Class B</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32406B"/>
              </w:rPr>
              <w:t>Convertible preferred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32406B"/>
                <w:w w:val="88"/>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154,031,604</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32406B"/>
                <w:w w:val="88"/>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152,665,804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32406B"/>
                <w:w w:val="99"/>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32406B"/>
              </w:rPr>
              <w:t>Outstanding stock options</w:t>
            </w:r>
          </w:p>
        </w:tc>
        <w:tc>
          <w:tcPr>
            <w:tcW w:w="480" w:type="dxa"/>
            <w:vAlign w:val="bottom"/>
          </w:tcPr>
          <w:p>
            <w:pPr>
              <w:ind w:left="300"/>
              <w:spacing w:after="0"/>
              <w:rPr>
                <w:sz w:val="20"/>
                <w:szCs w:val="20"/>
                <w:color w:val="auto"/>
              </w:rPr>
            </w:pPr>
            <w:r>
              <w:rPr>
                <w:rFonts w:ascii="Arial" w:cs="Arial" w:eastAsia="Arial" w:hAnsi="Arial"/>
                <w:sz w:val="18"/>
                <w:szCs w:val="18"/>
                <w:color w:val="32406B"/>
                <w:w w:val="88"/>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32406B"/>
              </w:rPr>
              <w:t>28,011,000</w:t>
            </w:r>
          </w:p>
        </w:tc>
        <w:tc>
          <w:tcPr>
            <w:tcW w:w="3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32406B"/>
                <w:w w:val="88"/>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32406B"/>
              </w:rPr>
              <w:t>34,170,489</w:t>
            </w:r>
          </w:p>
        </w:tc>
        <w:tc>
          <w:tcPr>
            <w:tcW w:w="3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32406B"/>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32406B"/>
              </w:rPr>
              <w:t>3,541,878</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Shares subject to repurchase from early exercised stock</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options and restricted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32406B"/>
                <w:w w:val="88"/>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3,016,224</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32406B"/>
                <w:w w:val="88"/>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2,302,483</w:t>
            </w: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32406B"/>
                <w:w w:val="99"/>
              </w:rPr>
              <w:t>—</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32406B"/>
              </w:rPr>
              <w:t>Total</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32406B"/>
                <w:w w:val="88"/>
              </w:rPr>
              <w:t>—</w:t>
            </w:r>
          </w:p>
        </w:tc>
        <w:tc>
          <w:tcPr>
            <w:tcW w:w="3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185,058,828</w:t>
            </w:r>
          </w:p>
        </w:tc>
        <w:tc>
          <w:tcPr>
            <w:tcW w:w="3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32406B"/>
                <w:w w:val="88"/>
              </w:rPr>
              <w:t>—</w:t>
            </w:r>
          </w:p>
        </w:tc>
        <w:tc>
          <w:tcPr>
            <w:tcW w:w="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189,138,776</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32406B"/>
                <w:w w:val="99"/>
              </w:rPr>
              <w:t>—</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3,541,878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The convertible promissory notes are contingently convertible (convertible upon completion of an IPO or a qualified financing event as discussed in Note 5), and the conditions for the convertible feature were not satisfied as of January 31, 2019. We have excluded these potential dilutive shares from the calculation of diluted net income per share attributable to common stockholders for the period.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Basic and diluted EPS are the same for each class of common stock because they are entitled to the same liquidation and dividend rights.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2406B"/>
        </w:rPr>
        <w:t>Unaudited Pro Forma Net Income Per Share Attributable to Common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32406B"/>
        </w:rPr>
        <w:t>We have presented the unaudited pro forma basic and diluted net income per share for fiscal 2019, which has been computed to give effect to the conversion of our convertible preferred stock into Class B common stock and conversion of convertible promissory notes into Class A common stock (using the if-converted method) as though the conversion had occurred as of the beginning of the period or the original date of issuance, if later. The pro forma net income per share does not include shares being offered in the assumed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F-34</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32406B"/>
        </w:rPr>
        <w:t>The following table sets forth the computation of our unaudited pro forma basic and diluted net income per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32406B"/>
                <w:w w:val="93"/>
              </w:rPr>
              <w:t>Year Ended January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32406B"/>
                <w:w w:val="89"/>
              </w:rPr>
              <w:t>Class A</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32406B"/>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32406B"/>
                <w:w w:val="96"/>
              </w:rPr>
              <w:t>(in thousands, except share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32406B"/>
                <w:w w:val="92"/>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Numerator: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32406B"/>
              </w:rPr>
              <w:t>Net income attributable to common stockholders, basic and diluted</w:t>
            </w:r>
          </w:p>
        </w:tc>
        <w:tc>
          <w:tcPr>
            <w:tcW w:w="80" w:type="dxa"/>
            <w:vAlign w:val="bottom"/>
            <w:gridSpan w:val="2"/>
          </w:tcPr>
          <w:p>
            <w:pPr>
              <w:jc w:val="right"/>
              <w:spacing w:after="0"/>
              <w:rPr>
                <w:sz w:val="20"/>
                <w:szCs w:val="20"/>
                <w:color w:val="auto"/>
              </w:rPr>
            </w:pPr>
            <w:r>
              <w:rPr>
                <w:rFonts w:ascii="Arial" w:cs="Arial" w:eastAsia="Arial" w:hAnsi="Arial"/>
                <w:sz w:val="15"/>
                <w:szCs w:val="15"/>
                <w:color w:val="32406B"/>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32406B"/>
              </w:rPr>
              <w:t>Income attributable to 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32406B"/>
              </w:rPr>
              <w:t>Interest expense related to convertible promissory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198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32406B"/>
              </w:rPr>
              <w:t>Interest expense related to amortization of debt discount for convertible promissory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32406B"/>
              </w:rPr>
              <w:t>Remeasurement of derivative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32406B"/>
              </w:rPr>
              <w:t>Reallocation of net income attributable to common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(215)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32406B"/>
              </w:rPr>
              <w:t>Pro forma net income attributable to common stockholders, basic</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32406B"/>
              </w:rPr>
              <w:t>Reallocation of net income attributable to common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32406B"/>
              </w:rPr>
              <w:t>Pro forma net income attributable to common stockholders, 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Denominator: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32406B"/>
              </w:rPr>
              <w:t>Weighted-average shares used in computing net income per share attributable to common stockholders,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32406B"/>
              </w:rPr>
              <w:t>basic</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w w:val="99"/>
              </w:rPr>
              <w:t>84,483,094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Weighted-average shares used in computing net income per share attributable to common stockholders,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diluted</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116,005,681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32406B"/>
              </w:rPr>
              <w:t>Weighted-average pro forma adjustment to reflect assumed conversion of convertible preferred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2406B"/>
                <w:w w:val="89"/>
              </w:rPr>
              <w:t>152,665,804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32406B"/>
              </w:rPr>
              <w:t>Weighted-average pro forma adjustment to reflect assumed conversion of convertible promissory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133,194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9"/>
        </w:trPr>
        <w:tc>
          <w:tcPr>
            <w:tcW w:w="8480" w:type="dxa"/>
            <w:vAlign w:val="bottom"/>
            <w:gridSpan w:val="2"/>
          </w:tcPr>
          <w:p>
            <w:pPr>
              <w:spacing w:after="0"/>
              <w:rPr>
                <w:sz w:val="20"/>
                <w:szCs w:val="20"/>
                <w:color w:val="auto"/>
              </w:rPr>
            </w:pPr>
            <w:r>
              <w:rPr>
                <w:rFonts w:ascii="Arial" w:cs="Arial" w:eastAsia="Arial" w:hAnsi="Arial"/>
                <w:sz w:val="18"/>
                <w:szCs w:val="18"/>
                <w:color w:val="32406B"/>
              </w:rPr>
              <w:t>Weighted-average shares used in computing pro forma net income per share attributable to common</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32406B"/>
              </w:rPr>
              <w:t>stockholders, basic</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9"/>
              </w:rPr>
              <w:t>133,194</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9"/>
              </w:rPr>
              <w:t>237,148,898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Weighted-average shares used in computing pro forma net income per share attributable to common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stockholders, diluted</w:t>
            </w: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133,194</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268,671,485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32406B"/>
              </w:rPr>
              <w:t>Pro forma net income per share attributable to common stockholders:</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32406B"/>
              </w:rPr>
              <w:t>Basic</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0.03</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32406B"/>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0.03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10. Related Party Transactions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32406B"/>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2406B"/>
        </w:rPr>
        <w:t>F-35</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32406B"/>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8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32406B"/>
        </w:rPr>
        <w:t>In September 2016, we entered into a service agreement with Veeva Systems Inc. (Veeva), a cloud-based business solutions company. The chief executive officer of Veeva serves as a director on our board of directors. Revenue recognized from services provided to Veeva was $0.3 million, $1.4 million and $1.3 million for the fiscal years ended January 31, 2017, 2018 and 2019,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11. Subsequent Events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32406B"/>
        </w:rPr>
        <w:t>We have evaluated subsequent events from the balance sheet date through March 22, 2019, the date at which the consolidated financial statements were available to be issued.</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32406B"/>
        </w:rPr>
        <w:t>Subsequent to January 31, 2019, we granted stock options to purchase up to 760,700 shares of Class B common stock with a weighted-average exercise price of $24.10 per share.</w:t>
      </w:r>
    </w:p>
    <w:p>
      <w:pPr>
        <w:spacing w:after="0" w:line="170"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32406B"/>
        </w:rPr>
        <w:t>Subsequent to January 31, 2019, we entered into an agreement to lease additional space and extend the term of existing leases located in the United States. We expect to make $14.0 million of additional rent payments over the term of these leases, which expires during the year ending January 31, 2030.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2406B"/>
        </w:rPr>
        <w:t>12. Events (Unaudited) Subsequent to the Date of the Report of the Independent Registered Public Accounting Firm</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32406B"/>
        </w:rPr>
        <w:t>Subsequent to March 22, 2019, we granted stock options to purchase up to 573,950 shares of common stock with a weighted-average exercise price of $31.85 per share. All options granted after January 31, 2019 generally vest over a period of 48 months. Based on the initial public offering price, we estimate we will recognize approximately $29.0 million of stock-based compensation expense related to these stock options granted after January 31, 2019 generally over the requisite service period of 48 months.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32406B"/>
        </w:rPr>
        <w:t>In addition, in light of the difference between the fair value used for stock options granted on January 24, 2019 and the initial public offering price, in order to determine the appropriate share-based compensation expense for those stock options for financial reporting purposes, we reassessed the share-based compensation expense using the initial public offering price. We are recognizing $19.3 million of stock-based compensation expense related to these option grants generally over the requisite service period of 48 months. Since these options were granted near the end of fiscal 2019, the amount of stock-based compensation expense recognized in that fiscal period for these stock option grants is immaterial, and the incremental amount of additional expense in fiscal 2019 as a result of this reassessment using the initial public offering price is also immaterial. Therefore, we will record an out-of-period adjustment in the first quarter of fiscal 2020 to “catch-up” the incremental amount of additional expense for these stock option grants that would have otherwise been recorded in fiscal 2019.</w:t>
      </w:r>
    </w:p>
    <w:p>
      <w:pPr>
        <w:spacing w:after="0" w:line="17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32406B"/>
        </w:rPr>
        <w:t>In April 2019, we entered into a purchase agreement with Salesforce Ventures LLC to purchase $100.0 million of our Class A common stock in a private placement at a price per share equal to the initial public offering price. The purchase of our Class A common stock will occur immediately subsequent to the closing of our initial public offering.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2406B"/>
        </w:rPr>
        <w:t>F-36</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32406B"/>
        </w:rPr>
        <w:t>ZOOM VIDEO COMMUNICATIONS,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4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32406B"/>
        </w:rPr>
        <w:t>In April 2019, our Board of Directors adopted the 2019 Equity Incentive Plan and reserved 58,300,889 shares of our Class A common stock for issuance under the plan and the 2019 Employee Stock Purchase Plan and reserved 9.0 million shares of our Class A common stock for future issuance under the plan.</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32406B"/>
        </w:rPr>
        <w:t>In April 2019, our Board of Directors approved an amendment to our certificate of incorporation to authorize 2.0 billion shares of Class A common stock, 300.0 million shares of Class B common stock, 200.0 million shares of preferred stock, which will be filed and become effective upon the closing of our IPO.</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32406B"/>
        </w:rPr>
        <w:t>F-37</w:t>
      </w:r>
    </w:p>
    <w:p>
      <w:pPr>
        <w:sectPr>
          <w:pgSz w:w="11900" w:h="16838" w:orient="portrait"/>
          <w:cols w:equalWidth="0" w:num="1">
            <w:col w:w="11020"/>
          </w:cols>
          <w:pgMar w:left="240" w:top="460" w:right="63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220345</wp:posOffset>
            </wp:positionV>
            <wp:extent cx="5068570" cy="67233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68570" cy="672338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3393440</wp:posOffset>
            </wp:positionV>
            <wp:extent cx="3087370" cy="694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87370" cy="6946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1)"/>
      <w:numFmt w:val="lowerRoman"/>
      <w:start w:val="3"/>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2"/>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lowerRoman"/>
      <w:start w:val="2"/>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2"/>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6"/>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lowerRoman"/>
      <w:start w:val="5"/>
    </w:lvl>
  </w:abstractNum>
  <w:abstractNum w:abstractNumId="71">
    <w:nsid w:val="71EA1109"/>
    <w:multiLevelType w:val="hybridMultilevel"/>
    <w:lvl w:ilvl="0">
      <w:lvlJc w:val="left"/>
      <w:lvlText w:val="(%1)"/>
      <w:numFmt w:val="lowerRoman"/>
      <w:start w:val="10"/>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3"/>
    </w:lvl>
  </w:abstractNum>
  <w:abstractNum w:abstractNumId="80">
    <w:nsid w:val="1716703B"/>
    <w:multiLevelType w:val="hybridMultilevel"/>
    <w:lvl w:ilvl="0">
      <w:lvlJc w:val="left"/>
      <w:lvlText w:val="(%1)"/>
      <w:numFmt w:val="decimal"/>
      <w:start w:val="10"/>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lowerLetter"/>
      <w:start w:val="1"/>
    </w:lvl>
  </w:abstractNum>
  <w:abstractNum w:abstractNumId="92">
    <w:nsid w:val="60EF0119"/>
    <w:multiLevelType w:val="hybridMultilevel"/>
    <w:lvl w:ilvl="0">
      <w:lvlJc w:val="left"/>
      <w:lvlText w:val="%1."/>
      <w:numFmt w:val="decimal"/>
      <w:start w:val="7"/>
    </w:lvl>
  </w:abstractNum>
  <w:abstractNum w:abstractNumId="93">
    <w:nsid w:val="26F324BA"/>
    <w:multiLevelType w:val="hybridMultilevel"/>
    <w:lvl w:ilvl="0">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2019-12-03T10:12:13Z</dcterms:created>
  <dcterms:modified xsi:type="dcterms:W3CDTF">2019-12-03T10:12:13Z</dcterms:modified>
</cp:coreProperties>
</file>