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Emergence Equity Partners III,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03/19/2020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03/19/2020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16,685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119.7</w:t>
            </w:r>
            <w:r>
              <w:rPr>
                <w:rFonts w:ascii="Arial" w:cs="Arial" w:eastAsia="Arial" w:hAnsi="Arial"/>
                <w:sz w:val="22"/>
                <w:szCs w:val="22"/>
                <w:color w:val="008000"/>
                <w:w w:val="88"/>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56,483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03/19/2020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24,011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120.66</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32,472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03/19/2020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29,179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121.81</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3,293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03/19/2020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3,293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122.34</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$119.10 - $120.09.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$120.10 - $121.09.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$121.10 - $122.09.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$122.10 - $122.50.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Emergence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III, 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LLC, its sole general 03/23/2020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1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738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2020-03-23T16:41:18Z</dcterms:created>
  <dcterms:modified xsi:type="dcterms:W3CDTF">2020-03-23T16:41:18Z</dcterms:modified>
</cp:coreProperties>
</file>