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3"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June 16, 2022</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9" w:lineRule="exact"/>
        <w:rPr>
          <w:sz w:val="24"/>
          <w:szCs w:val="24"/>
          <w:color w:val="auto"/>
        </w:rPr>
      </w:pPr>
    </w:p>
    <w:tbl>
      <w:tblPr>
        <w:tblLayout w:type="fixed"/>
        <w:tblInd w:w="1060" w:type="dxa"/>
        <w:tblCellMar>
          <w:top w:w="0" w:type="dxa"/>
          <w:left w:w="0" w:type="dxa"/>
          <w:bottom w:w="0" w:type="dxa"/>
          <w:right w:w="0" w:type="dxa"/>
        </w:tblCellMar>
      </w:tblPr>
      <w:tr>
        <w:trPr>
          <w:trHeight w:val="233"/>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39"/>
        </w:trPr>
        <w:tc>
          <w:tcPr>
            <w:tcW w:w="2120" w:type="dxa"/>
            <w:vAlign w:val="bottom"/>
          </w:tcPr>
          <w:p>
            <w:pPr>
              <w:jc w:val="center"/>
              <w:ind w:right="403"/>
              <w:spacing w:after="0" w:line="139"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4"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24"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On June 16, 2022, Zoom Video Communications, Inc. (the “Company”) held its 2022 Annual Meeting of Stockholders (the "Annual Meeting"). At the Annual Meeting, the Company’s stockholders (1) elected each of the Company’s nominees for Class III director, (2) ratified the appointment of KPMG LLP as the Company’s independent registered public accounting firm for the fiscal year ending January 31, 2023, and (3) approved, on an advisory basis, the compensation of the Company's named executive officers. The final results with respect to each proposal are set forth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Proposal One – Election of Directors</w:t>
      </w:r>
    </w:p>
    <w:p>
      <w:pPr>
        <w:spacing w:after="0" w:line="244" w:lineRule="exact"/>
        <w:rPr>
          <w:sz w:val="20"/>
          <w:szCs w:val="20"/>
          <w:color w:val="auto"/>
        </w:rPr>
      </w:pPr>
    </w:p>
    <w:p>
      <w:pPr>
        <w:ind w:right="20" w:firstLine="620"/>
        <w:spacing w:after="0" w:line="283" w:lineRule="auto"/>
        <w:rPr>
          <w:sz w:val="20"/>
          <w:szCs w:val="20"/>
          <w:color w:val="auto"/>
        </w:rPr>
      </w:pPr>
      <w:r>
        <w:rPr>
          <w:rFonts w:ascii="Arial" w:cs="Arial" w:eastAsia="Arial" w:hAnsi="Arial"/>
          <w:sz w:val="17"/>
          <w:szCs w:val="17"/>
          <w:color w:val="auto"/>
        </w:rPr>
        <w:t>The stockholders elected each of the three persons named below as Class III directors to serve until the 2025 annual meeting of stockholders or until their successors are duly elected and qualified. The results of such vote were:</w:t>
      </w:r>
    </w:p>
    <w:p>
      <w:pPr>
        <w:spacing w:after="0" w:line="209" w:lineRule="exact"/>
        <w:rPr>
          <w:sz w:val="20"/>
          <w:szCs w:val="20"/>
          <w:color w:val="auto"/>
        </w:rPr>
      </w:pPr>
    </w:p>
    <w:tbl>
      <w:tblPr>
        <w:tblLayout w:type="fixed"/>
        <w:tblInd w:w="200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2000" w:type="dxa"/>
            <w:vAlign w:val="bottom"/>
            <w:gridSpan w:val="4"/>
            <w:vMerge w:val="restart"/>
          </w:tcPr>
          <w:p>
            <w:pPr>
              <w:jc w:val="center"/>
              <w:ind w:left="414"/>
              <w:spacing w:after="0"/>
              <w:rPr>
                <w:sz w:val="20"/>
                <w:szCs w:val="20"/>
                <w:color w:val="auto"/>
              </w:rPr>
            </w:pPr>
            <w:r>
              <w:rPr>
                <w:rFonts w:ascii="Arial" w:cs="Arial" w:eastAsia="Arial" w:hAnsi="Arial"/>
                <w:sz w:val="17"/>
                <w:szCs w:val="17"/>
                <w:b w:val="1"/>
                <w:bCs w:val="1"/>
                <w:color w:val="auto"/>
              </w:rPr>
              <w:t>FOR</w:t>
            </w:r>
          </w:p>
        </w:tc>
        <w:tc>
          <w:tcPr>
            <w:tcW w:w="2040" w:type="dxa"/>
            <w:vAlign w:val="bottom"/>
            <w:gridSpan w:val="4"/>
            <w:vMerge w:val="restart"/>
          </w:tcPr>
          <w:p>
            <w:pPr>
              <w:jc w:val="center"/>
              <w:ind w:left="414"/>
              <w:spacing w:after="0"/>
              <w:rPr>
                <w:sz w:val="20"/>
                <w:szCs w:val="20"/>
                <w:color w:val="auto"/>
              </w:rPr>
            </w:pPr>
            <w:r>
              <w:rPr>
                <w:rFonts w:ascii="Arial" w:cs="Arial" w:eastAsia="Arial" w:hAnsi="Arial"/>
                <w:sz w:val="17"/>
                <w:szCs w:val="17"/>
                <w:b w:val="1"/>
                <w:bCs w:val="1"/>
                <w:color w:val="auto"/>
              </w:rPr>
              <w:t>WITHHELD</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7"/>
                <w:szCs w:val="17"/>
                <w:b w:val="1"/>
                <w:bCs w:val="1"/>
                <w:color w:val="auto"/>
              </w:rPr>
              <w:t>BROKER</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00" w:type="dxa"/>
            <w:vAlign w:val="bottom"/>
            <w:gridSpan w:val="4"/>
            <w:vMerge w:val="continue"/>
          </w:tcPr>
          <w:p>
            <w:pPr>
              <w:spacing w:after="0" w:line="20" w:lineRule="exact"/>
              <w:rPr>
                <w:sz w:val="1"/>
                <w:szCs w:val="1"/>
                <w:color w:val="auto"/>
              </w:rPr>
            </w:pPr>
          </w:p>
        </w:tc>
        <w:tc>
          <w:tcPr>
            <w:tcW w:w="204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980" w:type="dxa"/>
            <w:vAlign w:val="bottom"/>
            <w:vMerge w:val="restart"/>
          </w:tcPr>
          <w:p>
            <w:pPr>
              <w:ind w:left="620"/>
              <w:spacing w:after="0"/>
              <w:rPr>
                <w:sz w:val="20"/>
                <w:szCs w:val="20"/>
                <w:color w:val="auto"/>
              </w:rPr>
            </w:pPr>
            <w:r>
              <w:rPr>
                <w:rFonts w:ascii="Arial" w:cs="Arial" w:eastAsia="Arial" w:hAnsi="Arial"/>
                <w:sz w:val="17"/>
                <w:szCs w:val="17"/>
                <w:color w:val="auto"/>
              </w:rPr>
              <w:t>Carl M.</w:t>
            </w:r>
          </w:p>
        </w:tc>
        <w:tc>
          <w:tcPr>
            <w:tcW w:w="2000" w:type="dxa"/>
            <w:vAlign w:val="bottom"/>
            <w:gridSpan w:val="4"/>
            <w:vMerge w:val="continue"/>
          </w:tcPr>
          <w:p>
            <w:pPr>
              <w:spacing w:after="0"/>
              <w:rPr>
                <w:sz w:val="5"/>
                <w:szCs w:val="5"/>
                <w:color w:val="auto"/>
              </w:rPr>
            </w:pPr>
          </w:p>
        </w:tc>
        <w:tc>
          <w:tcPr>
            <w:tcW w:w="204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1400" w:type="dxa"/>
            <w:vAlign w:val="bottom"/>
            <w:gridSpan w:val="4"/>
            <w:vMerge w:val="restart"/>
          </w:tcPr>
          <w:p>
            <w:pPr>
              <w:spacing w:after="0" w:line="148" w:lineRule="exact"/>
              <w:rPr>
                <w:sz w:val="20"/>
                <w:szCs w:val="20"/>
                <w:color w:val="auto"/>
              </w:rPr>
            </w:pPr>
            <w:r>
              <w:rPr>
                <w:rFonts w:ascii="Arial" w:cs="Arial" w:eastAsia="Arial" w:hAnsi="Arial"/>
                <w:sz w:val="17"/>
                <w:szCs w:val="17"/>
                <w:b w:val="1"/>
                <w:bCs w:val="1"/>
                <w:color w:val="auto"/>
              </w:rPr>
              <w:t>NON-VOTE</w:t>
            </w:r>
          </w:p>
        </w:tc>
        <w:tc>
          <w:tcPr>
            <w:tcW w:w="0" w:type="dxa"/>
            <w:vAlign w:val="bottom"/>
          </w:tcPr>
          <w:p>
            <w:pPr>
              <w:spacing w:after="0"/>
              <w:rPr>
                <w:sz w:val="1"/>
                <w:szCs w:val="1"/>
                <w:color w:val="auto"/>
              </w:rPr>
            </w:pPr>
          </w:p>
        </w:tc>
      </w:tr>
      <w:tr>
        <w:trPr>
          <w:trHeight w:val="70"/>
        </w:trPr>
        <w:tc>
          <w:tcPr>
            <w:tcW w:w="19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80" w:type="dxa"/>
            <w:vAlign w:val="bottom"/>
            <w:vMerge w:val="continue"/>
          </w:tcPr>
          <w:p>
            <w:pPr>
              <w:spacing w:after="0"/>
              <w:rPr>
                <w:sz w:val="16"/>
                <w:szCs w:val="16"/>
                <w:color w:val="auto"/>
              </w:rPr>
            </w:pPr>
          </w:p>
        </w:tc>
        <w:tc>
          <w:tcPr>
            <w:tcW w:w="1880" w:type="dxa"/>
            <w:vAlign w:val="bottom"/>
            <w:gridSpan w:val="3"/>
            <w:vMerge w:val="restart"/>
          </w:tcPr>
          <w:p>
            <w:pPr>
              <w:jc w:val="center"/>
              <w:ind w:left="534"/>
              <w:spacing w:after="0"/>
              <w:rPr>
                <w:sz w:val="20"/>
                <w:szCs w:val="20"/>
                <w:color w:val="auto"/>
              </w:rPr>
            </w:pPr>
            <w:r>
              <w:rPr>
                <w:rFonts w:ascii="Arial" w:cs="Arial" w:eastAsia="Arial" w:hAnsi="Arial"/>
                <w:sz w:val="17"/>
                <w:szCs w:val="17"/>
                <w:color w:val="auto"/>
                <w:w w:val="90"/>
              </w:rPr>
              <w:t>494,964,604</w:t>
            </w:r>
          </w:p>
        </w:tc>
        <w:tc>
          <w:tcPr>
            <w:tcW w:w="120" w:type="dxa"/>
            <w:vAlign w:val="bottom"/>
          </w:tcPr>
          <w:p>
            <w:pPr>
              <w:spacing w:after="0"/>
              <w:rPr>
                <w:sz w:val="16"/>
                <w:szCs w:val="16"/>
                <w:color w:val="auto"/>
              </w:rPr>
            </w:pPr>
          </w:p>
        </w:tc>
        <w:tc>
          <w:tcPr>
            <w:tcW w:w="1760" w:type="dxa"/>
            <w:vAlign w:val="bottom"/>
            <w:gridSpan w:val="2"/>
            <w:vMerge w:val="restart"/>
          </w:tcPr>
          <w:p>
            <w:pPr>
              <w:jc w:val="center"/>
              <w:ind w:left="694"/>
              <w:spacing w:after="0"/>
              <w:rPr>
                <w:sz w:val="20"/>
                <w:szCs w:val="20"/>
                <w:color w:val="auto"/>
              </w:rPr>
            </w:pPr>
            <w:r>
              <w:rPr>
                <w:rFonts w:ascii="Arial" w:cs="Arial" w:eastAsia="Arial" w:hAnsi="Arial"/>
                <w:sz w:val="17"/>
                <w:szCs w:val="17"/>
                <w:color w:val="auto"/>
                <w:w w:val="91"/>
              </w:rPr>
              <w:t>87,546,585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spacing w:after="0"/>
              <w:rPr>
                <w:sz w:val="16"/>
                <w:szCs w:val="16"/>
                <w:color w:val="auto"/>
              </w:rPr>
            </w:pPr>
          </w:p>
        </w:tc>
        <w:tc>
          <w:tcPr>
            <w:tcW w:w="1400" w:type="dxa"/>
            <w:vAlign w:val="bottom"/>
            <w:gridSpan w:val="4"/>
            <w:vMerge w:val="restart"/>
          </w:tcPr>
          <w:p>
            <w:pPr>
              <w:ind w:left="380"/>
              <w:spacing w:after="0"/>
              <w:rPr>
                <w:sz w:val="20"/>
                <w:szCs w:val="20"/>
                <w:color w:val="auto"/>
              </w:rPr>
            </w:pPr>
            <w:r>
              <w:rPr>
                <w:rFonts w:ascii="Arial" w:cs="Arial" w:eastAsia="Arial" w:hAnsi="Arial"/>
                <w:sz w:val="17"/>
                <w:szCs w:val="17"/>
                <w:color w:val="auto"/>
              </w:rPr>
              <w:t>63,982,698</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17"/>
                <w:szCs w:val="17"/>
                <w:color w:val="auto"/>
              </w:rPr>
              <w:t>Eschenbach</w:t>
            </w:r>
          </w:p>
        </w:tc>
        <w:tc>
          <w:tcPr>
            <w:tcW w:w="188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620"/>
              <w:spacing w:after="0" w:line="149" w:lineRule="exact"/>
              <w:rPr>
                <w:sz w:val="20"/>
                <w:szCs w:val="20"/>
                <w:color w:val="auto"/>
              </w:rPr>
            </w:pPr>
            <w:r>
              <w:rPr>
                <w:rFonts w:ascii="Arial" w:cs="Arial" w:eastAsia="Arial" w:hAnsi="Arial"/>
                <w:sz w:val="17"/>
                <w:szCs w:val="17"/>
                <w:color w:val="auto"/>
              </w:rPr>
              <w:t>William R.</w:t>
            </w:r>
          </w:p>
        </w:tc>
        <w:tc>
          <w:tcPr>
            <w:tcW w:w="1880" w:type="dxa"/>
            <w:vAlign w:val="bottom"/>
            <w:gridSpan w:val="3"/>
            <w:vMerge w:val="restart"/>
          </w:tcPr>
          <w:p>
            <w:pPr>
              <w:jc w:val="center"/>
              <w:ind w:left="534"/>
              <w:spacing w:after="0"/>
              <w:rPr>
                <w:sz w:val="20"/>
                <w:szCs w:val="20"/>
                <w:color w:val="auto"/>
              </w:rPr>
            </w:pPr>
            <w:r>
              <w:rPr>
                <w:rFonts w:ascii="Arial" w:cs="Arial" w:eastAsia="Arial" w:hAnsi="Arial"/>
                <w:sz w:val="17"/>
                <w:szCs w:val="17"/>
                <w:color w:val="auto"/>
                <w:w w:val="90"/>
              </w:rPr>
              <w:t>536,118,972</w:t>
            </w:r>
          </w:p>
        </w:tc>
        <w:tc>
          <w:tcPr>
            <w:tcW w:w="120" w:type="dxa"/>
            <w:vAlign w:val="bottom"/>
          </w:tcPr>
          <w:p>
            <w:pPr>
              <w:spacing w:after="0"/>
              <w:rPr>
                <w:sz w:val="12"/>
                <w:szCs w:val="12"/>
                <w:color w:val="auto"/>
              </w:rPr>
            </w:pPr>
          </w:p>
        </w:tc>
        <w:tc>
          <w:tcPr>
            <w:tcW w:w="1760" w:type="dxa"/>
            <w:vAlign w:val="bottom"/>
            <w:gridSpan w:val="2"/>
            <w:vMerge w:val="restart"/>
          </w:tcPr>
          <w:p>
            <w:pPr>
              <w:jc w:val="center"/>
              <w:ind w:left="694"/>
              <w:spacing w:after="0"/>
              <w:rPr>
                <w:sz w:val="20"/>
                <w:szCs w:val="20"/>
                <w:color w:val="auto"/>
              </w:rPr>
            </w:pPr>
            <w:r>
              <w:rPr>
                <w:rFonts w:ascii="Arial" w:cs="Arial" w:eastAsia="Arial" w:hAnsi="Arial"/>
                <w:sz w:val="17"/>
                <w:szCs w:val="17"/>
                <w:color w:val="auto"/>
                <w:w w:val="91"/>
              </w:rPr>
              <w:t>46,392,217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restart"/>
          </w:tcPr>
          <w:p>
            <w:pPr>
              <w:ind w:left="840"/>
              <w:spacing w:after="0"/>
              <w:rPr>
                <w:sz w:val="20"/>
                <w:szCs w:val="20"/>
                <w:color w:val="auto"/>
              </w:rPr>
            </w:pPr>
            <w:r>
              <w:rPr>
                <w:rFonts w:ascii="Arial" w:cs="Arial" w:eastAsia="Arial" w:hAnsi="Arial"/>
                <w:sz w:val="17"/>
                <w:szCs w:val="17"/>
                <w:color w:val="auto"/>
              </w:rPr>
              <w:t>63,982,698</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17"/>
                <w:szCs w:val="17"/>
                <w:color w:val="auto"/>
              </w:rPr>
              <w:t>McDermott</w:t>
            </w:r>
          </w:p>
        </w:tc>
        <w:tc>
          <w:tcPr>
            <w:tcW w:w="188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980" w:type="dxa"/>
            <w:vAlign w:val="bottom"/>
          </w:tcPr>
          <w:p>
            <w:pPr>
              <w:ind w:left="620"/>
              <w:spacing w:after="0"/>
              <w:rPr>
                <w:sz w:val="20"/>
                <w:szCs w:val="20"/>
                <w:color w:val="auto"/>
              </w:rPr>
            </w:pPr>
            <w:r>
              <w:rPr>
                <w:rFonts w:ascii="Arial" w:cs="Arial" w:eastAsia="Arial" w:hAnsi="Arial"/>
                <w:sz w:val="17"/>
                <w:szCs w:val="17"/>
                <w:color w:val="auto"/>
              </w:rPr>
              <w:t>Janet Napolitano</w:t>
            </w:r>
          </w:p>
        </w:tc>
        <w:tc>
          <w:tcPr>
            <w:tcW w:w="18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7"/>
                <w:szCs w:val="17"/>
                <w:color w:val="auto"/>
                <w:w w:val="90"/>
              </w:rPr>
              <w:t>547,268,222</w:t>
            </w:r>
          </w:p>
        </w:tc>
        <w:tc>
          <w:tcPr>
            <w:tcW w:w="120" w:type="dxa"/>
            <w:vAlign w:val="bottom"/>
          </w:tcPr>
          <w:p>
            <w:pPr>
              <w:spacing w:after="0"/>
              <w:rPr>
                <w:sz w:val="20"/>
                <w:szCs w:val="20"/>
                <w:color w:val="auto"/>
              </w:rPr>
            </w:pPr>
          </w:p>
        </w:tc>
        <w:tc>
          <w:tcPr>
            <w:tcW w:w="176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7"/>
                <w:szCs w:val="17"/>
                <w:color w:val="auto"/>
                <w:w w:val="91"/>
              </w:rPr>
              <w:t>35,242,967</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gridSpan w:val="5"/>
          </w:tcPr>
          <w:p>
            <w:pPr>
              <w:ind w:left="840"/>
              <w:spacing w:after="0"/>
              <w:rPr>
                <w:sz w:val="20"/>
                <w:szCs w:val="20"/>
                <w:color w:val="auto"/>
              </w:rPr>
            </w:pPr>
            <w:r>
              <w:rPr>
                <w:rFonts w:ascii="Arial" w:cs="Arial" w:eastAsia="Arial" w:hAnsi="Arial"/>
                <w:sz w:val="17"/>
                <w:szCs w:val="17"/>
                <w:color w:val="auto"/>
              </w:rPr>
              <w:t>63,982,698</w:t>
            </w:r>
          </w:p>
        </w:tc>
        <w:tc>
          <w:tcPr>
            <w:tcW w:w="0" w:type="dxa"/>
            <w:vAlign w:val="bottom"/>
          </w:tcPr>
          <w:p>
            <w:pPr>
              <w:spacing w:after="0"/>
              <w:rPr>
                <w:sz w:val="1"/>
                <w:szCs w:val="1"/>
                <w:color w:val="auto"/>
              </w:rPr>
            </w:pPr>
          </w:p>
        </w:tc>
      </w:tr>
      <w:tr>
        <w:trPr>
          <w:trHeight w:val="148"/>
        </w:trPr>
        <w:tc>
          <w:tcPr>
            <w:tcW w:w="1980" w:type="dxa"/>
            <w:vAlign w:val="bottom"/>
          </w:tcPr>
          <w:p>
            <w:pPr>
              <w:ind w:left="620"/>
              <w:spacing w:after="0" w:line="149" w:lineRule="exact"/>
              <w:rPr>
                <w:sz w:val="20"/>
                <w:szCs w:val="20"/>
                <w:color w:val="auto"/>
              </w:rPr>
            </w:pPr>
            <w:r>
              <w:rPr>
                <w:rFonts w:ascii="Arial" w:cs="Arial" w:eastAsia="Arial" w:hAnsi="Arial"/>
                <w:sz w:val="17"/>
                <w:szCs w:val="17"/>
                <w:color w:val="auto"/>
              </w:rPr>
              <w:t>Santiago</w:t>
            </w:r>
          </w:p>
        </w:tc>
        <w:tc>
          <w:tcPr>
            <w:tcW w:w="1880" w:type="dxa"/>
            <w:vAlign w:val="bottom"/>
            <w:gridSpan w:val="3"/>
            <w:vMerge w:val="restart"/>
          </w:tcPr>
          <w:p>
            <w:pPr>
              <w:jc w:val="center"/>
              <w:ind w:left="534"/>
              <w:spacing w:after="0"/>
              <w:rPr>
                <w:sz w:val="20"/>
                <w:szCs w:val="20"/>
                <w:color w:val="auto"/>
              </w:rPr>
            </w:pPr>
            <w:r>
              <w:rPr>
                <w:rFonts w:ascii="Arial" w:cs="Arial" w:eastAsia="Arial" w:hAnsi="Arial"/>
                <w:sz w:val="17"/>
                <w:szCs w:val="17"/>
                <w:color w:val="auto"/>
                <w:w w:val="90"/>
              </w:rPr>
              <w:t>538,394,916</w:t>
            </w:r>
          </w:p>
        </w:tc>
        <w:tc>
          <w:tcPr>
            <w:tcW w:w="120" w:type="dxa"/>
            <w:vAlign w:val="bottom"/>
          </w:tcPr>
          <w:p>
            <w:pPr>
              <w:spacing w:after="0"/>
              <w:rPr>
                <w:sz w:val="12"/>
                <w:szCs w:val="12"/>
                <w:color w:val="auto"/>
              </w:rPr>
            </w:pPr>
          </w:p>
        </w:tc>
        <w:tc>
          <w:tcPr>
            <w:tcW w:w="1760" w:type="dxa"/>
            <w:vAlign w:val="bottom"/>
            <w:gridSpan w:val="2"/>
            <w:vMerge w:val="restart"/>
          </w:tcPr>
          <w:p>
            <w:pPr>
              <w:jc w:val="center"/>
              <w:ind w:left="694"/>
              <w:spacing w:after="0"/>
              <w:rPr>
                <w:sz w:val="20"/>
                <w:szCs w:val="20"/>
                <w:color w:val="auto"/>
              </w:rPr>
            </w:pPr>
            <w:r>
              <w:rPr>
                <w:rFonts w:ascii="Arial" w:cs="Arial" w:eastAsia="Arial" w:hAnsi="Arial"/>
                <w:sz w:val="17"/>
                <w:szCs w:val="17"/>
                <w:color w:val="auto"/>
                <w:w w:val="91"/>
              </w:rPr>
              <w:t>44,116,273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restart"/>
          </w:tcPr>
          <w:p>
            <w:pPr>
              <w:ind w:left="840"/>
              <w:spacing w:after="0"/>
              <w:rPr>
                <w:sz w:val="20"/>
                <w:szCs w:val="20"/>
                <w:color w:val="auto"/>
              </w:rPr>
            </w:pPr>
            <w:r>
              <w:rPr>
                <w:rFonts w:ascii="Arial" w:cs="Arial" w:eastAsia="Arial" w:hAnsi="Arial"/>
                <w:sz w:val="17"/>
                <w:szCs w:val="17"/>
                <w:color w:val="auto"/>
              </w:rPr>
              <w:t>63,982,698</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17"/>
                <w:szCs w:val="17"/>
                <w:color w:val="auto"/>
              </w:rPr>
              <w:t>Subotovsky</w:t>
            </w:r>
          </w:p>
        </w:tc>
        <w:tc>
          <w:tcPr>
            <w:tcW w:w="188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Proposal Two – Ratification of Selection of Independent Public Registered Accounting Firm</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stockholders ratified the appointment of KPMG LLP as the Company's independent registered public accounting firm for the fiscal year ending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January 31, 2023. The results of such vote were:</w:t>
      </w:r>
    </w:p>
    <w:p>
      <w:pPr>
        <w:spacing w:after="0" w:line="255" w:lineRule="exact"/>
        <w:rPr>
          <w:sz w:val="20"/>
          <w:szCs w:val="20"/>
          <w:color w:val="auto"/>
        </w:rPr>
      </w:pPr>
    </w:p>
    <w:tbl>
      <w:tblPr>
        <w:tblLayout w:type="fixed"/>
        <w:tblInd w:w="320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380" w:type="dxa"/>
            <w:vAlign w:val="bottom"/>
            <w:gridSpan w:val="2"/>
          </w:tcPr>
          <w:p>
            <w:pPr>
              <w:jc w:val="center"/>
              <w:ind w:right="1020"/>
              <w:spacing w:after="0"/>
              <w:rPr>
                <w:sz w:val="20"/>
                <w:szCs w:val="20"/>
                <w:color w:val="auto"/>
              </w:rPr>
            </w:pPr>
            <w:r>
              <w:rPr>
                <w:rFonts w:ascii="Arial" w:cs="Arial" w:eastAsia="Arial" w:hAnsi="Arial"/>
                <w:sz w:val="17"/>
                <w:szCs w:val="17"/>
                <w:b w:val="1"/>
                <w:bCs w:val="1"/>
                <w:color w:val="auto"/>
              </w:rPr>
              <w:t>FOR</w:t>
            </w:r>
          </w:p>
        </w:tc>
        <w:tc>
          <w:tcPr>
            <w:tcW w:w="3360" w:type="dxa"/>
            <w:vAlign w:val="bottom"/>
            <w:gridSpan w:val="3"/>
          </w:tcPr>
          <w:p>
            <w:pPr>
              <w:jc w:val="center"/>
              <w:ind w:right="1040"/>
              <w:spacing w:after="0"/>
              <w:rPr>
                <w:sz w:val="20"/>
                <w:szCs w:val="20"/>
                <w:color w:val="auto"/>
              </w:rPr>
            </w:pPr>
            <w:r>
              <w:rPr>
                <w:rFonts w:ascii="Arial" w:cs="Arial" w:eastAsia="Arial" w:hAnsi="Arial"/>
                <w:sz w:val="17"/>
                <w:szCs w:val="17"/>
                <w:b w:val="1"/>
                <w:bCs w:val="1"/>
                <w:color w:val="auto"/>
              </w:rPr>
              <w:t>AGAINST</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ABSTAIN</w:t>
            </w:r>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9"/>
        </w:trPr>
        <w:tc>
          <w:tcPr>
            <w:tcW w:w="1620" w:type="dxa"/>
            <w:vAlign w:val="bottom"/>
            <w:gridSpan w:val="3"/>
          </w:tcPr>
          <w:p>
            <w:pPr>
              <w:jc w:val="right"/>
              <w:ind w:right="760"/>
              <w:spacing w:after="0"/>
              <w:rPr>
                <w:sz w:val="20"/>
                <w:szCs w:val="20"/>
                <w:color w:val="auto"/>
              </w:rPr>
            </w:pPr>
            <w:r>
              <w:rPr>
                <w:rFonts w:ascii="Arial" w:cs="Arial" w:eastAsia="Arial" w:hAnsi="Arial"/>
                <w:sz w:val="17"/>
                <w:szCs w:val="17"/>
                <w:color w:val="auto"/>
                <w:w w:val="88"/>
              </w:rPr>
              <w:t>646,037,969</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373,088</w:t>
            </w:r>
          </w:p>
        </w:tc>
        <w:tc>
          <w:tcPr>
            <w:tcW w:w="1800" w:type="dxa"/>
            <w:vAlign w:val="bottom"/>
          </w:tcPr>
          <w:p>
            <w:pPr>
              <w:spacing w:after="0"/>
              <w:rPr>
                <w:sz w:val="20"/>
                <w:szCs w:val="20"/>
                <w:color w:val="auto"/>
              </w:rPr>
            </w:pP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82,830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Proposal Three – Advisory Vote on Executive Compensation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stockholders advised that they were in favor of the compensation of the Company's named executive officers. The results of such vote were:</w:t>
      </w:r>
    </w:p>
    <w:p>
      <w:pPr>
        <w:spacing w:after="0" w:line="268" w:lineRule="exact"/>
        <w:rPr>
          <w:sz w:val="20"/>
          <w:szCs w:val="20"/>
          <w:color w:val="auto"/>
        </w:rPr>
      </w:pPr>
    </w:p>
    <w:tbl>
      <w:tblPr>
        <w:tblLayout w:type="fixed"/>
        <w:tblInd w:w="286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1140" w:type="dxa"/>
            <w:vAlign w:val="bottom"/>
            <w:gridSpan w:val="2"/>
            <w:vMerge w:val="restart"/>
          </w:tcPr>
          <w:p>
            <w:pPr>
              <w:jc w:val="center"/>
              <w:ind w:right="780"/>
              <w:spacing w:after="0"/>
              <w:rPr>
                <w:sz w:val="20"/>
                <w:szCs w:val="20"/>
                <w:color w:val="auto"/>
              </w:rPr>
            </w:pPr>
            <w:r>
              <w:rPr>
                <w:rFonts w:ascii="Arial" w:cs="Arial" w:eastAsia="Arial" w:hAnsi="Arial"/>
                <w:sz w:val="17"/>
                <w:szCs w:val="17"/>
                <w:b w:val="1"/>
                <w:bCs w:val="1"/>
                <w:color w:val="auto"/>
              </w:rPr>
              <w:t>FOR</w:t>
            </w:r>
          </w:p>
        </w:tc>
        <w:tc>
          <w:tcPr>
            <w:tcW w:w="2440" w:type="dxa"/>
            <w:vAlign w:val="bottom"/>
            <w:gridSpan w:val="3"/>
            <w:vMerge w:val="restart"/>
          </w:tcPr>
          <w:p>
            <w:pPr>
              <w:jc w:val="center"/>
              <w:ind w:right="620"/>
              <w:spacing w:after="0"/>
              <w:rPr>
                <w:sz w:val="20"/>
                <w:szCs w:val="20"/>
                <w:color w:val="auto"/>
              </w:rPr>
            </w:pPr>
            <w:r>
              <w:rPr>
                <w:rFonts w:ascii="Arial" w:cs="Arial" w:eastAsia="Arial" w:hAnsi="Arial"/>
                <w:sz w:val="17"/>
                <w:szCs w:val="17"/>
                <w:b w:val="1"/>
                <w:bCs w:val="1"/>
                <w:color w:val="auto"/>
              </w:rPr>
              <w:t>AGAINST</w:t>
            </w: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7"/>
                <w:szCs w:val="17"/>
                <w:b w:val="1"/>
                <w:bCs w:val="1"/>
                <w:color w:val="auto"/>
              </w:rPr>
              <w:t>ABSTAIN</w:t>
            </w:r>
          </w:p>
        </w:tc>
        <w:tc>
          <w:tcPr>
            <w:tcW w:w="1740" w:type="dxa"/>
            <w:vAlign w:val="bottom"/>
            <w:gridSpan w:val="4"/>
          </w:tcPr>
          <w:p>
            <w:pPr>
              <w:jc w:val="center"/>
              <w:ind w:left="414"/>
              <w:spacing w:after="0"/>
              <w:rPr>
                <w:sz w:val="20"/>
                <w:szCs w:val="20"/>
                <w:color w:val="auto"/>
              </w:rPr>
            </w:pPr>
            <w:r>
              <w:rPr>
                <w:rFonts w:ascii="Arial" w:cs="Arial" w:eastAsia="Arial" w:hAnsi="Arial"/>
                <w:sz w:val="17"/>
                <w:szCs w:val="17"/>
                <w:b w:val="1"/>
                <w:bCs w:val="1"/>
                <w:color w:val="auto"/>
              </w:rPr>
              <w:t>BROKER NON-</w:t>
            </w: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vMerge w:val="restart"/>
          </w:tcPr>
          <w:p>
            <w:pPr>
              <w:spacing w:after="0" w:line="148" w:lineRule="exact"/>
              <w:rPr>
                <w:sz w:val="20"/>
                <w:szCs w:val="20"/>
                <w:color w:val="auto"/>
              </w:rPr>
            </w:pPr>
            <w:r>
              <w:rPr>
                <w:rFonts w:ascii="Arial" w:cs="Arial" w:eastAsia="Arial" w:hAnsi="Arial"/>
                <w:sz w:val="17"/>
                <w:szCs w:val="17"/>
                <w:b w:val="1"/>
                <w:bCs w:val="1"/>
                <w:color w:val="auto"/>
              </w:rPr>
              <w:t>VOTE</w:t>
            </w:r>
          </w:p>
        </w:tc>
        <w:tc>
          <w:tcPr>
            <w:tcW w:w="680" w:type="dxa"/>
            <w:vAlign w:val="bottom"/>
            <w:tcBorders>
              <w:top w:val="single" w:sz="8" w:color="auto"/>
            </w:tcBorders>
            <w:vMerge w:val="restart"/>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6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top w:val="single" w:sz="8" w:color="auto"/>
              <w:bottom w:val="single" w:sz="8" w:color="auto"/>
            </w:tcBorders>
            <w:vMerge w:val="continue"/>
          </w:tcPr>
          <w:p>
            <w:pPr>
              <w:spacing w:after="0"/>
              <w:rPr>
                <w:sz w:val="6"/>
                <w:szCs w:val="6"/>
                <w:color w:val="auto"/>
              </w:rPr>
            </w:pPr>
          </w:p>
        </w:tc>
        <w:tc>
          <w:tcPr>
            <w:tcW w:w="680" w:type="dxa"/>
            <w:vAlign w:val="bottom"/>
            <w:tcBorders>
              <w:top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1400" w:type="dxa"/>
            <w:vAlign w:val="bottom"/>
            <w:gridSpan w:val="3"/>
          </w:tcPr>
          <w:p>
            <w:pPr>
              <w:jc w:val="right"/>
              <w:ind w:right="540"/>
              <w:spacing w:after="0"/>
              <w:rPr>
                <w:sz w:val="20"/>
                <w:szCs w:val="20"/>
                <w:color w:val="auto"/>
              </w:rPr>
            </w:pPr>
            <w:r>
              <w:rPr>
                <w:rFonts w:ascii="Arial" w:cs="Arial" w:eastAsia="Arial" w:hAnsi="Arial"/>
                <w:sz w:val="17"/>
                <w:szCs w:val="17"/>
                <w:color w:val="auto"/>
                <w:w w:val="88"/>
              </w:rPr>
              <w:t>577,238,885</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5,084,312</w:t>
            </w:r>
          </w:p>
        </w:tc>
        <w:tc>
          <w:tcPr>
            <w:tcW w:w="11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187,992</w:t>
            </w:r>
          </w:p>
        </w:tc>
        <w:tc>
          <w:tcPr>
            <w:tcW w:w="500" w:type="dxa"/>
            <w:vAlign w:val="bottom"/>
          </w:tcPr>
          <w:p>
            <w:pPr>
              <w:spacing w:after="0"/>
              <w:rPr>
                <w:sz w:val="20"/>
                <w:szCs w:val="20"/>
                <w:color w:val="auto"/>
              </w:rPr>
            </w:pPr>
          </w:p>
        </w:tc>
        <w:tc>
          <w:tcPr>
            <w:tcW w:w="1740" w:type="dxa"/>
            <w:vAlign w:val="bottom"/>
            <w:gridSpan w:val="4"/>
          </w:tcPr>
          <w:p>
            <w:pPr>
              <w:jc w:val="right"/>
              <w:ind w:right="240"/>
              <w:spacing w:after="0"/>
              <w:rPr>
                <w:sz w:val="20"/>
                <w:szCs w:val="20"/>
                <w:color w:val="auto"/>
              </w:rPr>
            </w:pPr>
            <w:r>
              <w:rPr>
                <w:rFonts w:ascii="Arial" w:cs="Arial" w:eastAsia="Arial" w:hAnsi="Arial"/>
                <w:sz w:val="17"/>
                <w:szCs w:val="17"/>
                <w:color w:val="auto"/>
              </w:rPr>
              <w:t>63,982,698</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6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Zoom Video Communications, Inc.</w:t>
      </w:r>
    </w:p>
    <w:p>
      <w:pPr>
        <w:spacing w:after="0" w:line="276" w:lineRule="exact"/>
        <w:rPr>
          <w:sz w:val="20"/>
          <w:szCs w:val="20"/>
          <w:color w:val="auto"/>
        </w:rPr>
      </w:pPr>
    </w:p>
    <w:p>
      <w:pPr>
        <w:ind w:left="1260"/>
        <w:spacing w:after="0"/>
        <w:tabs>
          <w:tab w:leader="none" w:pos="6380" w:val="left"/>
          <w:tab w:leader="none" w:pos="7280" w:val="left"/>
        </w:tabs>
        <w:rPr>
          <w:sz w:val="20"/>
          <w:szCs w:val="20"/>
          <w:color w:val="auto"/>
        </w:rPr>
      </w:pPr>
      <w:r>
        <w:rPr>
          <w:rFonts w:ascii="Arial" w:cs="Arial" w:eastAsia="Arial" w:hAnsi="Arial"/>
          <w:sz w:val="17"/>
          <w:szCs w:val="17"/>
          <w:color w:val="auto"/>
        </w:rPr>
        <w:t>Dated: June 17,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15240</wp:posOffset>
            </wp:positionV>
            <wp:extent cx="2964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17"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Kelly Steckelberg</w:t>
      </w:r>
    </w:p>
    <w:p>
      <w:pPr>
        <w:spacing w:after="0" w:line="24" w:lineRule="exact"/>
        <w:rPr>
          <w:sz w:val="20"/>
          <w:szCs w:val="20"/>
          <w:color w:val="auto"/>
        </w:rPr>
      </w:pPr>
    </w:p>
    <w:p>
      <w:pPr>
        <w:ind w:left="7300"/>
        <w:spacing w:after="0"/>
        <w:rPr>
          <w:sz w:val="20"/>
          <w:szCs w:val="20"/>
          <w:color w:val="auto"/>
        </w:rPr>
      </w:pPr>
      <w:r>
        <w:rPr>
          <w:rFonts w:ascii="Arial" w:cs="Arial" w:eastAsia="Arial" w:hAnsi="Arial"/>
          <w:sz w:val="17"/>
          <w:szCs w:val="17"/>
          <w:i w:val="1"/>
          <w:iCs w:val="1"/>
          <w:color w:val="auto"/>
        </w:rPr>
        <w:t>Chief Financial Officer</w:t>
      </w:r>
    </w:p>
    <w:sectPr>
      <w:pgSz w:w="11900" w:h="16838" w:orient="portrait"/>
      <w:cols w:equalWidth="0" w:num="1">
        <w:col w:w="11220"/>
      </w:cols>
      <w:pgMar w:left="320" w:top="10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2022-06-22T05:15:44Z</dcterms:created>
  <dcterms:modified xsi:type="dcterms:W3CDTF">2022-06-22T05:15:44Z</dcterms:modified>
</cp:coreProperties>
</file>